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Supplementary Information</w:t>
      </w:r>
    </w:p>
    <w:p>
      <w:pPr>
        <w:jc w:val="center"/>
      </w:pPr>
      <w:r>
        <w:rPr>
          <w:i/>
          <w:sz w:val="22"/>
        </w:rPr>
        <w:t>Prognostic heterogeneity within cognitive stages: a nationwide cohort study of everyday functional difficulties and mortality in 202,508 older adults</w:t>
      </w:r>
    </w:p>
    <w:p>
      <w:pPr>
        <w:spacing w:after="80"/>
      </w:pPr>
      <w:r>
        <w:rPr>
          <w:i w:val="0"/>
          <w:sz w:val="21"/>
        </w:rPr>
        <w:t>Aging Clinical and Experimental Research</w:t>
      </w:r>
    </w:p>
    <w:p>
      <w:pPr>
        <w:spacing w:after="80"/>
      </w:pPr>
      <w:r>
        <w:rPr>
          <w:i w:val="0"/>
          <w:sz w:val="21"/>
        </w:rPr>
        <w:t>Wen-Chou Chi, Tsan-Hon Liou, Wei-Ming Wang, Chia-Feng Yen, Hua-Fang Liao, Wen-Ni Wennie Huang</w:t>
      </w:r>
    </w:p>
    <w:p>
      <w:pPr>
        <w:spacing w:after="80"/>
      </w:pPr>
      <w:r>
        <w:rPr>
          <w:i w:val="0"/>
          <w:sz w:val="21"/>
        </w:rPr>
        <w:t>Corresponding author: Wen-Ni Wennie Huang, PhD. Department of Physical Therapy, College of Medicine, I-Shou University, Kaohsiung 82445, Taiwan. E-mail: hwennie@isu.edu.tw</w:t>
      </w:r>
    </w:p>
    <w:p>
      <w:pPr>
        <w:spacing w:after="80"/>
      </w:pPr>
      <w:r>
        <w:rPr>
          <w:i w:val="0"/>
          <w:sz w:val="21"/>
        </w:rPr>
      </w:r>
    </w:p>
    <w:p>
      <w:pPr>
        <w:spacing w:after="160"/>
      </w:pPr>
      <w:r>
        <w:rPr>
          <w:color w:val="444444"/>
          <w:sz w:val="18"/>
        </w:rPr>
      </w:r>
    </w:p>
    <w:p>
      <w:pPr>
        <w:spacing w:before="200" w:after="60"/>
      </w:pPr>
      <w:r>
        <w:rPr>
          <w:b/>
          <w:sz w:val="24"/>
        </w:rPr>
        <w:t>Contents</w:t>
      </w:r>
    </w:p>
    <w:p>
      <w:pPr>
        <w:spacing w:after="20"/>
      </w:pPr>
      <w:r>
        <w:rPr>
          <w:sz w:val="20"/>
        </w:rPr>
        <w:t>S1. Cohort construction and handling of missing data</w:t>
      </w:r>
    </w:p>
    <w:p>
      <w:pPr>
        <w:spacing w:after="20"/>
      </w:pPr>
      <w:r>
        <w:rPr>
          <w:sz w:val="20"/>
        </w:rPr>
        <w:t>S2. WHODAS 2.0 domain-level Cox model</w:t>
      </w:r>
    </w:p>
    <w:p>
      <w:pPr>
        <w:spacing w:after="20"/>
      </w:pPr>
      <w:r>
        <w:rPr>
          <w:sz w:val="20"/>
        </w:rPr>
        <w:t>S3. Item-level Cox model</w:t>
      </w:r>
    </w:p>
    <w:p>
      <w:pPr>
        <w:spacing w:after="20"/>
      </w:pPr>
      <w:r>
        <w:rPr>
          <w:sz w:val="20"/>
        </w:rPr>
        <w:t>S4. Mortality by number of everyday functional difficulties</w:t>
      </w:r>
    </w:p>
    <w:p>
      <w:pPr>
        <w:spacing w:after="20"/>
      </w:pPr>
      <w:r>
        <w:rPr>
          <w:sz w:val="20"/>
        </w:rPr>
        <w:t>S5. Discrimination and calibration</w:t>
      </w:r>
    </w:p>
    <w:p>
      <w:pPr>
        <w:spacing w:after="20"/>
      </w:pPr>
      <w:r>
        <w:rPr>
          <w:sz w:val="20"/>
        </w:rPr>
        <w:t>S6. Sensitivity analyses</w:t>
      </w:r>
    </w:p>
    <w:p>
      <w:pPr>
        <w:spacing w:after="20"/>
      </w:pPr>
      <w:r>
        <w:rPr>
          <w:sz w:val="20"/>
        </w:rPr>
        <w:t>S7. Comparison with alternative WHODAS-based summaries and with all 30 items</w:t>
      </w:r>
    </w:p>
    <w:p>
      <w:pPr>
        <w:spacing w:after="20"/>
      </w:pPr>
      <w:r>
        <w:rPr>
          <w:sz w:val="20"/>
        </w:rPr>
        <w:t>S8. Map of analyses to results</w:t>
      </w:r>
    </w:p>
    <w:p>
      <w:pPr>
        <w:spacing w:after="20"/>
      </w:pPr>
      <w:r>
        <w:rPr>
          <w:sz w:val="20"/>
        </w:rPr>
        <w:t>Supplementary Figures S1–S3</w:t>
      </w:r>
    </w:p>
    <w:p>
      <w:pPr>
        <w:spacing w:before="200" w:after="60"/>
      </w:pPr>
      <w:r>
        <w:rPr>
          <w:b/>
          <w:sz w:val="26"/>
        </w:rPr>
        <w:t>S1. Cohort construction and handling of missing data</w:t>
      </w:r>
    </w:p>
    <w:p>
      <w:pPr>
        <w:keepNext/>
        <w:spacing w:before="160" w:after="60"/>
      </w:pPr>
      <w:r>
        <w:rPr>
          <w:b/>
          <w:sz w:val="22"/>
        </w:rPr>
        <w:t>Table S1.1. Cohort construction and the participants analyzed by each model</w:t>
      </w:r>
    </w:p>
    <w:tbl>
      <w:tblPr>
        <w:tblW w:type="auto" w:w="0"/>
        <w:tblLook w:firstColumn="1" w:firstRow="1" w:lastColumn="0" w:lastRow="0" w:noHBand="0" w:noVBand="1" w:val="04A0"/>
        <w:tblBorders>
          <w:top w:val="single" w:sz="4" w:color="888888"/>
          <w:left w:val="single" w:sz="4" w:color="888888"/>
          <w:bottom w:val="single" w:sz="4" w:color="888888"/>
          <w:right w:val="single" w:sz="4" w:color="888888"/>
          <w:insideH w:val="single" w:sz="4" w:color="888888"/>
          <w:insideV w:val="single" w:sz="4" w:color="888888"/>
        </w:tblBorders>
      </w:tblPr>
      <w:tblGrid>
        <w:gridCol w:w="2880"/>
        <w:gridCol w:w="2880"/>
        <w:gridCol w:w="2880"/>
      </w:tblGrid>
      <w:tr>
        <w:trPr>
          <w:cantSplit/>
          <w:tblHeader/>
        </w:trPr>
        <w:tc>
          <w:tcPr>
            <w:tcW w:type="dxa" w:w="6192"/>
          </w:tcPr>
          <w:p>
            <w:r/>
            <w:r>
              <w:rPr>
                <w:b/>
                <w:sz w:val="18"/>
              </w:rPr>
              <w:t>Step</w:t>
            </w:r>
          </w:p>
        </w:tc>
        <w:tc>
          <w:tcPr>
            <w:tcW w:type="dxa" w:w="1584"/>
          </w:tcPr>
          <w:p>
            <w:r/>
            <w:r>
              <w:rPr>
                <w:b/>
                <w:sz w:val="18"/>
              </w:rPr>
              <w:t>n</w:t>
            </w:r>
          </w:p>
        </w:tc>
        <w:tc>
          <w:tcPr>
            <w:tcW w:type="dxa" w:w="1584"/>
          </w:tcPr>
          <w:p>
            <w:r/>
            <w:r>
              <w:rPr>
                <w:b/>
                <w:sz w:val="18"/>
              </w:rPr>
              <w:t>Deaths</w:t>
            </w:r>
          </w:p>
        </w:tc>
      </w:tr>
      <w:tr>
        <w:tc>
          <w:tcPr>
            <w:tcW w:type="dxa" w:w="6192"/>
          </w:tcPr>
          <w:p>
            <w:r/>
            <w:r>
              <w:rPr>
                <w:sz w:val="18"/>
              </w:rPr>
              <w:t>Aged ≥65 years, CDR 1–3, WHODAS 2.0 assessment, linked vital status</w:t>
            </w:r>
          </w:p>
        </w:tc>
        <w:tc>
          <w:tcPr>
            <w:tcW w:type="dxa" w:w="1584"/>
          </w:tcPr>
          <w:p>
            <w:r/>
            <w:r>
              <w:rPr>
                <w:sz w:val="18"/>
              </w:rPr>
              <w:t>202,575</w:t>
            </w:r>
          </w:p>
        </w:tc>
        <w:tc>
          <w:tcPr>
            <w:tcW w:type="dxa" w:w="1584"/>
          </w:tcPr>
          <w:p>
            <w:r/>
            <w:r>
              <w:rPr>
                <w:sz w:val="18"/>
              </w:rPr>
              <w:t>—</w:t>
            </w:r>
          </w:p>
        </w:tc>
      </w:tr>
      <w:tr>
        <w:tc>
          <w:tcPr>
            <w:tcW w:type="dxa" w:w="6192"/>
          </w:tcPr>
          <w:p>
            <w:r/>
            <w:r>
              <w:rPr>
                <w:sz w:val="18"/>
              </w:rPr>
              <w:t>Excluded: non-positive follow-up time</w:t>
            </w:r>
          </w:p>
        </w:tc>
        <w:tc>
          <w:tcPr>
            <w:tcW w:type="dxa" w:w="1584"/>
          </w:tcPr>
          <w:p>
            <w:r/>
            <w:r>
              <w:rPr>
                <w:sz w:val="18"/>
              </w:rPr>
              <w:t>−67</w:t>
            </w:r>
          </w:p>
        </w:tc>
        <w:tc>
          <w:tcPr>
            <w:tcW w:type="dxa" w:w="1584"/>
          </w:tcPr>
          <w:p>
            <w:r/>
            <w:r>
              <w:rPr>
                <w:sz w:val="18"/>
              </w:rPr>
              <w:t>—</w:t>
            </w:r>
          </w:p>
        </w:tc>
      </w:tr>
      <w:tr>
        <w:tc>
          <w:tcPr>
            <w:tcW w:type="dxa" w:w="6192"/>
          </w:tcPr>
          <w:p>
            <w:r/>
            <w:r>
              <w:rPr>
                <w:sz w:val="18"/>
              </w:rPr>
              <w:t>Analytic cohort</w:t>
            </w:r>
          </w:p>
        </w:tc>
        <w:tc>
          <w:tcPr>
            <w:tcW w:type="dxa" w:w="1584"/>
          </w:tcPr>
          <w:p>
            <w:r/>
            <w:r>
              <w:rPr>
                <w:sz w:val="18"/>
              </w:rPr>
              <w:t>202,508</w:t>
            </w:r>
          </w:p>
        </w:tc>
        <w:tc>
          <w:tcPr>
            <w:tcW w:type="dxa" w:w="1584"/>
          </w:tcPr>
          <w:p>
            <w:r/>
            <w:r>
              <w:rPr>
                <w:sz w:val="18"/>
              </w:rPr>
              <w:t>96,130 (47.5%)</w:t>
            </w:r>
          </w:p>
        </w:tc>
      </w:tr>
      <w:tr>
        <w:tc>
          <w:tcPr>
            <w:tcW w:type="dxa" w:w="6192"/>
          </w:tcPr>
          <w:p>
            <w:r/>
            <w:r>
              <w:rPr>
                <w:sz w:val="18"/>
              </w:rPr>
              <w:t>Six-domain model (S2): complete on all six domain scores (excluded 13,407, 6.6%)</w:t>
            </w:r>
          </w:p>
        </w:tc>
        <w:tc>
          <w:tcPr>
            <w:tcW w:type="dxa" w:w="1584"/>
          </w:tcPr>
          <w:p>
            <w:r/>
            <w:r>
              <w:rPr>
                <w:sz w:val="18"/>
              </w:rPr>
              <w:t>189,101</w:t>
            </w:r>
          </w:p>
        </w:tc>
        <w:tc>
          <w:tcPr>
            <w:tcW w:type="dxa" w:w="1584"/>
          </w:tcPr>
          <w:p>
            <w:r/>
            <w:r>
              <w:rPr>
                <w:sz w:val="18"/>
              </w:rPr>
              <w:t>86,108</w:t>
            </w:r>
          </w:p>
        </w:tc>
      </w:tr>
      <w:tr>
        <w:tc>
          <w:tcPr>
            <w:tcW w:type="dxa" w:w="6192"/>
          </w:tcPr>
          <w:p>
            <w:r/>
            <w:r>
              <w:rPr>
                <w:sz w:val="18"/>
              </w:rPr>
              <w:t>Eleven-item model (S3): complete on all eleven items (excluded 31,769, 15.7%)</w:t>
            </w:r>
          </w:p>
        </w:tc>
        <w:tc>
          <w:tcPr>
            <w:tcW w:type="dxa" w:w="1584"/>
          </w:tcPr>
          <w:p>
            <w:r/>
            <w:r>
              <w:rPr>
                <w:sz w:val="18"/>
              </w:rPr>
              <w:t>170,739</w:t>
            </w:r>
          </w:p>
        </w:tc>
        <w:tc>
          <w:tcPr>
            <w:tcW w:type="dxa" w:w="1584"/>
          </w:tcPr>
          <w:p>
            <w:r/>
            <w:r>
              <w:rPr>
                <w:sz w:val="18"/>
              </w:rPr>
              <w:t>80,310</w:t>
            </w:r>
          </w:p>
        </w:tc>
      </w:tr>
      <w:tr>
        <w:tc>
          <w:tcPr>
            <w:tcW w:type="dxa" w:w="6192"/>
          </w:tcPr>
          <w:p>
            <w:r/>
            <w:r>
              <w:rPr>
                <w:sz w:val="18"/>
              </w:rPr>
              <w:t>Number-of-difficulties analyses (S4): complete on all four selected items (excluded 7,780, 3.8%)</w:t>
            </w:r>
          </w:p>
        </w:tc>
        <w:tc>
          <w:tcPr>
            <w:tcW w:type="dxa" w:w="1584"/>
          </w:tcPr>
          <w:p>
            <w:r/>
            <w:r>
              <w:rPr>
                <w:sz w:val="18"/>
              </w:rPr>
              <w:t>194,728</w:t>
            </w:r>
          </w:p>
        </w:tc>
        <w:tc>
          <w:tcPr>
            <w:tcW w:type="dxa" w:w="1584"/>
          </w:tcPr>
          <w:p>
            <w:r>
              <w:t>92,330</w:t>
            </w:r>
          </w:p>
        </w:tc>
      </w:tr>
    </w:tbl>
    <w:p>
      <w:pPr>
        <w:spacing w:after="160"/>
      </w:pPr>
      <w:r>
        <w:rPr>
          <w:color w:val="444444"/>
          <w:sz w:val="18"/>
        </w:rPr>
        <w:t>No covariate had a missing value, so every exclusion above is due to an unanswered WHODAS item; the education coding that makes this so is described in the Methods. The 13,407 excluded from the six-domain model are almost all assessments from 2012–2015, when the Life Activities items were seldom recorded (13,132 of the 13,407 lack that domain); their median follow-up is 4.09 years against 2.35 years in the model set, which is why the death fraction among them (74.8%) is higher than the cohort’s.</w:t>
      </w:r>
    </w:p>
    <w:p>
      <w:pPr>
        <w:keepNext/>
        <w:spacing w:before="160" w:after="60"/>
      </w:pPr>
      <w:r>
        <w:rPr>
          <w:b/>
          <w:sz w:val="22"/>
        </w:rPr>
        <w:t>Table S1.2. Missing responses for all 30 WHODAS 2.0 items (n = 202,508 assessments)</w:t>
      </w:r>
    </w:p>
    <w:tbl>
      <w:tblPr>
        <w:tblW w:type="auto" w:w="0"/>
        <w:tblLook w:firstColumn="1" w:firstRow="1" w:lastColumn="0" w:lastRow="0" w:noHBand="0" w:noVBand="1" w:val="04A0"/>
        <w:tblBorders>
          <w:top w:val="single" w:sz="4" w:color="888888"/>
          <w:left w:val="single" w:sz="4" w:color="888888"/>
          <w:bottom w:val="single" w:sz="4" w:color="888888"/>
          <w:right w:val="single" w:sz="4" w:color="888888"/>
          <w:insideH w:val="single" w:sz="4" w:color="888888"/>
          <w:insideV w:val="single" w:sz="4" w:color="888888"/>
        </w:tblBorders>
      </w:tblPr>
      <w:tblGrid>
        <w:gridCol w:w="2880"/>
        <w:gridCol w:w="2880"/>
        <w:gridCol w:w="2880"/>
      </w:tblGrid>
      <w:tr>
        <w:trPr>
          <w:cantSplit/>
          <w:tblHeader/>
        </w:trPr>
        <w:tc>
          <w:tcPr>
            <w:tcW w:type="dxa" w:w="5184"/>
          </w:tcPr>
          <w:p>
            <w:r>
              <w:rPr>
                <w:b/>
              </w:rPr>
              <w:t>WHODAS 2.0 item</w:t>
            </w:r>
          </w:p>
        </w:tc>
        <w:tc>
          <w:tcPr>
            <w:tcW w:type="dxa" w:w="2016"/>
          </w:tcPr>
          <w:p>
            <w:r>
              <w:rPr>
                <w:b/>
              </w:rPr>
              <w:t>Missing, %</w:t>
            </w:r>
          </w:p>
        </w:tc>
      </w:tr>
      <w:tr>
        <w:tc>
          <w:tcPr>
            <w:tcW w:type="dxa" w:w="5184"/>
          </w:tcPr>
          <w:p>
            <w:r>
              <w:rPr>
                <w:b w:val="0"/>
              </w:rPr>
              <w:t>D1.1 Concentrating for 10 minutes</w:t>
            </w:r>
          </w:p>
        </w:tc>
        <w:tc>
          <w:tcPr>
            <w:tcW w:type="dxa" w:w="2016"/>
          </w:tcPr>
          <w:p>
            <w:r>
              <w:rPr>
                <w:b w:val="0"/>
              </w:rPr>
              <w:t>1.5</w:t>
            </w:r>
          </w:p>
        </w:tc>
      </w:tr>
      <w:tr>
        <w:tc>
          <w:tcPr>
            <w:tcW w:type="dxa" w:w="5184"/>
          </w:tcPr>
          <w:p>
            <w:r>
              <w:rPr>
                <w:b w:val="0"/>
              </w:rPr>
              <w:t>D1.2 Remembering</w:t>
            </w:r>
          </w:p>
        </w:tc>
        <w:tc>
          <w:tcPr>
            <w:tcW w:type="dxa" w:w="2016"/>
          </w:tcPr>
          <w:p>
            <w:r>
              <w:rPr>
                <w:b w:val="0"/>
              </w:rPr>
              <w:t>1.1</w:t>
            </w:r>
          </w:p>
        </w:tc>
      </w:tr>
      <w:tr>
        <w:tc>
          <w:tcPr>
            <w:tcW w:type="dxa" w:w="5184"/>
          </w:tcPr>
          <w:p>
            <w:r>
              <w:rPr>
                <w:b w:val="0"/>
              </w:rPr>
              <w:t>D1.3 Problem-solving</w:t>
            </w:r>
          </w:p>
        </w:tc>
        <w:tc>
          <w:tcPr>
            <w:tcW w:type="dxa" w:w="2016"/>
          </w:tcPr>
          <w:p>
            <w:r>
              <w:rPr>
                <w:b w:val="0"/>
              </w:rPr>
              <w:t>3.4</w:t>
            </w:r>
          </w:p>
        </w:tc>
      </w:tr>
      <w:tr>
        <w:tc>
          <w:tcPr>
            <w:tcW w:type="dxa" w:w="5184"/>
          </w:tcPr>
          <w:p>
            <w:r>
              <w:rPr>
                <w:b w:val="0"/>
              </w:rPr>
              <w:t>D1.4 Learning a new task</w:t>
            </w:r>
          </w:p>
        </w:tc>
        <w:tc>
          <w:tcPr>
            <w:tcW w:type="dxa" w:w="2016"/>
          </w:tcPr>
          <w:p>
            <w:r>
              <w:rPr>
                <w:b w:val="0"/>
              </w:rPr>
              <w:t>12.6</w:t>
            </w:r>
          </w:p>
        </w:tc>
      </w:tr>
      <w:tr>
        <w:tc>
          <w:tcPr>
            <w:tcW w:type="dxa" w:w="5184"/>
          </w:tcPr>
          <w:p>
            <w:r>
              <w:rPr>
                <w:b w:val="0"/>
              </w:rPr>
              <w:t>D1.5 Understanding what people say</w:t>
            </w:r>
          </w:p>
        </w:tc>
        <w:tc>
          <w:tcPr>
            <w:tcW w:type="dxa" w:w="2016"/>
          </w:tcPr>
          <w:p>
            <w:r>
              <w:rPr>
                <w:b w:val="0"/>
              </w:rPr>
              <w:t>0.9</w:t>
            </w:r>
          </w:p>
        </w:tc>
      </w:tr>
      <w:tr>
        <w:tc>
          <w:tcPr>
            <w:tcW w:type="dxa" w:w="5184"/>
          </w:tcPr>
          <w:p>
            <w:r>
              <w:rPr>
                <w:b w:val="0"/>
              </w:rPr>
              <w:t>D1.6 Conversation</w:t>
            </w:r>
          </w:p>
        </w:tc>
        <w:tc>
          <w:tcPr>
            <w:tcW w:type="dxa" w:w="2016"/>
          </w:tcPr>
          <w:p>
            <w:r>
              <w:rPr>
                <w:b w:val="0"/>
              </w:rPr>
              <w:t>1.2</w:t>
            </w:r>
          </w:p>
        </w:tc>
      </w:tr>
      <w:tr>
        <w:tc>
          <w:tcPr>
            <w:tcW w:type="dxa" w:w="5184"/>
          </w:tcPr>
          <w:p>
            <w:r>
              <w:rPr>
                <w:b w:val="0"/>
              </w:rPr>
              <w:t>D2.1 Standing for 30 minutes</w:t>
            </w:r>
          </w:p>
        </w:tc>
        <w:tc>
          <w:tcPr>
            <w:tcW w:type="dxa" w:w="2016"/>
          </w:tcPr>
          <w:p>
            <w:r>
              <w:rPr>
                <w:b w:val="0"/>
              </w:rPr>
              <w:t>3.3</w:t>
            </w:r>
          </w:p>
        </w:tc>
      </w:tr>
      <w:tr>
        <w:tc>
          <w:tcPr>
            <w:tcW w:type="dxa" w:w="5184"/>
          </w:tcPr>
          <w:p>
            <w:r>
              <w:rPr>
                <w:b w:val="0"/>
              </w:rPr>
              <w:t>D2.2 Rising from sitting</w:t>
            </w:r>
          </w:p>
        </w:tc>
        <w:tc>
          <w:tcPr>
            <w:tcW w:type="dxa" w:w="2016"/>
          </w:tcPr>
          <w:p>
            <w:r>
              <w:rPr>
                <w:b w:val="0"/>
              </w:rPr>
              <w:t>0.9</w:t>
            </w:r>
          </w:p>
        </w:tc>
      </w:tr>
      <w:tr>
        <w:tc>
          <w:tcPr>
            <w:tcW w:type="dxa" w:w="5184"/>
          </w:tcPr>
          <w:p>
            <w:r>
              <w:rPr>
                <w:b w:val="0"/>
              </w:rPr>
              <w:t>D2.3 Moving around inside the home</w:t>
            </w:r>
          </w:p>
        </w:tc>
        <w:tc>
          <w:tcPr>
            <w:tcW w:type="dxa" w:w="2016"/>
          </w:tcPr>
          <w:p>
            <w:r>
              <w:rPr>
                <w:b w:val="0"/>
              </w:rPr>
              <w:t>1.3</w:t>
            </w:r>
          </w:p>
        </w:tc>
      </w:tr>
      <w:tr>
        <w:tc>
          <w:tcPr>
            <w:tcW w:type="dxa" w:w="5184"/>
          </w:tcPr>
          <w:p>
            <w:r>
              <w:rPr>
                <w:b w:val="0"/>
              </w:rPr>
              <w:t>D2.4 Getting out of the home</w:t>
            </w:r>
          </w:p>
        </w:tc>
        <w:tc>
          <w:tcPr>
            <w:tcW w:type="dxa" w:w="2016"/>
          </w:tcPr>
          <w:p>
            <w:r>
              <w:rPr>
                <w:b w:val="0"/>
              </w:rPr>
              <w:t>1.6</w:t>
            </w:r>
          </w:p>
        </w:tc>
      </w:tr>
      <w:tr>
        <w:tc>
          <w:tcPr>
            <w:tcW w:type="dxa" w:w="5184"/>
          </w:tcPr>
          <w:p>
            <w:r>
              <w:rPr>
                <w:b w:val="0"/>
              </w:rPr>
              <w:t>D2.5 Walking a long distance</w:t>
            </w:r>
          </w:p>
        </w:tc>
        <w:tc>
          <w:tcPr>
            <w:tcW w:type="dxa" w:w="2016"/>
          </w:tcPr>
          <w:p>
            <w:r>
              <w:rPr>
                <w:b w:val="0"/>
              </w:rPr>
              <w:t>4.9</w:t>
            </w:r>
          </w:p>
        </w:tc>
      </w:tr>
      <w:tr>
        <w:tc>
          <w:tcPr>
            <w:tcW w:type="dxa" w:w="5184"/>
          </w:tcPr>
          <w:p>
            <w:r>
              <w:rPr>
                <w:b w:val="0"/>
              </w:rPr>
              <w:t>D3.1 Washing whole body</w:t>
            </w:r>
          </w:p>
        </w:tc>
        <w:tc>
          <w:tcPr>
            <w:tcW w:type="dxa" w:w="2016"/>
          </w:tcPr>
          <w:p>
            <w:r>
              <w:rPr>
                <w:b w:val="0"/>
              </w:rPr>
              <w:t>0.8</w:t>
            </w:r>
          </w:p>
        </w:tc>
      </w:tr>
      <w:tr>
        <w:tc>
          <w:tcPr>
            <w:tcW w:type="dxa" w:w="5184"/>
          </w:tcPr>
          <w:p>
            <w:r>
              <w:rPr>
                <w:b w:val="0"/>
              </w:rPr>
              <w:t>D3.2 Getting dressed</w:t>
            </w:r>
          </w:p>
        </w:tc>
        <w:tc>
          <w:tcPr>
            <w:tcW w:type="dxa" w:w="2016"/>
          </w:tcPr>
          <w:p>
            <w:r>
              <w:rPr>
                <w:b w:val="0"/>
              </w:rPr>
              <w:t>0.7</w:t>
            </w:r>
          </w:p>
        </w:tc>
      </w:tr>
      <w:tr>
        <w:tc>
          <w:tcPr>
            <w:tcW w:type="dxa" w:w="5184"/>
          </w:tcPr>
          <w:p>
            <w:r>
              <w:rPr>
                <w:b w:val="0"/>
              </w:rPr>
              <w:t>D3.3 Eating</w:t>
            </w:r>
          </w:p>
        </w:tc>
        <w:tc>
          <w:tcPr>
            <w:tcW w:type="dxa" w:w="2016"/>
          </w:tcPr>
          <w:p>
            <w:r>
              <w:rPr>
                <w:b w:val="0"/>
              </w:rPr>
              <w:t>0.8</w:t>
            </w:r>
          </w:p>
        </w:tc>
      </w:tr>
      <w:tr>
        <w:tc>
          <w:tcPr>
            <w:tcW w:type="dxa" w:w="5184"/>
          </w:tcPr>
          <w:p>
            <w:r>
              <w:rPr>
                <w:b w:val="0"/>
              </w:rPr>
              <w:t>D4.1 Dealing with people not known</w:t>
            </w:r>
          </w:p>
        </w:tc>
        <w:tc>
          <w:tcPr>
            <w:tcW w:type="dxa" w:w="2016"/>
          </w:tcPr>
          <w:p>
            <w:r>
              <w:rPr>
                <w:b w:val="0"/>
              </w:rPr>
              <w:t>5.4</w:t>
            </w:r>
          </w:p>
        </w:tc>
      </w:tr>
      <w:tr>
        <w:tc>
          <w:tcPr>
            <w:tcW w:type="dxa" w:w="5184"/>
          </w:tcPr>
          <w:p>
            <w:r>
              <w:rPr>
                <w:b w:val="0"/>
              </w:rPr>
              <w:t>D4.2 Maintaining a friendship</w:t>
            </w:r>
          </w:p>
        </w:tc>
        <w:tc>
          <w:tcPr>
            <w:tcW w:type="dxa" w:w="2016"/>
          </w:tcPr>
          <w:p>
            <w:r>
              <w:rPr>
                <w:b w:val="0"/>
              </w:rPr>
              <w:t>4.3</w:t>
            </w:r>
          </w:p>
        </w:tc>
      </w:tr>
      <w:tr>
        <w:tc>
          <w:tcPr>
            <w:tcW w:type="dxa" w:w="5184"/>
          </w:tcPr>
          <w:p>
            <w:r>
              <w:rPr>
                <w:b w:val="0"/>
              </w:rPr>
              <w:t>D4.3 Getting along with people who are close</w:t>
            </w:r>
          </w:p>
        </w:tc>
        <w:tc>
          <w:tcPr>
            <w:tcW w:type="dxa" w:w="2016"/>
          </w:tcPr>
          <w:p>
            <w:r>
              <w:rPr>
                <w:b w:val="0"/>
              </w:rPr>
              <w:t>1.1</w:t>
            </w:r>
          </w:p>
        </w:tc>
      </w:tr>
      <w:tr>
        <w:tc>
          <w:tcPr>
            <w:tcW w:type="dxa" w:w="5184"/>
          </w:tcPr>
          <w:p>
            <w:r>
              <w:rPr>
                <w:b w:val="0"/>
              </w:rPr>
              <w:t>D4.4 Making new friends</w:t>
            </w:r>
          </w:p>
        </w:tc>
        <w:tc>
          <w:tcPr>
            <w:tcW w:type="dxa" w:w="2016"/>
          </w:tcPr>
          <w:p>
            <w:r>
              <w:rPr>
                <w:b w:val="0"/>
              </w:rPr>
              <w:t>16.6</w:t>
            </w:r>
          </w:p>
        </w:tc>
      </w:tr>
      <w:tr>
        <w:tc>
          <w:tcPr>
            <w:tcW w:type="dxa" w:w="5184"/>
          </w:tcPr>
          <w:p>
            <w:r>
              <w:rPr>
                <w:b w:val="0"/>
              </w:rPr>
              <w:t>D5.1 Household responsibilities</w:t>
            </w:r>
          </w:p>
        </w:tc>
        <w:tc>
          <w:tcPr>
            <w:tcW w:type="dxa" w:w="2016"/>
          </w:tcPr>
          <w:p>
            <w:r>
              <w:rPr>
                <w:b w:val="0"/>
              </w:rPr>
              <w:t>6.6</w:t>
            </w:r>
          </w:p>
        </w:tc>
      </w:tr>
      <w:tr>
        <w:tc>
          <w:tcPr>
            <w:tcW w:type="dxa" w:w="5184"/>
          </w:tcPr>
          <w:p>
            <w:r>
              <w:rPr>
                <w:b w:val="0"/>
              </w:rPr>
              <w:t>D5.2 Most important household tasks well</w:t>
            </w:r>
          </w:p>
        </w:tc>
        <w:tc>
          <w:tcPr>
            <w:tcW w:type="dxa" w:w="2016"/>
          </w:tcPr>
          <w:p>
            <w:r>
              <w:rPr>
                <w:b w:val="0"/>
              </w:rPr>
              <w:t>8.7</w:t>
            </w:r>
          </w:p>
        </w:tc>
      </w:tr>
      <w:tr>
        <w:tc>
          <w:tcPr>
            <w:tcW w:type="dxa" w:w="5184"/>
          </w:tcPr>
          <w:p>
            <w:r>
              <w:rPr>
                <w:b w:val="0"/>
              </w:rPr>
              <w:t>D5.3 Getting all household work done</w:t>
            </w:r>
          </w:p>
        </w:tc>
        <w:tc>
          <w:tcPr>
            <w:tcW w:type="dxa" w:w="2016"/>
          </w:tcPr>
          <w:p>
            <w:r>
              <w:rPr>
                <w:b w:val="0"/>
              </w:rPr>
              <w:t>8.9</w:t>
            </w:r>
          </w:p>
        </w:tc>
      </w:tr>
      <w:tr>
        <w:tc>
          <w:tcPr>
            <w:tcW w:type="dxa" w:w="5184"/>
          </w:tcPr>
          <w:p>
            <w:r>
              <w:rPr>
                <w:b w:val="0"/>
              </w:rPr>
              <w:t>D5.4 Household work done as quickly as needed</w:t>
            </w:r>
          </w:p>
        </w:tc>
        <w:tc>
          <w:tcPr>
            <w:tcW w:type="dxa" w:w="2016"/>
          </w:tcPr>
          <w:p>
            <w:r>
              <w:rPr>
                <w:b w:val="0"/>
              </w:rPr>
              <w:t>9.1</w:t>
            </w:r>
          </w:p>
        </w:tc>
      </w:tr>
      <w:tr>
        <w:tc>
          <w:tcPr>
            <w:tcW w:type="dxa" w:w="5184"/>
          </w:tcPr>
          <w:p>
            <w:r>
              <w:rPr>
                <w:b w:val="0"/>
              </w:rPr>
              <w:t>D6.1 Community activities</w:t>
            </w:r>
          </w:p>
        </w:tc>
        <w:tc>
          <w:tcPr>
            <w:tcW w:type="dxa" w:w="2016"/>
          </w:tcPr>
          <w:p>
            <w:r>
              <w:rPr>
                <w:b w:val="0"/>
              </w:rPr>
              <w:t>13.8</w:t>
            </w:r>
          </w:p>
        </w:tc>
      </w:tr>
      <w:tr>
        <w:tc>
          <w:tcPr>
            <w:tcW w:type="dxa" w:w="5184"/>
          </w:tcPr>
          <w:p>
            <w:r>
              <w:rPr>
                <w:b w:val="0"/>
              </w:rPr>
              <w:t>D6.2 Barriers in the world around</w:t>
            </w:r>
          </w:p>
        </w:tc>
        <w:tc>
          <w:tcPr>
            <w:tcW w:type="dxa" w:w="2016"/>
          </w:tcPr>
          <w:p>
            <w:r>
              <w:rPr>
                <w:b w:val="0"/>
              </w:rPr>
              <w:t>5.4</w:t>
            </w:r>
          </w:p>
        </w:tc>
      </w:tr>
      <w:tr>
        <w:tc>
          <w:tcPr>
            <w:tcW w:type="dxa" w:w="5184"/>
          </w:tcPr>
          <w:p>
            <w:r>
              <w:rPr>
                <w:b w:val="0"/>
              </w:rPr>
              <w:t>D6.3 Living with dignity</w:t>
            </w:r>
          </w:p>
        </w:tc>
        <w:tc>
          <w:tcPr>
            <w:tcW w:type="dxa" w:w="2016"/>
          </w:tcPr>
          <w:p>
            <w:r>
              <w:rPr>
                <w:b w:val="0"/>
              </w:rPr>
              <w:t>4.0</w:t>
            </w:r>
          </w:p>
        </w:tc>
      </w:tr>
      <w:tr>
        <w:tc>
          <w:tcPr>
            <w:tcW w:type="dxa" w:w="5184"/>
          </w:tcPr>
          <w:p>
            <w:r>
              <w:rPr>
                <w:b w:val="0"/>
              </w:rPr>
              <w:t>D6.4 Time spent on the health condition</w:t>
            </w:r>
          </w:p>
        </w:tc>
        <w:tc>
          <w:tcPr>
            <w:tcW w:type="dxa" w:w="2016"/>
          </w:tcPr>
          <w:p>
            <w:r>
              <w:rPr>
                <w:b w:val="0"/>
              </w:rPr>
              <w:t>1.5</w:t>
            </w:r>
          </w:p>
        </w:tc>
      </w:tr>
      <w:tr>
        <w:tc>
          <w:tcPr>
            <w:tcW w:type="dxa" w:w="5184"/>
          </w:tcPr>
          <w:p>
            <w:r>
              <w:rPr>
                <w:b w:val="0"/>
              </w:rPr>
              <w:t>D6.5 Emotional effect of the health condition</w:t>
            </w:r>
          </w:p>
        </w:tc>
        <w:tc>
          <w:tcPr>
            <w:tcW w:type="dxa" w:w="2016"/>
          </w:tcPr>
          <w:p>
            <w:r>
              <w:rPr>
                <w:b w:val="0"/>
              </w:rPr>
              <w:t>7.6</w:t>
            </w:r>
          </w:p>
        </w:tc>
      </w:tr>
      <w:tr>
        <w:tc>
          <w:tcPr>
            <w:tcW w:type="dxa" w:w="5184"/>
          </w:tcPr>
          <w:p>
            <w:r>
              <w:rPr>
                <w:b w:val="0"/>
              </w:rPr>
              <w:t>D6.6 Financial drain</w:t>
            </w:r>
          </w:p>
        </w:tc>
        <w:tc>
          <w:tcPr>
            <w:tcW w:type="dxa" w:w="2016"/>
          </w:tcPr>
          <w:p>
            <w:r>
              <w:rPr>
                <w:b w:val="0"/>
              </w:rPr>
              <w:t>7.5</w:t>
            </w:r>
          </w:p>
        </w:tc>
      </w:tr>
      <w:tr>
        <w:tc>
          <w:tcPr>
            <w:tcW w:type="dxa" w:w="5184"/>
          </w:tcPr>
          <w:p>
            <w:r>
              <w:rPr>
                <w:b w:val="0"/>
              </w:rPr>
              <w:t>D6.7 Effect on the family</w:t>
            </w:r>
          </w:p>
        </w:tc>
        <w:tc>
          <w:tcPr>
            <w:tcW w:type="dxa" w:w="2016"/>
          </w:tcPr>
          <w:p>
            <w:r>
              <w:rPr>
                <w:b w:val="0"/>
              </w:rPr>
              <w:t>31.5</w:t>
            </w:r>
          </w:p>
        </w:tc>
      </w:tr>
      <w:tr>
        <w:tc>
          <w:tcPr>
            <w:tcW w:type="dxa" w:w="5184"/>
          </w:tcPr>
          <w:p>
            <w:r>
              <w:rPr>
                <w:b w:val="0"/>
              </w:rPr>
              <w:t>D6.8 Relaxation and pleasure</w:t>
            </w:r>
          </w:p>
        </w:tc>
        <w:tc>
          <w:tcPr>
            <w:tcW w:type="dxa" w:w="2016"/>
          </w:tcPr>
          <w:p>
            <w:r>
              <w:rPr>
                <w:b w:val="0"/>
              </w:rPr>
              <w:t>35.4</w:t>
            </w:r>
          </w:p>
        </w:tc>
      </w:tr>
    </w:tbl>
    <w:p>
      <w:pPr>
        <w:spacing w:after="160"/>
      </w:pPr>
      <w:r>
        <w:rPr>
          <w:color w:val="444444"/>
          <w:sz w:val="18"/>
        </w:rPr>
        <w:t>Responses coded 9, blank or "Z" were treated as missing. No item response was imputed. A domain score is computed from the items answered within that domain (Table S1.4), so it is available whenever at least one item was answered and missing only when none was; the Cognition score rested on a partial set of items for 24,853 participants (12.3%) and the Mobility score for 10,134 (5.0%). The two Participation items D6.7 and D6.8 are the main reason the all-30-item model in S7.3 is fitted in fewer participants.</w:t>
      </w:r>
    </w:p>
    <w:p>
      <w:pPr>
        <w:keepNext/>
        <w:spacing w:before="160" w:after="60"/>
      </w:pPr>
      <w:r>
        <w:rPr>
          <w:b/>
          <w:sz w:val="22"/>
        </w:rPr>
        <w:t>Table S1.3. Maximum-difficulty responses among participants with CDR 3</w:t>
      </w:r>
    </w:p>
    <w:tbl>
      <w:tblPr>
        <w:tblW w:type="auto" w:w="0"/>
        <w:tblLook w:firstColumn="1" w:firstRow="1" w:lastColumn="0" w:lastRow="0" w:noHBand="0" w:noVBand="1" w:val="04A0"/>
        <w:tblBorders>
          <w:top w:val="single" w:sz="4" w:color="888888"/>
          <w:left w:val="single" w:sz="4" w:color="888888"/>
          <w:bottom w:val="single" w:sz="4" w:color="888888"/>
          <w:right w:val="single" w:sz="4" w:color="888888"/>
          <w:insideH w:val="single" w:sz="4" w:color="888888"/>
          <w:insideV w:val="single" w:sz="4" w:color="888888"/>
        </w:tblBorders>
      </w:tblPr>
      <w:tblGrid>
        <w:gridCol w:w="4320"/>
        <w:gridCol w:w="4320"/>
      </w:tblGrid>
      <w:tr>
        <w:trPr>
          <w:cantSplit/>
          <w:tblHeader/>
        </w:trPr>
        <w:tc>
          <w:tcPr>
            <w:tcW w:type="dxa" w:w="4608"/>
          </w:tcPr>
          <w:p>
            <w:r>
              <w:rPr>
                <w:b/>
              </w:rPr>
              <w:t>Item</w:t>
            </w:r>
          </w:p>
        </w:tc>
        <w:tc>
          <w:tcPr>
            <w:tcW w:type="dxa" w:w="2592"/>
          </w:tcPr>
          <w:p>
            <w:r>
              <w:rPr>
                <w:b/>
              </w:rPr>
              <w:t>Rated "extreme or cannot do", %</w:t>
            </w:r>
          </w:p>
        </w:tc>
      </w:tr>
      <w:tr>
        <w:tc>
          <w:tcPr>
            <w:tcW w:type="dxa" w:w="4608"/>
          </w:tcPr>
          <w:p>
            <w:r>
              <w:rPr>
                <w:b w:val="0"/>
              </w:rPr>
              <w:t>D2.1 Standing for 30 minutes</w:t>
            </w:r>
          </w:p>
        </w:tc>
        <w:tc>
          <w:tcPr>
            <w:tcW w:type="dxa" w:w="2592"/>
          </w:tcPr>
          <w:p>
            <w:r>
              <w:rPr>
                <w:b w:val="0"/>
              </w:rPr>
              <w:t>52.0</w:t>
            </w:r>
          </w:p>
        </w:tc>
      </w:tr>
      <w:tr>
        <w:tc>
          <w:tcPr>
            <w:tcW w:type="dxa" w:w="4608"/>
          </w:tcPr>
          <w:p>
            <w:r>
              <w:rPr>
                <w:b w:val="0"/>
              </w:rPr>
              <w:t>D1.1 Concentrating for 10 minutes</w:t>
            </w:r>
          </w:p>
        </w:tc>
        <w:tc>
          <w:tcPr>
            <w:tcW w:type="dxa" w:w="2592"/>
          </w:tcPr>
          <w:p>
            <w:r>
              <w:rPr>
                <w:b w:val="0"/>
              </w:rPr>
              <w:t>43.6</w:t>
            </w:r>
          </w:p>
        </w:tc>
      </w:tr>
      <w:tr>
        <w:tc>
          <w:tcPr>
            <w:tcW w:type="dxa" w:w="4608"/>
          </w:tcPr>
          <w:p>
            <w:r>
              <w:rPr>
                <w:b w:val="0"/>
              </w:rPr>
              <w:t>D2.2 Rising from sitting</w:t>
            </w:r>
          </w:p>
        </w:tc>
        <w:tc>
          <w:tcPr>
            <w:tcW w:type="dxa" w:w="2592"/>
          </w:tcPr>
          <w:p>
            <w:r>
              <w:rPr>
                <w:b w:val="0"/>
              </w:rPr>
              <w:t>36.0</w:t>
            </w:r>
          </w:p>
        </w:tc>
      </w:tr>
      <w:tr>
        <w:tc>
          <w:tcPr>
            <w:tcW w:type="dxa" w:w="4608"/>
          </w:tcPr>
          <w:p>
            <w:r>
              <w:rPr>
                <w:b w:val="0"/>
              </w:rPr>
              <w:t>D1.5 Understanding what people say</w:t>
            </w:r>
          </w:p>
        </w:tc>
        <w:tc>
          <w:tcPr>
            <w:tcW w:type="dxa" w:w="2592"/>
          </w:tcPr>
          <w:p>
            <w:r>
              <w:rPr>
                <w:b w:val="0"/>
              </w:rPr>
              <w:t>32.2</w:t>
            </w:r>
          </w:p>
        </w:tc>
      </w:tr>
    </w:tbl>
    <w:p>
      <w:pPr>
        <w:spacing w:after="160"/>
      </w:pPr>
      <w:r>
        <w:rPr>
          <w:color w:val="444444"/>
          <w:sz w:val="18"/>
        </w:rPr>
        <w:t>Among the 50,958 participants with CDR 3 and complete data on all four items.</w:t>
      </w:r>
    </w:p>
    <w:p>
      <w:pPr>
        <w:keepNext/>
        <w:spacing w:before="160" w:after="60"/>
      </w:pPr>
      <w:r>
        <w:rPr>
          <w:b/>
          <w:sz w:val="22"/>
        </w:rPr>
        <w:t>Table S1.4. How the registry scores WHODAS 2.0</w:t>
      </w:r>
    </w:p>
    <w:tbl>
      <w:tblPr>
        <w:tblW w:type="auto" w:w="0"/>
        <w:tblLook w:firstColumn="1" w:firstRow="1" w:lastColumn="0" w:lastRow="0" w:noHBand="0" w:noVBand="1" w:val="04A0"/>
        <w:tblBorders>
          <w:top w:val="single" w:sz="4" w:color="888888"/>
          <w:left w:val="single" w:sz="4" w:color="888888"/>
          <w:bottom w:val="single" w:sz="4" w:color="888888"/>
          <w:right w:val="single" w:sz="4" w:color="888888"/>
          <w:insideH w:val="single" w:sz="4" w:color="888888"/>
          <w:insideV w:val="single" w:sz="4" w:color="888888"/>
        </w:tblBorders>
      </w:tblPr>
      <w:tblGrid>
        <w:gridCol w:w="2160"/>
        <w:gridCol w:w="2160"/>
        <w:gridCol w:w="2160"/>
        <w:gridCol w:w="2160"/>
      </w:tblGrid>
      <w:tr>
        <w:trPr>
          <w:cantSplit/>
          <w:tblHeader/>
        </w:trPr>
        <w:tc>
          <w:tcPr>
            <w:tcW w:type="dxa" w:w="2736"/>
          </w:tcPr>
          <w:p>
            <w:r>
              <w:rPr>
                <w:b/>
              </w:rPr>
              <w:t>Domain</w:t>
            </w:r>
          </w:p>
        </w:tc>
        <w:tc>
          <w:tcPr>
            <w:tcW w:type="dxa" w:w="3168"/>
          </w:tcPr>
          <w:p>
            <w:r>
              <w:rPr>
                <w:b/>
              </w:rPr>
              <w:t>Items</w:t>
            </w:r>
          </w:p>
        </w:tc>
        <w:tc>
          <w:tcPr>
            <w:tcW w:type="dxa" w:w="2160"/>
          </w:tcPr>
          <w:p>
            <w:r>
              <w:rPr>
                <w:b/>
              </w:rPr>
              <w:t>Weight of each item</w:t>
            </w:r>
          </w:p>
        </w:tc>
        <w:tc>
          <w:tcPr>
            <w:tcW w:type="dxa" w:w="1440"/>
          </w:tcPr>
          <w:p>
            <w:r>
              <w:rPr>
                <w:b/>
              </w:rPr>
              <w:t>Weighted maximum</w:t>
            </w:r>
          </w:p>
        </w:tc>
      </w:tr>
      <w:tr>
        <w:tc>
          <w:tcPr>
            <w:tcW w:type="dxa" w:w="2736"/>
          </w:tcPr>
          <w:p>
            <w:r>
              <w:rPr>
                <w:b w:val="0"/>
              </w:rPr>
              <w:t>Cognition</w:t>
            </w:r>
          </w:p>
        </w:tc>
        <w:tc>
          <w:tcPr>
            <w:tcW w:type="dxa" w:w="3168"/>
          </w:tcPr>
          <w:p>
            <w:r>
              <w:rPr>
                <w:b w:val="0"/>
              </w:rPr>
              <w:t>6</w:t>
            </w:r>
          </w:p>
        </w:tc>
        <w:tc>
          <w:tcPr>
            <w:tcW w:type="dxa" w:w="2160"/>
          </w:tcPr>
          <w:p>
            <w:r>
              <w:rPr>
                <w:b w:val="0"/>
              </w:rPr>
              <w:t>4, 4, 4, 4, 2, 2</w:t>
            </w:r>
          </w:p>
        </w:tc>
        <w:tc>
          <w:tcPr>
            <w:tcW w:type="dxa" w:w="1440"/>
          </w:tcPr>
          <w:p>
            <w:r>
              <w:rPr>
                <w:b w:val="0"/>
              </w:rPr>
              <w:t>20</w:t>
            </w:r>
          </w:p>
        </w:tc>
      </w:tr>
      <w:tr>
        <w:tc>
          <w:tcPr>
            <w:tcW w:type="dxa" w:w="2736"/>
          </w:tcPr>
          <w:p>
            <w:r>
              <w:rPr>
                <w:b w:val="0"/>
              </w:rPr>
              <w:t>Mobility</w:t>
            </w:r>
          </w:p>
        </w:tc>
        <w:tc>
          <w:tcPr>
            <w:tcW w:type="dxa" w:w="3168"/>
          </w:tcPr>
          <w:p>
            <w:r>
              <w:rPr>
                <w:b w:val="0"/>
              </w:rPr>
              <w:t>5</w:t>
            </w:r>
          </w:p>
        </w:tc>
        <w:tc>
          <w:tcPr>
            <w:tcW w:type="dxa" w:w="2160"/>
          </w:tcPr>
          <w:p>
            <w:r>
              <w:rPr>
                <w:b w:val="0"/>
              </w:rPr>
              <w:t>4, 2, 2, 4, 4</w:t>
            </w:r>
          </w:p>
        </w:tc>
        <w:tc>
          <w:tcPr>
            <w:tcW w:type="dxa" w:w="1440"/>
          </w:tcPr>
          <w:p>
            <w:r>
              <w:rPr>
                <w:b w:val="0"/>
              </w:rPr>
              <w:t>16</w:t>
            </w:r>
          </w:p>
        </w:tc>
      </w:tr>
      <w:tr>
        <w:tc>
          <w:tcPr>
            <w:tcW w:type="dxa" w:w="2736"/>
          </w:tcPr>
          <w:p>
            <w:r>
              <w:rPr>
                <w:b w:val="0"/>
              </w:rPr>
              <w:t>Self-Care</w:t>
            </w:r>
          </w:p>
        </w:tc>
        <w:tc>
          <w:tcPr>
            <w:tcW w:type="dxa" w:w="3168"/>
          </w:tcPr>
          <w:p>
            <w:r>
              <w:rPr>
                <w:b w:val="0"/>
              </w:rPr>
              <w:t>3</w:t>
            </w:r>
          </w:p>
        </w:tc>
        <w:tc>
          <w:tcPr>
            <w:tcW w:type="dxa" w:w="2160"/>
          </w:tcPr>
          <w:p>
            <w:r>
              <w:rPr>
                <w:b w:val="0"/>
              </w:rPr>
              <w:t>2, 4, 2</w:t>
            </w:r>
          </w:p>
        </w:tc>
        <w:tc>
          <w:tcPr>
            <w:tcW w:type="dxa" w:w="1440"/>
          </w:tcPr>
          <w:p>
            <w:r>
              <w:rPr>
                <w:b w:val="0"/>
              </w:rPr>
              <w:t>8</w:t>
            </w:r>
          </w:p>
        </w:tc>
      </w:tr>
      <w:tr>
        <w:tc>
          <w:tcPr>
            <w:tcW w:type="dxa" w:w="2736"/>
          </w:tcPr>
          <w:p>
            <w:r>
              <w:rPr>
                <w:b w:val="0"/>
              </w:rPr>
              <w:t>Getting Along</w:t>
            </w:r>
          </w:p>
        </w:tc>
        <w:tc>
          <w:tcPr>
            <w:tcW w:type="dxa" w:w="3168"/>
          </w:tcPr>
          <w:p>
            <w:r>
              <w:rPr>
                <w:b w:val="0"/>
              </w:rPr>
              <w:t>4</w:t>
            </w:r>
          </w:p>
        </w:tc>
        <w:tc>
          <w:tcPr>
            <w:tcW w:type="dxa" w:w="2160"/>
          </w:tcPr>
          <w:p>
            <w:r>
              <w:rPr>
                <w:b w:val="0"/>
              </w:rPr>
              <w:t>2, 2, 2, 4</w:t>
            </w:r>
          </w:p>
        </w:tc>
        <w:tc>
          <w:tcPr>
            <w:tcW w:type="dxa" w:w="1440"/>
          </w:tcPr>
          <w:p>
            <w:r>
              <w:rPr>
                <w:b w:val="0"/>
              </w:rPr>
              <w:t>10</w:t>
            </w:r>
          </w:p>
        </w:tc>
      </w:tr>
      <w:tr>
        <w:tc>
          <w:tcPr>
            <w:tcW w:type="dxa" w:w="2736"/>
          </w:tcPr>
          <w:p>
            <w:r>
              <w:rPr>
                <w:b w:val="0"/>
              </w:rPr>
              <w:t>Life Activities</w:t>
            </w:r>
          </w:p>
        </w:tc>
        <w:tc>
          <w:tcPr>
            <w:tcW w:type="dxa" w:w="3168"/>
          </w:tcPr>
          <w:p>
            <w:r>
              <w:rPr>
                <w:b w:val="0"/>
              </w:rPr>
              <w:t>4</w:t>
            </w:r>
          </w:p>
        </w:tc>
        <w:tc>
          <w:tcPr>
            <w:tcW w:type="dxa" w:w="2160"/>
          </w:tcPr>
          <w:p>
            <w:r>
              <w:rPr>
                <w:b w:val="0"/>
              </w:rPr>
              <w:t>2, 2, 2, 4</w:t>
            </w:r>
          </w:p>
        </w:tc>
        <w:tc>
          <w:tcPr>
            <w:tcW w:type="dxa" w:w="1440"/>
          </w:tcPr>
          <w:p>
            <w:r>
              <w:rPr>
                <w:b w:val="0"/>
              </w:rPr>
              <w:t>10</w:t>
            </w:r>
          </w:p>
        </w:tc>
      </w:tr>
      <w:tr>
        <w:tc>
          <w:tcPr>
            <w:tcW w:type="dxa" w:w="2736"/>
          </w:tcPr>
          <w:p>
            <w:r>
              <w:rPr>
                <w:b w:val="0"/>
              </w:rPr>
              <w:t>Participation</w:t>
            </w:r>
          </w:p>
        </w:tc>
        <w:tc>
          <w:tcPr>
            <w:tcW w:type="dxa" w:w="3168"/>
          </w:tcPr>
          <w:p>
            <w:r>
              <w:rPr>
                <w:b w:val="0"/>
              </w:rPr>
              <w:t>8</w:t>
            </w:r>
          </w:p>
        </w:tc>
        <w:tc>
          <w:tcPr>
            <w:tcW w:type="dxa" w:w="2160"/>
          </w:tcPr>
          <w:p>
            <w:r>
              <w:rPr>
                <w:b w:val="0"/>
              </w:rPr>
              <w:t>2, 4, 2, 4, 4, 2, 4, 2</w:t>
            </w:r>
          </w:p>
        </w:tc>
        <w:tc>
          <w:tcPr>
            <w:tcW w:type="dxa" w:w="1440"/>
          </w:tcPr>
          <w:p>
            <w:r>
              <w:rPr>
                <w:b w:val="0"/>
              </w:rPr>
              <w:t>24</w:t>
            </w:r>
          </w:p>
        </w:tc>
      </w:tr>
      <w:tr>
        <w:tc>
          <w:tcPr>
            <w:tcW w:type="dxa" w:w="2736"/>
          </w:tcPr>
          <w:p>
            <w:r>
              <w:rPr>
                <w:b w:val="0"/>
              </w:rPr>
              <w:t>All six domains</w:t>
            </w:r>
          </w:p>
        </w:tc>
        <w:tc>
          <w:tcPr>
            <w:tcW w:type="dxa" w:w="3168"/>
          </w:tcPr>
          <w:p>
            <w:r>
              <w:rPr>
                <w:b w:val="0"/>
              </w:rPr>
              <w:t>30</w:t>
            </w:r>
          </w:p>
        </w:tc>
        <w:tc>
          <w:tcPr>
            <w:tcW w:type="dxa" w:w="2160"/>
          </w:tcPr>
          <w:p>
            <w:r>
              <w:rPr>
                <w:b w:val="0"/>
              </w:rPr>
            </w:r>
          </w:p>
        </w:tc>
        <w:tc>
          <w:tcPr>
            <w:tcW w:type="dxa" w:w="1440"/>
          </w:tcPr>
          <w:p>
            <w:r>
              <w:rPr>
                <w:b w:val="0"/>
              </w:rPr>
              <w:t>88</w:t>
            </w:r>
          </w:p>
        </w:tc>
      </w:tr>
    </w:tbl>
    <w:p>
      <w:pPr>
        <w:spacing w:after="160"/>
      </w:pPr>
      <w:r>
        <w:rPr>
          <w:color w:val="444444"/>
          <w:sz w:val="18"/>
        </w:rPr>
        <w:t>Each item is answered on the five-level scale shown in main-text Table 2 and recorded as that response. The registry additionally converts each response to a weighted score, whose maximum is the value shown; a domain score is the domain’s weighted item sum divided by its weighted maximum × 100, and the summary score is the unweighted mean of the six domain scores. Because the six domains are averaged with equal weight, an item in a three-item domain contributes more to the summary score than an item in an eight-item domain. Item-level analyses in this paper use the recorded five-level responses, not the weighted scores; domain and summary scores are used as the registry supplies them. This form omits two items of the WHO 32-item version (D3.4 and D4.5), giving 30 items and a weighted maximum of 88.</w:t>
      </w:r>
    </w:p>
    <w:p>
      <w:pPr>
        <w:spacing w:before="200" w:after="60"/>
      </w:pPr>
      <w:r>
        <w:rPr>
          <w:b/>
          <w:sz w:val="26"/>
        </w:rPr>
        <w:t>S2. WHODAS 2.0 domain-level Cox model</w:t>
      </w:r>
    </w:p>
    <w:p>
      <w:pPr>
        <w:spacing w:after="80"/>
      </w:pPr>
      <w:r>
        <w:rPr>
          <w:i w:val="0"/>
          <w:sz w:val="21"/>
        </w:rPr>
        <w:t>All six WHODAS 2.0 domains entered simultaneously, adjusted for age, sex, education, urbanicity and CDR stage.</w:t>
      </w:r>
    </w:p>
    <w:p>
      <w:pPr>
        <w:keepNext/>
        <w:spacing w:before="160" w:after="60"/>
      </w:pPr>
      <w:r>
        <w:rPr>
          <w:b/>
          <w:sz w:val="22"/>
        </w:rPr>
        <w:t>Table S2.1. Domain hazard ratios (n = 189,101; 86,108 deaths)</w:t>
      </w:r>
    </w:p>
    <w:tbl>
      <w:tblPr>
        <w:tblW w:type="auto" w:w="0"/>
        <w:tblLook w:firstColumn="1" w:firstRow="1" w:lastColumn="0" w:lastRow="0" w:noHBand="0" w:noVBand="1" w:val="04A0"/>
        <w:tblBorders>
          <w:top w:val="single" w:sz="4" w:color="888888"/>
          <w:left w:val="single" w:sz="4" w:color="888888"/>
          <w:bottom w:val="single" w:sz="4" w:color="888888"/>
          <w:right w:val="single" w:sz="4" w:color="888888"/>
          <w:insideH w:val="single" w:sz="4" w:color="888888"/>
          <w:insideV w:val="single" w:sz="4" w:color="888888"/>
        </w:tblBorders>
      </w:tblPr>
      <w:tblGrid>
        <w:gridCol w:w="2160"/>
        <w:gridCol w:w="2160"/>
        <w:gridCol w:w="2160"/>
        <w:gridCol w:w="2160"/>
      </w:tblGrid>
      <w:tr>
        <w:trPr>
          <w:cantSplit/>
          <w:tblHeader/>
        </w:trPr>
        <w:tc>
          <w:tcPr>
            <w:tcW w:type="dxa" w:w="2736"/>
          </w:tcPr>
          <w:p>
            <w:r/>
            <w:r>
              <w:rPr>
                <w:b/>
                <w:sz w:val="18"/>
              </w:rPr>
              <w:t>WHODAS 2.0 domain</w:t>
            </w:r>
          </w:p>
        </w:tc>
        <w:tc>
          <w:tcPr>
            <w:tcW w:type="dxa" w:w="3168"/>
          </w:tcPr>
          <w:p>
            <w:r/>
            <w:r>
              <w:rPr>
                <w:b/>
                <w:sz w:val="18"/>
              </w:rPr>
              <w:t>HR per 10 points (95% CI)</w:t>
            </w:r>
          </w:p>
        </w:tc>
        <w:tc>
          <w:tcPr>
            <w:tcW w:type="dxa" w:w="2160"/>
          </w:tcPr>
          <w:p>
            <w:r>
              <w:t>HR per 25 points</w:t>
            </w:r>
          </w:p>
        </w:tc>
        <w:tc>
          <w:tcPr>
            <w:tcW w:type="dxa" w:w="1440"/>
          </w:tcPr>
          <w:p>
            <w:r/>
            <w:r>
              <w:rPr>
                <w:b/>
                <w:sz w:val="18"/>
              </w:rPr>
              <w:t>Wald χ²</w:t>
            </w:r>
          </w:p>
        </w:tc>
      </w:tr>
      <w:tr>
        <w:tc>
          <w:tcPr>
            <w:tcW w:type="dxa" w:w="2736"/>
          </w:tcPr>
          <w:p>
            <w:r/>
            <w:r>
              <w:rPr>
                <w:sz w:val="18"/>
              </w:rPr>
              <w:t>Mobility</w:t>
            </w:r>
          </w:p>
        </w:tc>
        <w:tc>
          <w:tcPr>
            <w:tcW w:type="dxa" w:w="3168"/>
          </w:tcPr>
          <w:p>
            <w:r>
              <w:t>1.0726 (1.0689–1.0763)</w:t>
            </w:r>
          </w:p>
        </w:tc>
        <w:tc>
          <w:tcPr>
            <w:tcW w:type="dxa" w:w="2160"/>
          </w:tcPr>
          <w:p>
            <w:r>
              <w:t>1.192</w:t>
            </w:r>
          </w:p>
        </w:tc>
        <w:tc>
          <w:tcPr>
            <w:tcW w:type="dxa" w:w="1440"/>
          </w:tcPr>
          <w:p>
            <w:r/>
            <w:r>
              <w:rPr>
                <w:sz w:val="18"/>
              </w:rPr>
              <w:t>1,586</w:t>
            </w:r>
          </w:p>
        </w:tc>
      </w:tr>
      <w:tr>
        <w:tc>
          <w:tcPr>
            <w:tcW w:type="dxa" w:w="2736"/>
          </w:tcPr>
          <w:p>
            <w:r/>
            <w:r>
              <w:rPr>
                <w:sz w:val="18"/>
              </w:rPr>
              <w:t>Cognition</w:t>
            </w:r>
          </w:p>
        </w:tc>
        <w:tc>
          <w:tcPr>
            <w:tcW w:type="dxa" w:w="3168"/>
          </w:tcPr>
          <w:p>
            <w:r>
              <w:t>1.0444 (1.0400–1.0489)</w:t>
            </w:r>
          </w:p>
        </w:tc>
        <w:tc>
          <w:tcPr>
            <w:tcW w:type="dxa" w:w="2160"/>
          </w:tcPr>
          <w:p>
            <w:r>
              <w:t>1.115</w:t>
            </w:r>
          </w:p>
        </w:tc>
        <w:tc>
          <w:tcPr>
            <w:tcW w:type="dxa" w:w="1440"/>
          </w:tcPr>
          <w:p>
            <w:r/>
            <w:r>
              <w:rPr>
                <w:sz w:val="18"/>
              </w:rPr>
              <w:t>402</w:t>
            </w:r>
          </w:p>
        </w:tc>
      </w:tr>
      <w:tr>
        <w:tc>
          <w:tcPr>
            <w:tcW w:type="dxa" w:w="2736"/>
          </w:tcPr>
          <w:p>
            <w:r/>
            <w:r>
              <w:rPr>
                <w:sz w:val="18"/>
              </w:rPr>
              <w:t>Getting Along</w:t>
            </w:r>
          </w:p>
        </w:tc>
        <w:tc>
          <w:tcPr>
            <w:tcW w:type="dxa" w:w="3168"/>
          </w:tcPr>
          <w:p>
            <w:r>
              <w:t>1.0164 (1.0126–1.0203)</w:t>
            </w:r>
          </w:p>
        </w:tc>
        <w:tc>
          <w:tcPr>
            <w:tcW w:type="dxa" w:w="2160"/>
          </w:tcPr>
          <w:p>
            <w:r>
              <w:t>1.042</w:t>
            </w:r>
          </w:p>
        </w:tc>
        <w:tc>
          <w:tcPr>
            <w:tcW w:type="dxa" w:w="1440"/>
          </w:tcPr>
          <w:p>
            <w:r/>
            <w:r>
              <w:rPr>
                <w:sz w:val="18"/>
              </w:rPr>
              <w:t>71</w:t>
            </w:r>
          </w:p>
        </w:tc>
      </w:tr>
      <w:tr>
        <w:tc>
          <w:tcPr>
            <w:tcW w:type="dxa" w:w="2736"/>
          </w:tcPr>
          <w:p>
            <w:r/>
            <w:r>
              <w:rPr>
                <w:sz w:val="18"/>
              </w:rPr>
              <w:t>Life Activities</w:t>
            </w:r>
          </w:p>
        </w:tc>
        <w:tc>
          <w:tcPr>
            <w:tcW w:type="dxa" w:w="3168"/>
          </w:tcPr>
          <w:p>
            <w:r>
              <w:t>0.9982 (0.9959–1.0006)</w:t>
            </w:r>
          </w:p>
        </w:tc>
        <w:tc>
          <w:tcPr>
            <w:tcW w:type="dxa" w:w="2160"/>
          </w:tcPr>
          <w:p>
            <w:r>
              <w:t>0.996</w:t>
            </w:r>
          </w:p>
        </w:tc>
        <w:tc>
          <w:tcPr>
            <w:tcW w:type="dxa" w:w="1440"/>
          </w:tcPr>
          <w:p>
            <w:r/>
            <w:r>
              <w:rPr>
                <w:sz w:val="18"/>
              </w:rPr>
              <w:t>2</w:t>
            </w:r>
          </w:p>
        </w:tc>
      </w:tr>
      <w:tr>
        <w:tc>
          <w:tcPr>
            <w:tcW w:type="dxa" w:w="2736"/>
          </w:tcPr>
          <w:p>
            <w:r/>
            <w:r>
              <w:rPr>
                <w:sz w:val="18"/>
              </w:rPr>
              <w:t>Participation</w:t>
            </w:r>
          </w:p>
        </w:tc>
        <w:tc>
          <w:tcPr>
            <w:tcW w:type="dxa" w:w="3168"/>
          </w:tcPr>
          <w:p>
            <w:r>
              <w:t>0.9977 (0.9942–1.0012)</w:t>
            </w:r>
          </w:p>
        </w:tc>
        <w:tc>
          <w:tcPr>
            <w:tcW w:type="dxa" w:w="2160"/>
          </w:tcPr>
          <w:p>
            <w:r>
              <w:t>0.994</w:t>
            </w:r>
          </w:p>
        </w:tc>
        <w:tc>
          <w:tcPr>
            <w:tcW w:type="dxa" w:w="1440"/>
          </w:tcPr>
          <w:p>
            <w:r/>
            <w:r>
              <w:rPr>
                <w:sz w:val="18"/>
              </w:rPr>
              <w:t>2</w:t>
            </w:r>
          </w:p>
        </w:tc>
      </w:tr>
      <w:tr>
        <w:tc>
          <w:tcPr>
            <w:tcW w:type="dxa" w:w="2736"/>
          </w:tcPr>
          <w:p>
            <w:r/>
            <w:r>
              <w:rPr>
                <w:sz w:val="18"/>
              </w:rPr>
              <w:t>Self-Care</w:t>
            </w:r>
          </w:p>
        </w:tc>
        <w:tc>
          <w:tcPr>
            <w:tcW w:type="dxa" w:w="3168"/>
          </w:tcPr>
          <w:p>
            <w:r>
              <w:t>1.0008 (0.9981–1.0035)</w:t>
            </w:r>
          </w:p>
        </w:tc>
        <w:tc>
          <w:tcPr>
            <w:tcW w:type="dxa" w:w="2160"/>
          </w:tcPr>
          <w:p>
            <w:r>
              <w:t>1.002</w:t>
            </w:r>
          </w:p>
        </w:tc>
        <w:tc>
          <w:tcPr>
            <w:tcW w:type="dxa" w:w="1440"/>
          </w:tcPr>
          <w:p>
            <w:r/>
            <w:r>
              <w:rPr>
                <w:sz w:val="18"/>
              </w:rPr>
              <w:t>0</w:t>
            </w:r>
          </w:p>
        </w:tc>
      </w:tr>
    </w:tbl>
    <w:p>
      <w:pPr>
        <w:spacing w:after="160"/>
      </w:pPr>
      <w:r>
        <w:rPr>
          <w:color w:val="444444"/>
          <w:sz w:val="18"/>
        </w:rPr>
        <w:t>Domain scores are 0–100, higher indicating greater disability. Domains are ordered by Wald χ², which does not depend on item scaling. "HR per 25 points" expresses the same coefficient over a quarter of the domain range, for comparison with the item tables.</w:t>
      </w:r>
    </w:p>
    <w:p>
      <w:pPr>
        <w:spacing w:before="200" w:after="60"/>
      </w:pPr>
      <w:r>
        <w:rPr>
          <w:b/>
          <w:sz w:val="26"/>
        </w:rPr>
        <w:t>S3. Item-level Cox model</w:t>
      </w:r>
    </w:p>
    <w:p>
      <w:pPr>
        <w:spacing w:after="80"/>
      </w:pPr>
      <w:r>
        <w:rPr>
          <w:i w:val="0"/>
          <w:sz w:val="21"/>
        </w:rPr>
        <w:t>The eleven individual Mobility and Cognition items entered simultaneously, with the same covariate adjustment.</w:t>
      </w:r>
    </w:p>
    <w:p>
      <w:pPr>
        <w:keepNext/>
        <w:spacing w:before="160" w:after="60"/>
      </w:pPr>
      <w:r>
        <w:rPr>
          <w:b/>
          <w:sz w:val="22"/>
        </w:rPr>
        <w:t>Table S3.1. Item hazard ratios (n = 170,739; 80,310 deaths)</w:t>
      </w:r>
    </w:p>
    <w:tbl>
      <w:tblPr>
        <w:tblW w:type="auto" w:w="0"/>
        <w:tblLook w:firstColumn="1" w:firstRow="1" w:lastColumn="0" w:lastRow="0" w:noHBand="0" w:noVBand="1" w:val="04A0"/>
        <w:tblBorders>
          <w:top w:val="single" w:sz="4" w:color="888888"/>
          <w:left w:val="single" w:sz="4" w:color="888888"/>
          <w:bottom w:val="single" w:sz="4" w:color="888888"/>
          <w:right w:val="single" w:sz="4" w:color="888888"/>
          <w:insideH w:val="single" w:sz="4" w:color="888888"/>
          <w:insideV w:val="single" w:sz="4" w:color="888888"/>
        </w:tblBorders>
      </w:tblPr>
      <w:tblGrid>
        <w:gridCol w:w="1728"/>
        <w:gridCol w:w="1728"/>
        <w:gridCol w:w="1728"/>
        <w:gridCol w:w="1728"/>
        <w:gridCol w:w="1728"/>
      </w:tblGrid>
      <w:tr>
        <w:trPr>
          <w:cantSplit/>
          <w:tblHeader/>
        </w:trPr>
        <w:tc>
          <w:tcPr>
            <w:tcW w:type="dxa" w:w="3312"/>
          </w:tcPr>
          <w:p>
            <w:r/>
            <w:r>
              <w:rPr>
                <w:b/>
                <w:sz w:val="18"/>
              </w:rPr>
              <w:t>WHODAS 2.0 item</w:t>
            </w:r>
          </w:p>
        </w:tc>
        <w:tc>
          <w:tcPr>
            <w:tcW w:type="dxa" w:w="2736"/>
          </w:tcPr>
          <w:p>
            <w:r/>
            <w:r>
              <w:rPr>
                <w:b/>
                <w:sz w:val="18"/>
              </w:rPr>
              <w:t>HR per 10 points (95% CI)</w:t>
            </w:r>
          </w:p>
        </w:tc>
        <w:tc>
          <w:tcPr>
            <w:tcW w:type="dxa" w:w="1728"/>
          </w:tcPr>
          <w:p>
            <w:r/>
            <w:r>
              <w:rPr>
                <w:b/>
                <w:sz w:val="18"/>
              </w:rPr>
              <w:t>HR per response level</w:t>
            </w:r>
          </w:p>
        </w:tc>
        <w:tc>
          <w:tcPr>
            <w:tcW w:type="dxa" w:w="1296"/>
          </w:tcPr>
          <w:p>
            <w:r/>
            <w:r>
              <w:rPr>
                <w:b/>
                <w:sz w:val="18"/>
              </w:rPr>
              <w:t>Wald χ²</w:t>
            </w:r>
          </w:p>
        </w:tc>
        <w:tc>
          <w:tcPr>
            <w:tcW w:type="dxa" w:w="1008"/>
          </w:tcPr>
          <w:p>
            <w:r/>
            <w:r>
              <w:rPr>
                <w:b/>
                <w:sz w:val="18"/>
              </w:rPr>
              <w:t>Selected</w:t>
            </w:r>
          </w:p>
        </w:tc>
      </w:tr>
      <w:tr>
        <w:tc>
          <w:tcPr>
            <w:tcW w:type="dxa" w:w="3312"/>
          </w:tcPr>
          <w:p>
            <w:r/>
            <w:r>
              <w:rPr>
                <w:sz w:val="18"/>
              </w:rPr>
              <w:t>D2.2 Rising from sitting</w:t>
            </w:r>
          </w:p>
        </w:tc>
        <w:tc>
          <w:tcPr>
            <w:tcW w:type="dxa" w:w="2736"/>
          </w:tcPr>
          <w:p>
            <w:r/>
            <w:r>
              <w:rPr>
                <w:sz w:val="18"/>
              </w:rPr>
              <w:t>1.047 (1.043–1.051)</w:t>
            </w:r>
          </w:p>
        </w:tc>
        <w:tc>
          <w:tcPr>
            <w:tcW w:type="dxa" w:w="1728"/>
          </w:tcPr>
          <w:p>
            <w:r/>
            <w:r>
              <w:rPr>
                <w:sz w:val="18"/>
              </w:rPr>
              <w:t>1.121</w:t>
            </w:r>
          </w:p>
        </w:tc>
        <w:tc>
          <w:tcPr>
            <w:tcW w:type="dxa" w:w="1296"/>
          </w:tcPr>
          <w:p>
            <w:r/>
            <w:r>
              <w:rPr>
                <w:sz w:val="18"/>
              </w:rPr>
              <w:t>551</w:t>
            </w:r>
          </w:p>
        </w:tc>
        <w:tc>
          <w:tcPr>
            <w:tcW w:type="dxa" w:w="1008"/>
          </w:tcPr>
          <w:p>
            <w:r/>
            <w:r>
              <w:rPr>
                <w:sz w:val="18"/>
              </w:rPr>
              <w:t>✓</w:t>
            </w:r>
          </w:p>
        </w:tc>
      </w:tr>
      <w:tr>
        <w:tc>
          <w:tcPr>
            <w:tcW w:type="dxa" w:w="3312"/>
          </w:tcPr>
          <w:p>
            <w:r/>
            <w:r>
              <w:rPr>
                <w:sz w:val="18"/>
              </w:rPr>
              <w:t>D1.1 Concentrating for 10 minutes</w:t>
            </w:r>
          </w:p>
        </w:tc>
        <w:tc>
          <w:tcPr>
            <w:tcW w:type="dxa" w:w="2736"/>
          </w:tcPr>
          <w:p>
            <w:r/>
            <w:r>
              <w:rPr>
                <w:sz w:val="18"/>
              </w:rPr>
              <w:t>1.022 (1.017–1.026)</w:t>
            </w:r>
          </w:p>
        </w:tc>
        <w:tc>
          <w:tcPr>
            <w:tcW w:type="dxa" w:w="1728"/>
          </w:tcPr>
          <w:p>
            <w:r/>
            <w:r>
              <w:rPr>
                <w:sz w:val="18"/>
              </w:rPr>
              <w:t>1.055</w:t>
            </w:r>
          </w:p>
        </w:tc>
        <w:tc>
          <w:tcPr>
            <w:tcW w:type="dxa" w:w="1296"/>
          </w:tcPr>
          <w:p>
            <w:r/>
            <w:r>
              <w:rPr>
                <w:sz w:val="18"/>
              </w:rPr>
              <w:t>105</w:t>
            </w:r>
          </w:p>
        </w:tc>
        <w:tc>
          <w:tcPr>
            <w:tcW w:type="dxa" w:w="1008"/>
          </w:tcPr>
          <w:p>
            <w:r/>
            <w:r>
              <w:rPr>
                <w:sz w:val="18"/>
              </w:rPr>
              <w:t>✓</w:t>
            </w:r>
          </w:p>
        </w:tc>
      </w:tr>
      <w:tr>
        <w:tc>
          <w:tcPr>
            <w:tcW w:type="dxa" w:w="3312"/>
          </w:tcPr>
          <w:p>
            <w:r/>
            <w:r>
              <w:rPr>
                <w:sz w:val="18"/>
              </w:rPr>
              <w:t>D1.5 Understanding what people say</w:t>
            </w:r>
          </w:p>
        </w:tc>
        <w:tc>
          <w:tcPr>
            <w:tcW w:type="dxa" w:w="2736"/>
          </w:tcPr>
          <w:p>
            <w:r/>
            <w:r>
              <w:rPr>
                <w:sz w:val="18"/>
              </w:rPr>
              <w:t>1.018 (1.014–1.023)</w:t>
            </w:r>
          </w:p>
        </w:tc>
        <w:tc>
          <w:tcPr>
            <w:tcW w:type="dxa" w:w="1728"/>
          </w:tcPr>
          <w:p>
            <w:r/>
            <w:r>
              <w:rPr>
                <w:sz w:val="18"/>
              </w:rPr>
              <w:t>1.046</w:t>
            </w:r>
          </w:p>
        </w:tc>
        <w:tc>
          <w:tcPr>
            <w:tcW w:type="dxa" w:w="1296"/>
          </w:tcPr>
          <w:p>
            <w:r/>
            <w:r>
              <w:rPr>
                <w:sz w:val="18"/>
              </w:rPr>
              <w:t>67</w:t>
            </w:r>
          </w:p>
        </w:tc>
        <w:tc>
          <w:tcPr>
            <w:tcW w:type="dxa" w:w="1008"/>
          </w:tcPr>
          <w:p>
            <w:r/>
            <w:r>
              <w:rPr>
                <w:sz w:val="18"/>
              </w:rPr>
              <w:t>✓</w:t>
            </w:r>
          </w:p>
        </w:tc>
      </w:tr>
      <w:tr>
        <w:tc>
          <w:tcPr>
            <w:tcW w:type="dxa" w:w="3312"/>
          </w:tcPr>
          <w:p>
            <w:r/>
            <w:r>
              <w:rPr>
                <w:sz w:val="18"/>
              </w:rPr>
              <w:t>D2.1 Standing for 30 minutes</w:t>
            </w:r>
          </w:p>
        </w:tc>
        <w:tc>
          <w:tcPr>
            <w:tcW w:type="dxa" w:w="2736"/>
          </w:tcPr>
          <w:p>
            <w:r/>
            <w:r>
              <w:rPr>
                <w:sz w:val="18"/>
              </w:rPr>
              <w:t>1.014 (1.009–1.018)</w:t>
            </w:r>
          </w:p>
        </w:tc>
        <w:tc>
          <w:tcPr>
            <w:tcW w:type="dxa" w:w="1728"/>
          </w:tcPr>
          <w:p>
            <w:r/>
            <w:r>
              <w:rPr>
                <w:sz w:val="18"/>
              </w:rPr>
              <w:t>1.034</w:t>
            </w:r>
          </w:p>
        </w:tc>
        <w:tc>
          <w:tcPr>
            <w:tcW w:type="dxa" w:w="1296"/>
          </w:tcPr>
          <w:p>
            <w:r/>
            <w:r>
              <w:rPr>
                <w:sz w:val="18"/>
              </w:rPr>
              <w:t>34</w:t>
            </w:r>
          </w:p>
        </w:tc>
        <w:tc>
          <w:tcPr>
            <w:tcW w:type="dxa" w:w="1008"/>
          </w:tcPr>
          <w:p>
            <w:r/>
            <w:r>
              <w:rPr>
                <w:sz w:val="18"/>
              </w:rPr>
              <w:t>✓</w:t>
            </w:r>
          </w:p>
        </w:tc>
      </w:tr>
      <w:tr>
        <w:tc>
          <w:tcPr>
            <w:tcW w:type="dxa" w:w="3312"/>
          </w:tcPr>
          <w:p>
            <w:r/>
            <w:r>
              <w:rPr>
                <w:sz w:val="18"/>
              </w:rPr>
              <w:t>D1.6 Starting/maintaining a conversation</w:t>
            </w:r>
          </w:p>
        </w:tc>
        <w:tc>
          <w:tcPr>
            <w:tcW w:type="dxa" w:w="2736"/>
          </w:tcPr>
          <w:p>
            <w:r/>
            <w:r>
              <w:rPr>
                <w:sz w:val="18"/>
              </w:rPr>
              <w:t>1.011 (1.006–1.015)</w:t>
            </w:r>
          </w:p>
        </w:tc>
        <w:tc>
          <w:tcPr>
            <w:tcW w:type="dxa" w:w="1728"/>
          </w:tcPr>
          <w:p>
            <w:r/>
            <w:r>
              <w:rPr>
                <w:sz w:val="18"/>
              </w:rPr>
              <w:t>1.027</w:t>
            </w:r>
          </w:p>
        </w:tc>
        <w:tc>
          <w:tcPr>
            <w:tcW w:type="dxa" w:w="1296"/>
          </w:tcPr>
          <w:p>
            <w:r/>
            <w:r>
              <w:rPr>
                <w:sz w:val="18"/>
              </w:rPr>
              <w:t>24</w:t>
            </w:r>
          </w:p>
        </w:tc>
        <w:tc>
          <w:tcPr>
            <w:tcW w:type="dxa" w:w="1008"/>
          </w:tcPr>
          <w:p>
            <w:r/>
            <w:r>
              <w:rPr>
                <w:sz w:val="18"/>
              </w:rPr>
            </w:r>
          </w:p>
        </w:tc>
      </w:tr>
      <w:tr>
        <w:tc>
          <w:tcPr>
            <w:tcW w:type="dxa" w:w="3312"/>
          </w:tcPr>
          <w:p>
            <w:r/>
            <w:r>
              <w:rPr>
                <w:sz w:val="18"/>
              </w:rPr>
              <w:t>D2.3 Moving around inside the home</w:t>
            </w:r>
          </w:p>
        </w:tc>
        <w:tc>
          <w:tcPr>
            <w:tcW w:type="dxa" w:w="2736"/>
          </w:tcPr>
          <w:p>
            <w:r/>
            <w:r>
              <w:rPr>
                <w:sz w:val="18"/>
              </w:rPr>
              <w:t>1.011 (1.007–1.016)</w:t>
            </w:r>
          </w:p>
        </w:tc>
        <w:tc>
          <w:tcPr>
            <w:tcW w:type="dxa" w:w="1728"/>
          </w:tcPr>
          <w:p>
            <w:r/>
            <w:r>
              <w:rPr>
                <w:sz w:val="18"/>
              </w:rPr>
              <w:t>1.028</w:t>
            </w:r>
          </w:p>
        </w:tc>
        <w:tc>
          <w:tcPr>
            <w:tcW w:type="dxa" w:w="1296"/>
          </w:tcPr>
          <w:p>
            <w:r/>
            <w:r>
              <w:rPr>
                <w:sz w:val="18"/>
              </w:rPr>
              <w:t>24</w:t>
            </w:r>
          </w:p>
        </w:tc>
        <w:tc>
          <w:tcPr>
            <w:tcW w:type="dxa" w:w="1008"/>
          </w:tcPr>
          <w:p>
            <w:r/>
            <w:r>
              <w:rPr>
                <w:sz w:val="18"/>
              </w:rPr>
            </w:r>
          </w:p>
        </w:tc>
      </w:tr>
      <w:tr>
        <w:tc>
          <w:tcPr>
            <w:tcW w:type="dxa" w:w="3312"/>
          </w:tcPr>
          <w:p>
            <w:r/>
            <w:r>
              <w:rPr>
                <w:sz w:val="18"/>
              </w:rPr>
              <w:t>D2.4 Getting out of the home</w:t>
            </w:r>
          </w:p>
        </w:tc>
        <w:tc>
          <w:tcPr>
            <w:tcW w:type="dxa" w:w="2736"/>
          </w:tcPr>
          <w:p>
            <w:r/>
            <w:r>
              <w:rPr>
                <w:sz w:val="18"/>
              </w:rPr>
              <w:t>0.994 (0.990–0.998)</w:t>
            </w:r>
          </w:p>
        </w:tc>
        <w:tc>
          <w:tcPr>
            <w:tcW w:type="dxa" w:w="1728"/>
          </w:tcPr>
          <w:p>
            <w:r/>
            <w:r>
              <w:rPr>
                <w:sz w:val="18"/>
              </w:rPr>
              <w:t>0.985</w:t>
            </w:r>
          </w:p>
        </w:tc>
        <w:tc>
          <w:tcPr>
            <w:tcW w:type="dxa" w:w="1296"/>
          </w:tcPr>
          <w:p>
            <w:r/>
            <w:r>
              <w:rPr>
                <w:sz w:val="18"/>
              </w:rPr>
              <w:t>10</w:t>
            </w:r>
          </w:p>
        </w:tc>
        <w:tc>
          <w:tcPr>
            <w:tcW w:type="dxa" w:w="1008"/>
          </w:tcPr>
          <w:p>
            <w:r/>
            <w:r>
              <w:rPr>
                <w:sz w:val="18"/>
              </w:rPr>
            </w:r>
          </w:p>
        </w:tc>
      </w:tr>
      <w:tr>
        <w:tc>
          <w:tcPr>
            <w:tcW w:type="dxa" w:w="3312"/>
          </w:tcPr>
          <w:p>
            <w:r/>
            <w:r>
              <w:rPr>
                <w:sz w:val="18"/>
              </w:rPr>
              <w:t>D1.2 Remembering</w:t>
            </w:r>
          </w:p>
        </w:tc>
        <w:tc>
          <w:tcPr>
            <w:tcW w:type="dxa" w:w="2736"/>
          </w:tcPr>
          <w:p>
            <w:r/>
            <w:r>
              <w:rPr>
                <w:sz w:val="18"/>
              </w:rPr>
              <w:t>0.993 (0.989–0.998)</w:t>
            </w:r>
          </w:p>
        </w:tc>
        <w:tc>
          <w:tcPr>
            <w:tcW w:type="dxa" w:w="1728"/>
          </w:tcPr>
          <w:p>
            <w:r/>
            <w:r>
              <w:rPr>
                <w:sz w:val="18"/>
              </w:rPr>
              <w:t>0.984</w:t>
            </w:r>
          </w:p>
        </w:tc>
        <w:tc>
          <w:tcPr>
            <w:tcW w:type="dxa" w:w="1296"/>
          </w:tcPr>
          <w:p>
            <w:r/>
            <w:r>
              <w:rPr>
                <w:sz w:val="18"/>
              </w:rPr>
              <w:t>9</w:t>
            </w:r>
          </w:p>
        </w:tc>
        <w:tc>
          <w:tcPr>
            <w:tcW w:type="dxa" w:w="1008"/>
          </w:tcPr>
          <w:p>
            <w:r/>
            <w:r>
              <w:rPr>
                <w:sz w:val="18"/>
              </w:rPr>
            </w:r>
          </w:p>
        </w:tc>
      </w:tr>
      <w:tr>
        <w:tc>
          <w:tcPr>
            <w:tcW w:type="dxa" w:w="3312"/>
          </w:tcPr>
          <w:p>
            <w:r/>
            <w:r>
              <w:rPr>
                <w:sz w:val="18"/>
              </w:rPr>
              <w:t>D2.5 Walking a long distance</w:t>
            </w:r>
          </w:p>
        </w:tc>
        <w:tc>
          <w:tcPr>
            <w:tcW w:type="dxa" w:w="2736"/>
          </w:tcPr>
          <w:p>
            <w:r/>
            <w:r>
              <w:rPr>
                <w:sz w:val="18"/>
              </w:rPr>
              <w:t>1.005 (1.001–1.010)</w:t>
            </w:r>
          </w:p>
        </w:tc>
        <w:tc>
          <w:tcPr>
            <w:tcW w:type="dxa" w:w="1728"/>
          </w:tcPr>
          <w:p>
            <w:r/>
            <w:r>
              <w:rPr>
                <w:sz w:val="18"/>
              </w:rPr>
              <w:t>1.013</w:t>
            </w:r>
          </w:p>
        </w:tc>
        <w:tc>
          <w:tcPr>
            <w:tcW w:type="dxa" w:w="1296"/>
          </w:tcPr>
          <w:p>
            <w:r/>
            <w:r>
              <w:rPr>
                <w:sz w:val="18"/>
              </w:rPr>
              <w:t>6</w:t>
            </w:r>
          </w:p>
        </w:tc>
        <w:tc>
          <w:tcPr>
            <w:tcW w:type="dxa" w:w="1008"/>
          </w:tcPr>
          <w:p>
            <w:r/>
            <w:r>
              <w:rPr>
                <w:sz w:val="18"/>
              </w:rPr>
            </w:r>
          </w:p>
        </w:tc>
      </w:tr>
      <w:tr>
        <w:tc>
          <w:tcPr>
            <w:tcW w:type="dxa" w:w="3312"/>
          </w:tcPr>
          <w:p>
            <w:r/>
            <w:r>
              <w:rPr>
                <w:sz w:val="18"/>
              </w:rPr>
              <w:t>D1.3 Problem-solving</w:t>
            </w:r>
          </w:p>
        </w:tc>
        <w:tc>
          <w:tcPr>
            <w:tcW w:type="dxa" w:w="2736"/>
          </w:tcPr>
          <w:p>
            <w:r/>
            <w:r>
              <w:rPr>
                <w:sz w:val="18"/>
              </w:rPr>
              <w:t>1.006 (1.001–1.010)</w:t>
            </w:r>
          </w:p>
        </w:tc>
        <w:tc>
          <w:tcPr>
            <w:tcW w:type="dxa" w:w="1728"/>
          </w:tcPr>
          <w:p>
            <w:r/>
            <w:r>
              <w:rPr>
                <w:sz w:val="18"/>
              </w:rPr>
              <w:t>1.014</w:t>
            </w:r>
          </w:p>
        </w:tc>
        <w:tc>
          <w:tcPr>
            <w:tcW w:type="dxa" w:w="1296"/>
          </w:tcPr>
          <w:p>
            <w:r/>
            <w:r>
              <w:rPr>
                <w:sz w:val="18"/>
              </w:rPr>
              <w:t>6</w:t>
            </w:r>
          </w:p>
        </w:tc>
        <w:tc>
          <w:tcPr>
            <w:tcW w:type="dxa" w:w="1008"/>
          </w:tcPr>
          <w:p>
            <w:r/>
            <w:r>
              <w:rPr>
                <w:sz w:val="18"/>
              </w:rPr>
            </w:r>
          </w:p>
        </w:tc>
      </w:tr>
      <w:tr>
        <w:tc>
          <w:tcPr>
            <w:tcW w:type="dxa" w:w="3312"/>
          </w:tcPr>
          <w:p>
            <w:r/>
            <w:r>
              <w:rPr>
                <w:sz w:val="18"/>
              </w:rPr>
              <w:t>D1.4 Learning a new task</w:t>
            </w:r>
          </w:p>
        </w:tc>
        <w:tc>
          <w:tcPr>
            <w:tcW w:type="dxa" w:w="2736"/>
          </w:tcPr>
          <w:p>
            <w:r/>
            <w:r>
              <w:rPr>
                <w:sz w:val="18"/>
              </w:rPr>
              <w:t>1.000 (0.996–1.005)</w:t>
            </w:r>
          </w:p>
        </w:tc>
        <w:tc>
          <w:tcPr>
            <w:tcW w:type="dxa" w:w="1728"/>
          </w:tcPr>
          <w:p>
            <w:r/>
            <w:r>
              <w:rPr>
                <w:sz w:val="18"/>
              </w:rPr>
              <w:t>1.001</w:t>
            </w:r>
          </w:p>
        </w:tc>
        <w:tc>
          <w:tcPr>
            <w:tcW w:type="dxa" w:w="1296"/>
          </w:tcPr>
          <w:p>
            <w:r/>
            <w:r>
              <w:rPr>
                <w:sz w:val="18"/>
              </w:rPr>
              <w:t>0</w:t>
            </w:r>
          </w:p>
        </w:tc>
        <w:tc>
          <w:tcPr>
            <w:tcW w:type="dxa" w:w="1008"/>
          </w:tcPr>
          <w:p>
            <w:r/>
            <w:r>
              <w:rPr>
                <w:sz w:val="18"/>
              </w:rPr>
            </w:r>
          </w:p>
        </w:tc>
      </w:tr>
    </w:tbl>
    <w:p>
      <w:pPr>
        <w:spacing w:after="160"/>
      </w:pPr>
      <w:r>
        <w:rPr>
          <w:color w:val="444444"/>
          <w:sz w:val="18"/>
        </w:rPr>
        <w:t>Items are ordered by Wald χ². The four marked items were carried forward into the number of difficulties described in main-text Table 2. "HR per response level" expresses the same coefficient per single step of the five-level response scale (none / mild / moderate / severe / extreme or cannot do), which is the scale a clinician sees. The seven remaining items, including the more complex mobility tasks of moving around the home and getting out of the home, each contributed a Wald χ² of 25 or less.</w:t>
      </w:r>
    </w:p>
    <w:p>
      <w:pPr>
        <w:keepNext/>
        <w:spacing w:before="200" w:after="60"/>
      </w:pPr>
      <w:r>
        <w:rPr>
          <w:b/>
          <w:sz w:val="20"/>
        </w:rPr>
        <w:t>Table S3.2. The fitted four-item model and the number-of-difficulties model (n = 194,728; 92,330 deaths)</w:t>
      </w:r>
    </w:p>
    <w:tbl>
      <w:tblPr>
        <w:tblW w:type="auto" w:w="0"/>
        <w:tblLook w:firstColumn="1" w:firstRow="1" w:lastColumn="0" w:lastRow="0" w:noHBand="0" w:noVBand="1" w:val="04A0"/>
        <w:tblBorders>
          <w:top w:val="single" w:sz="4" w:color="888888"/>
          <w:left w:val="single" w:sz="4" w:color="888888"/>
          <w:bottom w:val="single" w:sz="4" w:color="888888"/>
          <w:right w:val="single" w:sz="4" w:color="888888"/>
          <w:insideH w:val="single" w:sz="4" w:color="888888"/>
          <w:insideV w:val="single" w:sz="4" w:color="888888"/>
        </w:tblBorders>
      </w:tblPr>
      <w:tblGrid>
        <w:gridCol w:w="2160"/>
        <w:gridCol w:w="2160"/>
        <w:gridCol w:w="2160"/>
        <w:gridCol w:w="2160"/>
      </w:tblGrid>
      <w:tr>
        <w:trPr>
          <w:cantSplit/>
          <w:tblHeader/>
        </w:trPr>
        <w:tc>
          <w:tcPr>
            <w:tcW w:type="dxa" w:w="2736"/>
          </w:tcPr>
          <w:p>
            <w:r>
              <w:rPr>
                <w:b/>
                <w:sz w:val="18"/>
              </w:rPr>
              <w:t>Term</w:t>
            </w:r>
          </w:p>
        </w:tc>
        <w:tc>
          <w:tcPr>
            <w:tcW w:type="dxa" w:w="3168"/>
          </w:tcPr>
          <w:p>
            <w:r>
              <w:rPr>
                <w:b/>
                <w:sz w:val="18"/>
              </w:rPr>
              <w:t>Hazard ratio (95% CI)</w:t>
            </w:r>
          </w:p>
        </w:tc>
        <w:tc>
          <w:tcPr>
            <w:tcW w:type="dxa" w:w="2160"/>
          </w:tcPr>
          <w:p>
            <w:r>
              <w:rPr>
                <w:b/>
                <w:sz w:val="18"/>
              </w:rPr>
              <w:t>Wald χ²</w:t>
            </w:r>
          </w:p>
        </w:tc>
      </w:tr>
      <w:tr>
        <w:tc>
          <w:tcPr>
            <w:tcW w:type="dxa" w:w="2736"/>
          </w:tcPr>
          <w:p>
            <w:r>
              <w:rPr>
                <w:i/>
                <w:sz w:val="18"/>
              </w:rPr>
              <w:t>— Four-item model —</w:t>
            </w:r>
          </w:p>
        </w:tc>
        <w:tc>
          <w:tcPr>
            <w:tcW w:type="dxa" w:w="3168"/>
          </w:tcPr>
          <w:p>
            <w:r>
              <w:rPr>
                <w:i/>
                <w:sz w:val="18"/>
              </w:rPr>
            </w:r>
          </w:p>
        </w:tc>
        <w:tc>
          <w:tcPr>
            <w:tcW w:type="dxa" w:w="2160"/>
          </w:tcPr>
          <w:p>
            <w:r>
              <w:rPr>
                <w:i/>
                <w:sz w:val="18"/>
              </w:rPr>
            </w:r>
          </w:p>
        </w:tc>
      </w:tr>
      <w:tr>
        <w:tc>
          <w:tcPr>
            <w:tcW w:type="dxa" w:w="2736"/>
          </w:tcPr>
          <w:p>
            <w:r>
              <w:rPr>
                <w:b w:val="0"/>
                <w:sz w:val="18"/>
              </w:rPr>
              <w:t>Age, per year</w:t>
            </w:r>
          </w:p>
        </w:tc>
        <w:tc>
          <w:tcPr>
            <w:tcW w:type="dxa" w:w="3168"/>
          </w:tcPr>
          <w:p>
            <w:r>
              <w:rPr>
                <w:b w:val="0"/>
                <w:sz w:val="18"/>
              </w:rPr>
              <w:t>1.035 (1.034–1.036)</w:t>
            </w:r>
          </w:p>
        </w:tc>
        <w:tc>
          <w:tcPr>
            <w:tcW w:type="dxa" w:w="2160"/>
          </w:tcPr>
          <w:p>
            <w:r>
              <w:rPr>
                <w:b w:val="0"/>
                <w:sz w:val="18"/>
              </w:rPr>
              <w:t>5,046</w:t>
            </w:r>
          </w:p>
        </w:tc>
      </w:tr>
      <w:tr>
        <w:tc>
          <w:tcPr>
            <w:tcW w:type="dxa" w:w="2736"/>
          </w:tcPr>
          <w:p>
            <w:r>
              <w:rPr>
                <w:b w:val="0"/>
                <w:sz w:val="18"/>
              </w:rPr>
              <w:t>Female sex</w:t>
            </w:r>
          </w:p>
        </w:tc>
        <w:tc>
          <w:tcPr>
            <w:tcW w:type="dxa" w:w="3168"/>
          </w:tcPr>
          <w:p>
            <w:r>
              <w:rPr>
                <w:b w:val="0"/>
                <w:sz w:val="18"/>
              </w:rPr>
              <w:t>0.649 (0.640–0.657)</w:t>
            </w:r>
          </w:p>
        </w:tc>
        <w:tc>
          <w:tcPr>
            <w:tcW w:type="dxa" w:w="2160"/>
          </w:tcPr>
          <w:p>
            <w:r>
              <w:rPr>
                <w:b w:val="0"/>
                <w:sz w:val="18"/>
              </w:rPr>
              <w:t>3,960</w:t>
            </w:r>
          </w:p>
        </w:tc>
      </w:tr>
      <w:tr>
        <w:tc>
          <w:tcPr>
            <w:tcW w:type="dxa" w:w="2736"/>
          </w:tcPr>
          <w:p>
            <w:r>
              <w:rPr>
                <w:b w:val="0"/>
                <w:sz w:val="18"/>
              </w:rPr>
              <w:t>Education &gt;6 years</w:t>
            </w:r>
          </w:p>
        </w:tc>
        <w:tc>
          <w:tcPr>
            <w:tcW w:type="dxa" w:w="3168"/>
          </w:tcPr>
          <w:p>
            <w:r>
              <w:rPr>
                <w:b w:val="0"/>
                <w:sz w:val="18"/>
              </w:rPr>
              <w:t>0.884 (0.869–0.899)</w:t>
            </w:r>
          </w:p>
        </w:tc>
        <w:tc>
          <w:tcPr>
            <w:tcW w:type="dxa" w:w="2160"/>
          </w:tcPr>
          <w:p>
            <w:r>
              <w:rPr>
                <w:b w:val="0"/>
                <w:sz w:val="18"/>
              </w:rPr>
              <w:t>203</w:t>
            </w:r>
          </w:p>
        </w:tc>
      </w:tr>
      <w:tr>
        <w:tc>
          <w:tcPr>
            <w:tcW w:type="dxa" w:w="2736"/>
          </w:tcPr>
          <w:p>
            <w:r>
              <w:rPr>
                <w:b w:val="0"/>
                <w:sz w:val="18"/>
              </w:rPr>
              <w:t>Rural residence</w:t>
            </w:r>
          </w:p>
        </w:tc>
        <w:tc>
          <w:tcPr>
            <w:tcW w:type="dxa" w:w="3168"/>
          </w:tcPr>
          <w:p>
            <w:r>
              <w:rPr>
                <w:b w:val="0"/>
                <w:sz w:val="18"/>
              </w:rPr>
              <w:t>1.049 (1.033–1.065)</w:t>
            </w:r>
          </w:p>
        </w:tc>
        <w:tc>
          <w:tcPr>
            <w:tcW w:type="dxa" w:w="2160"/>
          </w:tcPr>
          <w:p>
            <w:r>
              <w:rPr>
                <w:b w:val="0"/>
                <w:sz w:val="18"/>
              </w:rPr>
              <w:t>37</w:t>
            </w:r>
          </w:p>
        </w:tc>
      </w:tr>
      <w:tr>
        <w:tc>
          <w:tcPr>
            <w:tcW w:type="dxa" w:w="2736"/>
          </w:tcPr>
          <w:p>
            <w:r>
              <w:rPr>
                <w:b w:val="0"/>
                <w:sz w:val="18"/>
              </w:rPr>
              <w:t>CDR 2 (vs CDR 1)</w:t>
            </w:r>
          </w:p>
        </w:tc>
        <w:tc>
          <w:tcPr>
            <w:tcW w:type="dxa" w:w="3168"/>
          </w:tcPr>
          <w:p>
            <w:r>
              <w:rPr>
                <w:b w:val="0"/>
                <w:sz w:val="18"/>
              </w:rPr>
              <w:t>1.180 (1.160–1.200)</w:t>
            </w:r>
          </w:p>
        </w:tc>
        <w:tc>
          <w:tcPr>
            <w:tcW w:type="dxa" w:w="2160"/>
          </w:tcPr>
          <w:p>
            <w:r>
              <w:rPr>
                <w:b w:val="0"/>
                <w:sz w:val="18"/>
              </w:rPr>
              <w:t>368</w:t>
            </w:r>
          </w:p>
        </w:tc>
      </w:tr>
      <w:tr>
        <w:tc>
          <w:tcPr>
            <w:tcW w:type="dxa" w:w="2736"/>
          </w:tcPr>
          <w:p>
            <w:r>
              <w:rPr>
                <w:b w:val="0"/>
                <w:sz w:val="18"/>
              </w:rPr>
              <w:t>CDR 3 (vs CDR 1)</w:t>
            </w:r>
          </w:p>
        </w:tc>
        <w:tc>
          <w:tcPr>
            <w:tcW w:type="dxa" w:w="3168"/>
          </w:tcPr>
          <w:p>
            <w:r>
              <w:rPr>
                <w:b w:val="0"/>
                <w:sz w:val="18"/>
              </w:rPr>
              <w:t>1.354 (1.328–1.381)</w:t>
            </w:r>
          </w:p>
        </w:tc>
        <w:tc>
          <w:tcPr>
            <w:tcW w:type="dxa" w:w="2160"/>
          </w:tcPr>
          <w:p>
            <w:r>
              <w:rPr>
                <w:b w:val="0"/>
                <w:sz w:val="18"/>
              </w:rPr>
              <w:t>943</w:t>
            </w:r>
          </w:p>
        </w:tc>
      </w:tr>
      <w:tr>
        <w:tc>
          <w:tcPr>
            <w:tcW w:type="dxa" w:w="2736"/>
          </w:tcPr>
          <w:p>
            <w:r>
              <w:rPr>
                <w:b w:val="0"/>
                <w:sz w:val="18"/>
              </w:rPr>
              <w:t>D2.2 Rising from sitting, per 10 points</w:t>
            </w:r>
          </w:p>
        </w:tc>
        <w:tc>
          <w:tcPr>
            <w:tcW w:type="dxa" w:w="3168"/>
          </w:tcPr>
          <w:p>
            <w:r>
              <w:rPr>
                <w:b w:val="0"/>
                <w:sz w:val="18"/>
              </w:rPr>
              <w:t>1.049 (1.047–1.052)</w:t>
            </w:r>
          </w:p>
        </w:tc>
        <w:tc>
          <w:tcPr>
            <w:tcW w:type="dxa" w:w="2160"/>
          </w:tcPr>
          <w:p>
            <w:r>
              <w:rPr>
                <w:b w:val="0"/>
                <w:sz w:val="18"/>
              </w:rPr>
              <w:t>1,177</w:t>
            </w:r>
          </w:p>
        </w:tc>
      </w:tr>
      <w:tr>
        <w:tc>
          <w:tcPr>
            <w:tcW w:type="dxa" w:w="2736"/>
          </w:tcPr>
          <w:p>
            <w:r>
              <w:rPr>
                <w:b w:val="0"/>
                <w:sz w:val="18"/>
              </w:rPr>
              <w:t>D1.1 Concentrating for 10 minutes, per 10 points</w:t>
            </w:r>
          </w:p>
        </w:tc>
        <w:tc>
          <w:tcPr>
            <w:tcW w:type="dxa" w:w="3168"/>
          </w:tcPr>
          <w:p>
            <w:r>
              <w:rPr>
                <w:b w:val="0"/>
                <w:sz w:val="18"/>
              </w:rPr>
              <w:t>1.024 (1.021–1.027)</w:t>
            </w:r>
          </w:p>
        </w:tc>
        <w:tc>
          <w:tcPr>
            <w:tcW w:type="dxa" w:w="2160"/>
          </w:tcPr>
          <w:p>
            <w:r>
              <w:rPr>
                <w:b w:val="0"/>
                <w:sz w:val="18"/>
              </w:rPr>
              <w:t>217</w:t>
            </w:r>
          </w:p>
        </w:tc>
      </w:tr>
      <w:tr>
        <w:tc>
          <w:tcPr>
            <w:tcW w:type="dxa" w:w="2736"/>
          </w:tcPr>
          <w:p>
            <w:r>
              <w:rPr>
                <w:b w:val="0"/>
                <w:sz w:val="18"/>
              </w:rPr>
              <w:t>D1.5 Understanding what people say, per 10 points</w:t>
            </w:r>
          </w:p>
        </w:tc>
        <w:tc>
          <w:tcPr>
            <w:tcW w:type="dxa" w:w="3168"/>
          </w:tcPr>
          <w:p>
            <w:r>
              <w:rPr>
                <w:b w:val="0"/>
                <w:sz w:val="18"/>
              </w:rPr>
              <w:t>1.025 (1.021–1.028)</w:t>
            </w:r>
          </w:p>
        </w:tc>
        <w:tc>
          <w:tcPr>
            <w:tcW w:type="dxa" w:w="2160"/>
          </w:tcPr>
          <w:p>
            <w:r>
              <w:rPr>
                <w:b w:val="0"/>
                <w:sz w:val="18"/>
              </w:rPr>
              <w:t>238</w:t>
            </w:r>
          </w:p>
        </w:tc>
      </w:tr>
      <w:tr>
        <w:tc>
          <w:tcPr>
            <w:tcW w:type="dxa" w:w="2736"/>
          </w:tcPr>
          <w:p>
            <w:r>
              <w:rPr>
                <w:b w:val="0"/>
                <w:sz w:val="18"/>
              </w:rPr>
              <w:t>D2.1 Standing for 30 minutes, per 10 points</w:t>
            </w:r>
          </w:p>
        </w:tc>
        <w:tc>
          <w:tcPr>
            <w:tcW w:type="dxa" w:w="3168"/>
          </w:tcPr>
          <w:p>
            <w:r>
              <w:rPr>
                <w:b w:val="0"/>
                <w:sz w:val="18"/>
              </w:rPr>
              <w:t>1.023 (1.020–1.026)</w:t>
            </w:r>
          </w:p>
        </w:tc>
        <w:tc>
          <w:tcPr>
            <w:tcW w:type="dxa" w:w="2160"/>
          </w:tcPr>
          <w:p>
            <w:r>
              <w:rPr>
                <w:b w:val="0"/>
                <w:sz w:val="18"/>
              </w:rPr>
              <w:t>225</w:t>
            </w:r>
          </w:p>
        </w:tc>
      </w:tr>
      <w:tr>
        <w:tc>
          <w:tcPr>
            <w:tcW w:type="dxa" w:w="2736"/>
          </w:tcPr>
          <w:p>
            <w:r>
              <w:rPr>
                <w:b w:val="0"/>
                <w:sz w:val="18"/>
              </w:rPr>
              <w:t>— Number-of-difficulties model, same participants —</w:t>
            </w:r>
          </w:p>
        </w:tc>
        <w:tc>
          <w:tcPr>
            <w:tcW w:type="dxa" w:w="3168"/>
          </w:tcPr>
          <w:p>
            <w:r>
              <w:rPr>
                <w:b w:val="0"/>
                <w:sz w:val="18"/>
              </w:rPr>
            </w:r>
          </w:p>
        </w:tc>
        <w:tc>
          <w:tcPr>
            <w:tcW w:type="dxa" w:w="2160"/>
          </w:tcPr>
          <w:p>
            <w:r>
              <w:rPr>
                <w:b w:val="0"/>
                <w:sz w:val="18"/>
              </w:rPr>
            </w:r>
          </w:p>
        </w:tc>
      </w:tr>
      <w:tr>
        <w:tc>
          <w:tcPr>
            <w:tcW w:type="dxa" w:w="2736"/>
          </w:tcPr>
          <w:p>
            <w:r>
              <w:rPr>
                <w:b w:val="0"/>
                <w:sz w:val="18"/>
              </w:rPr>
              <w:t>Age, per year</w:t>
            </w:r>
          </w:p>
        </w:tc>
        <w:tc>
          <w:tcPr>
            <w:tcW w:type="dxa" w:w="3168"/>
          </w:tcPr>
          <w:p>
            <w:r>
              <w:rPr>
                <w:b w:val="0"/>
                <w:sz w:val="18"/>
              </w:rPr>
              <w:t>1.035 (1.034–1.036)</w:t>
            </w:r>
          </w:p>
        </w:tc>
        <w:tc>
          <w:tcPr>
            <w:tcW w:type="dxa" w:w="2160"/>
          </w:tcPr>
          <w:p>
            <w:r>
              <w:rPr>
                <w:b w:val="0"/>
                <w:sz w:val="18"/>
              </w:rPr>
              <w:t>5,216</w:t>
            </w:r>
          </w:p>
        </w:tc>
      </w:tr>
      <w:tr>
        <w:tc>
          <w:tcPr>
            <w:tcW w:type="dxa" w:w="2736"/>
          </w:tcPr>
          <w:p>
            <w:r>
              <w:rPr>
                <w:b w:val="0"/>
                <w:sz w:val="18"/>
              </w:rPr>
              <w:t>Female sex</w:t>
            </w:r>
          </w:p>
        </w:tc>
        <w:tc>
          <w:tcPr>
            <w:tcW w:type="dxa" w:w="3168"/>
          </w:tcPr>
          <w:p>
            <w:r>
              <w:rPr>
                <w:b w:val="0"/>
                <w:sz w:val="18"/>
              </w:rPr>
              <w:t>0.652 (0.643–0.661)</w:t>
            </w:r>
          </w:p>
        </w:tc>
        <w:tc>
          <w:tcPr>
            <w:tcW w:type="dxa" w:w="2160"/>
          </w:tcPr>
          <w:p>
            <w:r>
              <w:rPr>
                <w:b w:val="0"/>
                <w:sz w:val="18"/>
              </w:rPr>
              <w:t>3,868</w:t>
            </w:r>
          </w:p>
        </w:tc>
      </w:tr>
      <w:tr>
        <w:tc>
          <w:tcPr>
            <w:tcW w:type="dxa" w:w="2736"/>
          </w:tcPr>
          <w:p>
            <w:r>
              <w:rPr>
                <w:b w:val="0"/>
                <w:sz w:val="18"/>
              </w:rPr>
              <w:t>Education &gt;6 years</w:t>
            </w:r>
          </w:p>
        </w:tc>
        <w:tc>
          <w:tcPr>
            <w:tcW w:type="dxa" w:w="3168"/>
          </w:tcPr>
          <w:p>
            <w:r>
              <w:rPr>
                <w:b w:val="0"/>
                <w:sz w:val="18"/>
              </w:rPr>
              <w:t>0.881 (0.866–0.896)</w:t>
            </w:r>
          </w:p>
        </w:tc>
        <w:tc>
          <w:tcPr>
            <w:tcW w:type="dxa" w:w="2160"/>
          </w:tcPr>
          <w:p>
            <w:r>
              <w:rPr>
                <w:b w:val="0"/>
                <w:sz w:val="18"/>
              </w:rPr>
              <w:t>213</w:t>
            </w:r>
          </w:p>
        </w:tc>
      </w:tr>
      <w:tr>
        <w:tc>
          <w:tcPr>
            <w:tcW w:type="dxa" w:w="2736"/>
          </w:tcPr>
          <w:p>
            <w:r>
              <w:rPr>
                <w:b w:val="0"/>
                <w:sz w:val="18"/>
              </w:rPr>
              <w:t>Rural residence</w:t>
            </w:r>
          </w:p>
        </w:tc>
        <w:tc>
          <w:tcPr>
            <w:tcW w:type="dxa" w:w="3168"/>
          </w:tcPr>
          <w:p>
            <w:r>
              <w:rPr>
                <w:b w:val="0"/>
                <w:sz w:val="18"/>
              </w:rPr>
              <w:t>1.044 (1.028–1.061)</w:t>
            </w:r>
          </w:p>
        </w:tc>
        <w:tc>
          <w:tcPr>
            <w:tcW w:type="dxa" w:w="2160"/>
          </w:tcPr>
          <w:p>
            <w:r>
              <w:rPr>
                <w:b w:val="0"/>
                <w:sz w:val="18"/>
              </w:rPr>
              <w:t>30</w:t>
            </w:r>
          </w:p>
        </w:tc>
      </w:tr>
      <w:tr>
        <w:tc>
          <w:tcPr>
            <w:tcW w:type="dxa" w:w="2736"/>
          </w:tcPr>
          <w:p>
            <w:r>
              <w:rPr>
                <w:b w:val="0"/>
                <w:sz w:val="18"/>
              </w:rPr>
              <w:t>CDR 2 (vs CDR 1)</w:t>
            </w:r>
          </w:p>
        </w:tc>
        <w:tc>
          <w:tcPr>
            <w:tcW w:type="dxa" w:w="3168"/>
          </w:tcPr>
          <w:p>
            <w:r>
              <w:rPr>
                <w:b w:val="0"/>
                <w:sz w:val="18"/>
              </w:rPr>
              <w:t>1.181 (1.161–1.201)</w:t>
            </w:r>
          </w:p>
        </w:tc>
        <w:tc>
          <w:tcPr>
            <w:tcW w:type="dxa" w:w="2160"/>
          </w:tcPr>
          <w:p>
            <w:r>
              <w:rPr>
                <w:b w:val="0"/>
                <w:sz w:val="18"/>
              </w:rPr>
              <w:t>369</w:t>
            </w:r>
          </w:p>
        </w:tc>
      </w:tr>
      <w:tr>
        <w:tc>
          <w:tcPr>
            <w:tcW w:type="dxa" w:w="2736"/>
          </w:tcPr>
          <w:p>
            <w:r>
              <w:rPr>
                <w:b w:val="0"/>
                <w:sz w:val="18"/>
              </w:rPr>
              <w:t>CDR 3 (vs CDR 1)</w:t>
            </w:r>
          </w:p>
        </w:tc>
        <w:tc>
          <w:tcPr>
            <w:tcW w:type="dxa" w:w="3168"/>
          </w:tcPr>
          <w:p>
            <w:r>
              <w:rPr>
                <w:b w:val="0"/>
                <w:sz w:val="18"/>
              </w:rPr>
              <w:t>1.499 (1.471–1.527)</w:t>
            </w:r>
          </w:p>
        </w:tc>
        <w:tc>
          <w:tcPr>
            <w:tcW w:type="dxa" w:w="2160"/>
          </w:tcPr>
          <w:p>
            <w:r>
              <w:rPr>
                <w:b w:val="0"/>
                <w:sz w:val="18"/>
              </w:rPr>
              <w:t>1,860</w:t>
            </w:r>
          </w:p>
        </w:tc>
      </w:tr>
      <w:tr>
        <w:tc>
          <w:tcPr>
            <w:tcW w:type="dxa" w:w="2736"/>
          </w:tcPr>
          <w:p>
            <w:r>
              <w:rPr>
                <w:b w:val="0"/>
                <w:sz w:val="18"/>
              </w:rPr>
              <w:t>Number of difficulties (0–4), per difficulty</w:t>
            </w:r>
          </w:p>
        </w:tc>
        <w:tc>
          <w:tcPr>
            <w:tcW w:type="dxa" w:w="3168"/>
          </w:tcPr>
          <w:p>
            <w:r>
              <w:rPr>
                <w:b w:val="0"/>
                <w:sz w:val="18"/>
              </w:rPr>
              <w:t>1.229 (1.223–1.236)</w:t>
            </w:r>
          </w:p>
        </w:tc>
        <w:tc>
          <w:tcPr>
            <w:tcW w:type="dxa" w:w="2160"/>
          </w:tcPr>
          <w:p>
            <w:r>
              <w:rPr>
                <w:b w:val="0"/>
                <w:sz w:val="18"/>
              </w:rPr>
              <w:t>6,140</w:t>
            </w:r>
          </w:p>
        </w:tc>
      </w:tr>
    </w:tbl>
    <w:p>
      <w:pPr>
        <w:spacing w:before="200" w:after="60"/>
      </w:pPr>
      <w:r>
        <w:rPr>
          <w:b w:val="0"/>
          <w:sz w:val="19"/>
        </w:rPr>
        <w:t>Both models are fitted in the full four-item cohort, and these are the coefficients the manuscript quotes. The evaluations in S5 and S6 refit the same specifications in their own development sets and apply them unchanged to the evaluation set, so the C-indices reported there are not apparent performance of the models tabulated here. The hazard ratio per single response level is 1.128 for D2.2, 1.060 for D1.1, 1.063 for D1.5 and 1.057 for D2.1. The two models are alternatives, not nested: the first keeps the items as continuous scores, the second replaces them with the 0–4 count.</w:t>
      </w:r>
    </w:p>
    <w:p>
      <w:pPr>
        <w:keepNext/>
        <w:spacing w:after="160"/>
      </w:pPr>
      <w:r>
        <w:rPr>
          <w:b/>
          <w:sz w:val="20"/>
        </w:rPr>
        <w:t>Table S3.3. Stability of the item selection (eleven-item cohort, n = 170,739)</w:t>
      </w:r>
    </w:p>
    <w:tbl>
      <w:tblPr>
        <w:tblW w:type="auto" w:w="0"/>
        <w:tblLook w:firstColumn="1" w:firstRow="1" w:lastColumn="0" w:lastRow="0" w:noHBand="0" w:noVBand="1" w:val="04A0"/>
        <w:tblBorders>
          <w:top w:val="single" w:sz="4" w:color="888888"/>
          <w:left w:val="single" w:sz="4" w:color="888888"/>
          <w:bottom w:val="single" w:sz="4" w:color="888888"/>
          <w:right w:val="single" w:sz="4" w:color="888888"/>
          <w:insideH w:val="single" w:sz="4" w:color="888888"/>
          <w:insideV w:val="single" w:sz="4" w:color="888888"/>
        </w:tblBorders>
      </w:tblPr>
      <w:tblGrid>
        <w:gridCol w:w="2160"/>
        <w:gridCol w:w="2160"/>
        <w:gridCol w:w="2160"/>
        <w:gridCol w:w="2160"/>
      </w:tblGrid>
      <w:tr>
        <w:trPr>
          <w:cantSplit/>
          <w:tblHeader/>
        </w:trPr>
        <w:tc>
          <w:tcPr>
            <w:tcW w:type="dxa" w:w="2736"/>
          </w:tcPr>
          <w:p>
            <w:r>
              <w:rPr>
                <w:b/>
                <w:sz w:val="18"/>
              </w:rPr>
              <w:t>WHODAS 2.0 item</w:t>
            </w:r>
          </w:p>
        </w:tc>
        <w:tc>
          <w:tcPr>
            <w:tcW w:type="dxa" w:w="3168"/>
          </w:tcPr>
          <w:p>
            <w:r>
              <w:rPr>
                <w:b/>
                <w:sz w:val="18"/>
              </w:rPr>
              <w:t>Selected in top four, % of 1,026 resamples</w:t>
            </w:r>
          </w:p>
        </w:tc>
        <w:tc>
          <w:tcPr>
            <w:tcW w:type="dxa" w:w="2160"/>
          </w:tcPr>
          <w:p>
            <w:r>
              <w:rPr>
                <w:b/>
                <w:sz w:val="18"/>
              </w:rPr>
              <w:t>Rank: whole cohort</w:t>
            </w:r>
          </w:p>
        </w:tc>
        <w:tc>
          <w:tcPr>
            <w:tcW w:type="dxa" w:w="2160"/>
          </w:tcPr>
          <w:p>
            <w:r>
              <w:rPr>
                <w:b/>
                <w:sz w:val="18"/>
              </w:rPr>
              <w:t>Rank: 2012–2018 only</w:t>
            </w:r>
          </w:p>
        </w:tc>
        <w:tc>
          <w:tcPr>
            <w:tcW w:type="dxa" w:w="2160"/>
          </w:tcPr>
          <w:p>
            <w:r>
              <w:rPr>
                <w:b/>
                <w:sz w:val="18"/>
              </w:rPr>
              <w:t>Rank: random 70% only</w:t>
            </w:r>
          </w:p>
        </w:tc>
      </w:tr>
      <w:tr>
        <w:tc>
          <w:tcPr>
            <w:tcW w:type="dxa" w:w="2736"/>
          </w:tcPr>
          <w:p>
            <w:r>
              <w:rPr>
                <w:b w:val="0"/>
                <w:sz w:val="18"/>
              </w:rPr>
              <w:t>D2.2 Rising from sitting</w:t>
            </w:r>
          </w:p>
        </w:tc>
        <w:tc>
          <w:tcPr>
            <w:tcW w:type="dxa" w:w="3168"/>
          </w:tcPr>
          <w:p>
            <w:r>
              <w:rPr>
                <w:b w:val="0"/>
                <w:sz w:val="18"/>
              </w:rPr>
              <w:t>100.0</w:t>
            </w:r>
          </w:p>
        </w:tc>
        <w:tc>
          <w:tcPr>
            <w:tcW w:type="dxa" w:w="2160"/>
          </w:tcPr>
          <w:p>
            <w:r>
              <w:rPr>
                <w:b w:val="0"/>
                <w:sz w:val="18"/>
              </w:rPr>
              <w:t>1</w:t>
            </w:r>
          </w:p>
        </w:tc>
        <w:tc>
          <w:tcPr>
            <w:tcW w:type="dxa" w:w="2160"/>
          </w:tcPr>
          <w:p>
            <w:r>
              <w:rPr>
                <w:b w:val="0"/>
                <w:sz w:val="18"/>
              </w:rPr>
              <w:t>1</w:t>
            </w:r>
          </w:p>
        </w:tc>
        <w:tc>
          <w:tcPr>
            <w:tcW w:type="dxa" w:w="2160"/>
          </w:tcPr>
          <w:p>
            <w:r>
              <w:rPr>
                <w:b w:val="0"/>
                <w:sz w:val="18"/>
              </w:rPr>
              <w:t>1</w:t>
            </w:r>
          </w:p>
        </w:tc>
      </w:tr>
      <w:tr>
        <w:tc>
          <w:tcPr>
            <w:tcW w:type="dxa" w:w="2736"/>
          </w:tcPr>
          <w:p>
            <w:r>
              <w:rPr>
                <w:b w:val="0"/>
                <w:sz w:val="18"/>
              </w:rPr>
              <w:t>D1.1 Concentrating for 10 minutes</w:t>
            </w:r>
          </w:p>
        </w:tc>
        <w:tc>
          <w:tcPr>
            <w:tcW w:type="dxa" w:w="3168"/>
          </w:tcPr>
          <w:p>
            <w:r>
              <w:rPr>
                <w:b w:val="0"/>
                <w:sz w:val="18"/>
              </w:rPr>
              <w:t>100.0</w:t>
            </w:r>
          </w:p>
        </w:tc>
        <w:tc>
          <w:tcPr>
            <w:tcW w:type="dxa" w:w="2160"/>
          </w:tcPr>
          <w:p>
            <w:r>
              <w:rPr>
                <w:b w:val="0"/>
                <w:sz w:val="18"/>
              </w:rPr>
              <w:t>2</w:t>
            </w:r>
          </w:p>
        </w:tc>
        <w:tc>
          <w:tcPr>
            <w:tcW w:type="dxa" w:w="2160"/>
          </w:tcPr>
          <w:p>
            <w:r>
              <w:rPr>
                <w:b w:val="0"/>
                <w:sz w:val="18"/>
              </w:rPr>
              <w:t>2</w:t>
            </w:r>
          </w:p>
        </w:tc>
        <w:tc>
          <w:tcPr>
            <w:tcW w:type="dxa" w:w="2160"/>
          </w:tcPr>
          <w:p>
            <w:r>
              <w:rPr>
                <w:b w:val="0"/>
                <w:sz w:val="18"/>
              </w:rPr>
              <w:t>2</w:t>
            </w:r>
          </w:p>
        </w:tc>
      </w:tr>
      <w:tr>
        <w:tc>
          <w:tcPr>
            <w:tcW w:type="dxa" w:w="2736"/>
          </w:tcPr>
          <w:p>
            <w:r>
              <w:rPr>
                <w:b w:val="0"/>
                <w:sz w:val="18"/>
              </w:rPr>
              <w:t>D1.5 Understanding what people say</w:t>
            </w:r>
          </w:p>
        </w:tc>
        <w:tc>
          <w:tcPr>
            <w:tcW w:type="dxa" w:w="3168"/>
          </w:tcPr>
          <w:p>
            <w:r>
              <w:rPr>
                <w:b w:val="0"/>
                <w:sz w:val="18"/>
              </w:rPr>
              <w:t>98.4</w:t>
            </w:r>
          </w:p>
        </w:tc>
        <w:tc>
          <w:tcPr>
            <w:tcW w:type="dxa" w:w="2160"/>
          </w:tcPr>
          <w:p>
            <w:r>
              <w:rPr>
                <w:b w:val="0"/>
                <w:sz w:val="18"/>
              </w:rPr>
              <w:t>3</w:t>
            </w:r>
          </w:p>
        </w:tc>
        <w:tc>
          <w:tcPr>
            <w:tcW w:type="dxa" w:w="2160"/>
          </w:tcPr>
          <w:p>
            <w:r>
              <w:rPr>
                <w:b w:val="0"/>
                <w:sz w:val="18"/>
              </w:rPr>
              <w:t>3</w:t>
            </w:r>
          </w:p>
        </w:tc>
        <w:tc>
          <w:tcPr>
            <w:tcW w:type="dxa" w:w="2160"/>
          </w:tcPr>
          <w:p>
            <w:r>
              <w:rPr>
                <w:b w:val="0"/>
                <w:sz w:val="18"/>
              </w:rPr>
              <w:t>3</w:t>
            </w:r>
          </w:p>
        </w:tc>
      </w:tr>
      <w:tr>
        <w:tc>
          <w:tcPr>
            <w:tcW w:type="dxa" w:w="2736"/>
          </w:tcPr>
          <w:p>
            <w:r>
              <w:rPr>
                <w:b w:val="0"/>
                <w:sz w:val="18"/>
              </w:rPr>
              <w:t>D2.1 Standing for 30 minutes</w:t>
            </w:r>
          </w:p>
        </w:tc>
        <w:tc>
          <w:tcPr>
            <w:tcW w:type="dxa" w:w="3168"/>
          </w:tcPr>
          <w:p>
            <w:r>
              <w:rPr>
                <w:b w:val="0"/>
                <w:sz w:val="18"/>
              </w:rPr>
              <w:t>61.1</w:t>
            </w:r>
          </w:p>
        </w:tc>
        <w:tc>
          <w:tcPr>
            <w:tcW w:type="dxa" w:w="2160"/>
          </w:tcPr>
          <w:p>
            <w:r>
              <w:rPr>
                <w:b w:val="0"/>
                <w:sz w:val="18"/>
              </w:rPr>
              <w:t>4</w:t>
            </w:r>
          </w:p>
        </w:tc>
        <w:tc>
          <w:tcPr>
            <w:tcW w:type="dxa" w:w="2160"/>
          </w:tcPr>
          <w:p>
            <w:r>
              <w:rPr>
                <w:b w:val="0"/>
                <w:sz w:val="18"/>
              </w:rPr>
              <w:t>4</w:t>
            </w:r>
          </w:p>
        </w:tc>
        <w:tc>
          <w:tcPr>
            <w:tcW w:type="dxa" w:w="2160"/>
          </w:tcPr>
          <w:p>
            <w:r>
              <w:rPr>
                <w:b w:val="0"/>
                <w:sz w:val="18"/>
              </w:rPr>
              <w:t>4</w:t>
            </w:r>
          </w:p>
        </w:tc>
      </w:tr>
      <w:tr>
        <w:tc>
          <w:tcPr>
            <w:tcW w:type="dxa" w:w="2736"/>
          </w:tcPr>
          <w:p>
            <w:r>
              <w:rPr>
                <w:b w:val="0"/>
                <w:sz w:val="18"/>
              </w:rPr>
              <w:t>D1.6 Starting/maintaining a conversation</w:t>
            </w:r>
          </w:p>
        </w:tc>
        <w:tc>
          <w:tcPr>
            <w:tcW w:type="dxa" w:w="3168"/>
          </w:tcPr>
          <w:p>
            <w:r>
              <w:rPr>
                <w:b w:val="0"/>
                <w:sz w:val="18"/>
              </w:rPr>
              <w:t>20.4</w:t>
            </w:r>
          </w:p>
        </w:tc>
        <w:tc>
          <w:tcPr>
            <w:tcW w:type="dxa" w:w="2160"/>
          </w:tcPr>
          <w:p>
            <w:r>
              <w:rPr>
                <w:b w:val="0"/>
                <w:sz w:val="18"/>
              </w:rPr>
              <w:t>5</w:t>
            </w:r>
          </w:p>
        </w:tc>
        <w:tc>
          <w:tcPr>
            <w:tcW w:type="dxa" w:w="2160"/>
          </w:tcPr>
          <w:p>
            <w:r>
              <w:rPr>
                <w:b w:val="0"/>
                <w:sz w:val="18"/>
              </w:rPr>
              <w:t>8</w:t>
            </w:r>
          </w:p>
        </w:tc>
        <w:tc>
          <w:tcPr>
            <w:tcW w:type="dxa" w:w="2160"/>
          </w:tcPr>
          <w:p>
            <w:r>
              <w:rPr>
                <w:b w:val="0"/>
                <w:sz w:val="18"/>
              </w:rPr>
              <w:t>5</w:t>
            </w:r>
          </w:p>
        </w:tc>
      </w:tr>
      <w:tr>
        <w:tc>
          <w:tcPr>
            <w:tcW w:type="dxa" w:w="2736"/>
          </w:tcPr>
          <w:p>
            <w:r>
              <w:rPr>
                <w:b w:val="0"/>
                <w:sz w:val="18"/>
              </w:rPr>
              <w:t>D2.3 Moving around inside the home</w:t>
            </w:r>
          </w:p>
        </w:tc>
        <w:tc>
          <w:tcPr>
            <w:tcW w:type="dxa" w:w="3168"/>
          </w:tcPr>
          <w:p>
            <w:r>
              <w:rPr>
                <w:b w:val="0"/>
                <w:sz w:val="18"/>
              </w:rPr>
              <w:t>18.8</w:t>
            </w:r>
          </w:p>
        </w:tc>
        <w:tc>
          <w:tcPr>
            <w:tcW w:type="dxa" w:w="2160"/>
          </w:tcPr>
          <w:p>
            <w:r>
              <w:rPr>
                <w:b w:val="0"/>
                <w:sz w:val="18"/>
              </w:rPr>
              <w:t>6</w:t>
            </w:r>
          </w:p>
        </w:tc>
        <w:tc>
          <w:tcPr>
            <w:tcW w:type="dxa" w:w="2160"/>
          </w:tcPr>
          <w:p>
            <w:r>
              <w:rPr>
                <w:b w:val="0"/>
                <w:sz w:val="18"/>
              </w:rPr>
              <w:t>6</w:t>
            </w:r>
          </w:p>
        </w:tc>
        <w:tc>
          <w:tcPr>
            <w:tcW w:type="dxa" w:w="2160"/>
          </w:tcPr>
          <w:p>
            <w:r>
              <w:rPr>
                <w:b w:val="0"/>
                <w:sz w:val="18"/>
              </w:rPr>
              <w:t>6</w:t>
            </w:r>
          </w:p>
        </w:tc>
      </w:tr>
      <w:tr>
        <w:tc>
          <w:tcPr>
            <w:tcW w:type="dxa" w:w="2736"/>
          </w:tcPr>
          <w:p>
            <w:r>
              <w:rPr>
                <w:b w:val="0"/>
                <w:sz w:val="18"/>
              </w:rPr>
              <w:t>D2.4 Getting out of the home</w:t>
            </w:r>
          </w:p>
        </w:tc>
        <w:tc>
          <w:tcPr>
            <w:tcW w:type="dxa" w:w="3168"/>
          </w:tcPr>
          <w:p>
            <w:r>
              <w:rPr>
                <w:b w:val="0"/>
                <w:sz w:val="18"/>
              </w:rPr>
              <w:t>0.0</w:t>
            </w:r>
          </w:p>
        </w:tc>
        <w:tc>
          <w:tcPr>
            <w:tcW w:type="dxa" w:w="2160"/>
          </w:tcPr>
          <w:p>
            <w:r>
              <w:rPr>
                <w:b w:val="0"/>
                <w:sz w:val="18"/>
              </w:rPr>
              <w:t>7</w:t>
            </w:r>
          </w:p>
        </w:tc>
        <w:tc>
          <w:tcPr>
            <w:tcW w:type="dxa" w:w="2160"/>
          </w:tcPr>
          <w:p>
            <w:r>
              <w:rPr>
                <w:b w:val="0"/>
                <w:sz w:val="18"/>
              </w:rPr>
              <w:t>10</w:t>
            </w:r>
          </w:p>
        </w:tc>
        <w:tc>
          <w:tcPr>
            <w:tcW w:type="dxa" w:w="2160"/>
          </w:tcPr>
          <w:p>
            <w:r>
              <w:rPr>
                <w:b w:val="0"/>
                <w:sz w:val="18"/>
              </w:rPr>
              <w:t>8</w:t>
            </w:r>
          </w:p>
        </w:tc>
      </w:tr>
      <w:tr>
        <w:tc>
          <w:tcPr>
            <w:tcW w:type="dxa" w:w="2736"/>
          </w:tcPr>
          <w:p>
            <w:r>
              <w:rPr>
                <w:b w:val="0"/>
                <w:sz w:val="18"/>
              </w:rPr>
              <w:t>D1.2 Remembering</w:t>
            </w:r>
          </w:p>
        </w:tc>
        <w:tc>
          <w:tcPr>
            <w:tcW w:type="dxa" w:w="3168"/>
          </w:tcPr>
          <w:p>
            <w:r>
              <w:rPr>
                <w:b w:val="0"/>
                <w:sz w:val="18"/>
              </w:rPr>
              <w:t>0.5</w:t>
            </w:r>
          </w:p>
        </w:tc>
        <w:tc>
          <w:tcPr>
            <w:tcW w:type="dxa" w:w="2160"/>
          </w:tcPr>
          <w:p>
            <w:r>
              <w:rPr>
                <w:b w:val="0"/>
                <w:sz w:val="18"/>
              </w:rPr>
              <w:t>8</w:t>
            </w:r>
          </w:p>
        </w:tc>
        <w:tc>
          <w:tcPr>
            <w:tcW w:type="dxa" w:w="2160"/>
          </w:tcPr>
          <w:p>
            <w:r>
              <w:rPr>
                <w:b w:val="0"/>
                <w:sz w:val="18"/>
              </w:rPr>
              <w:t>11</w:t>
            </w:r>
          </w:p>
        </w:tc>
        <w:tc>
          <w:tcPr>
            <w:tcW w:type="dxa" w:w="2160"/>
          </w:tcPr>
          <w:p>
            <w:r>
              <w:rPr>
                <w:b w:val="0"/>
                <w:sz w:val="18"/>
              </w:rPr>
              <w:t>10</w:t>
            </w:r>
          </w:p>
        </w:tc>
      </w:tr>
      <w:tr>
        <w:tc>
          <w:tcPr>
            <w:tcW w:type="dxa" w:w="2736"/>
          </w:tcPr>
          <w:p>
            <w:r>
              <w:rPr>
                <w:b w:val="0"/>
                <w:sz w:val="18"/>
              </w:rPr>
              <w:t>D2.5 Walking a long distance</w:t>
            </w:r>
          </w:p>
        </w:tc>
        <w:tc>
          <w:tcPr>
            <w:tcW w:type="dxa" w:w="3168"/>
          </w:tcPr>
          <w:p>
            <w:r>
              <w:rPr>
                <w:b w:val="0"/>
                <w:sz w:val="18"/>
              </w:rPr>
              <w:t>0.8</w:t>
            </w:r>
          </w:p>
        </w:tc>
        <w:tc>
          <w:tcPr>
            <w:tcW w:type="dxa" w:w="2160"/>
          </w:tcPr>
          <w:p>
            <w:r>
              <w:rPr>
                <w:b w:val="0"/>
                <w:sz w:val="18"/>
              </w:rPr>
              <w:t>9</w:t>
            </w:r>
          </w:p>
        </w:tc>
        <w:tc>
          <w:tcPr>
            <w:tcW w:type="dxa" w:w="2160"/>
          </w:tcPr>
          <w:p>
            <w:r>
              <w:rPr>
                <w:b w:val="0"/>
                <w:sz w:val="18"/>
              </w:rPr>
              <w:t>7</w:t>
            </w:r>
          </w:p>
        </w:tc>
        <w:tc>
          <w:tcPr>
            <w:tcW w:type="dxa" w:w="2160"/>
          </w:tcPr>
          <w:p>
            <w:r>
              <w:rPr>
                <w:b w:val="0"/>
                <w:sz w:val="18"/>
              </w:rPr>
              <w:t>9</w:t>
            </w:r>
          </w:p>
        </w:tc>
      </w:tr>
      <w:tr>
        <w:tc>
          <w:tcPr>
            <w:tcW w:type="dxa" w:w="2736"/>
          </w:tcPr>
          <w:p>
            <w:r>
              <w:rPr>
                <w:b w:val="0"/>
                <w:sz w:val="18"/>
              </w:rPr>
              <w:t>D1.3 Problem-solving</w:t>
            </w:r>
          </w:p>
        </w:tc>
        <w:tc>
          <w:tcPr>
            <w:tcW w:type="dxa" w:w="3168"/>
          </w:tcPr>
          <w:p>
            <w:r>
              <w:rPr>
                <w:b w:val="0"/>
                <w:sz w:val="18"/>
              </w:rPr>
              <w:t>0.0</w:t>
            </w:r>
          </w:p>
        </w:tc>
        <w:tc>
          <w:tcPr>
            <w:tcW w:type="dxa" w:w="2160"/>
          </w:tcPr>
          <w:p>
            <w:r>
              <w:rPr>
                <w:b w:val="0"/>
                <w:sz w:val="18"/>
              </w:rPr>
              <w:t>10</w:t>
            </w:r>
          </w:p>
        </w:tc>
        <w:tc>
          <w:tcPr>
            <w:tcW w:type="dxa" w:w="2160"/>
          </w:tcPr>
          <w:p>
            <w:r>
              <w:rPr>
                <w:b w:val="0"/>
                <w:sz w:val="18"/>
              </w:rPr>
              <w:t>9</w:t>
            </w:r>
          </w:p>
        </w:tc>
        <w:tc>
          <w:tcPr>
            <w:tcW w:type="dxa" w:w="2160"/>
          </w:tcPr>
          <w:p>
            <w:r>
              <w:rPr>
                <w:b w:val="0"/>
                <w:sz w:val="18"/>
              </w:rPr>
              <w:t>7</w:t>
            </w:r>
          </w:p>
        </w:tc>
      </w:tr>
      <w:tr>
        <w:tc>
          <w:tcPr>
            <w:tcW w:type="dxa" w:w="2736"/>
          </w:tcPr>
          <w:p>
            <w:r>
              <w:rPr>
                <w:b w:val="0"/>
                <w:sz w:val="18"/>
              </w:rPr>
              <w:t>D1.4 Learning a new task</w:t>
            </w:r>
          </w:p>
        </w:tc>
        <w:tc>
          <w:tcPr>
            <w:tcW w:type="dxa" w:w="3168"/>
          </w:tcPr>
          <w:p>
            <w:r>
              <w:rPr>
                <w:b w:val="0"/>
                <w:sz w:val="18"/>
              </w:rPr>
              <w:t>0.0</w:t>
            </w:r>
          </w:p>
        </w:tc>
        <w:tc>
          <w:tcPr>
            <w:tcW w:type="dxa" w:w="2160"/>
          </w:tcPr>
          <w:p>
            <w:r>
              <w:rPr>
                <w:b w:val="0"/>
                <w:sz w:val="18"/>
              </w:rPr>
              <w:t>11</w:t>
            </w:r>
          </w:p>
        </w:tc>
        <w:tc>
          <w:tcPr>
            <w:tcW w:type="dxa" w:w="2160"/>
          </w:tcPr>
          <w:p>
            <w:r>
              <w:rPr>
                <w:b w:val="0"/>
                <w:sz w:val="18"/>
              </w:rPr>
              <w:t>5</w:t>
            </w:r>
          </w:p>
        </w:tc>
        <w:tc>
          <w:tcPr>
            <w:tcW w:type="dxa" w:w="2160"/>
          </w:tcPr>
          <w:p>
            <w:r>
              <w:rPr>
                <w:b w:val="0"/>
                <w:sz w:val="18"/>
              </w:rPr>
              <w:t>11</w:t>
            </w:r>
          </w:p>
        </w:tc>
      </w:tr>
    </w:tbl>
    <w:p>
      <w:pPr>
        <w:spacing w:after="160"/>
      </w:pPr>
      <w:r>
        <w:rPr>
          <w:b w:val="0"/>
          <w:sz w:val="19"/>
        </w:rPr>
        <w:t>The eleven items were re-ranked by Wald χ² in 1,026 bootstrap resamples of the eleven-item cohort, and separately within two of its subsets: the participants first assessed in 2012–2018 (n = 72,219) and the randomly allocated 70% (n = 119,484). These are subsets of the eleven-item cohort and are therefore smaller than the development sets used in S5, which are defined on the four-item cohort. Both returned the same four items in the same order as the whole cohort. Across resamples the four were selected together in 59.7%; the next most frequent sets replaced standing for 30 minutes with starting and maintaining a conversation (19.0%) or with moving around inside the home (18.4%), and a further 1.2% replaced understanding what people say with starting and maintaining a conversation. Eight distinct sets occurred in all, and rising from sitting ranked first in every resample.</w:t>
      </w:r>
    </w:p>
    <w:p>
      <w:pPr>
        <w:spacing w:before="200" w:after="60"/>
      </w:pPr>
      <w:r>
        <w:rPr>
          <w:b/>
          <w:sz w:val="26"/>
        </w:rPr>
        <w:t>S4. Mortality by number of everyday functional difficulties</w:t>
      </w:r>
    </w:p>
    <w:p>
      <w:pPr>
        <w:keepNext/>
        <w:spacing w:before="160" w:after="60"/>
      </w:pPr>
      <w:r>
        <w:rPr>
          <w:b/>
          <w:sz w:val="22"/>
        </w:rPr>
        <w:t>Table S4.1. One- and three-year mortality by number of difficulties, within each CDR stage</w:t>
      </w:r>
    </w:p>
    <w:tbl>
      <w:tblPr>
        <w:tblW w:type="auto" w:w="0"/>
        <w:tblLook w:firstColumn="1" w:firstRow="1" w:lastColumn="0" w:lastRow="0" w:noHBand="0" w:noVBand="1" w:val="04A0"/>
        <w:tblBorders>
          <w:top w:val="single" w:sz="4" w:color="888888"/>
          <w:left w:val="single" w:sz="4" w:color="888888"/>
          <w:bottom w:val="single" w:sz="4" w:color="888888"/>
          <w:right w:val="single" w:sz="4" w:color="888888"/>
          <w:insideH w:val="single" w:sz="4" w:color="888888"/>
          <w:insideV w:val="single" w:sz="4" w:color="888888"/>
        </w:tblBorders>
      </w:tblPr>
      <w:tblGrid>
        <w:gridCol w:w="1440"/>
        <w:gridCol w:w="1440"/>
        <w:gridCol w:w="1440"/>
        <w:gridCol w:w="1440"/>
        <w:gridCol w:w="1440"/>
        <w:gridCol w:w="1440"/>
      </w:tblGrid>
      <w:tr>
        <w:trPr>
          <w:cantSplit/>
          <w:tblHeader/>
        </w:trPr>
        <w:tc>
          <w:tcPr>
            <w:tcW w:type="dxa" w:w="1152"/>
          </w:tcPr>
          <w:p>
            <w:r/>
            <w:r>
              <w:rPr>
                <w:b/>
                <w:sz w:val="18"/>
              </w:rPr>
              <w:t>CDR stage</w:t>
            </w:r>
          </w:p>
        </w:tc>
        <w:tc>
          <w:tcPr>
            <w:tcW w:type="dxa" w:w="1008"/>
          </w:tcPr>
          <w:p>
            <w:r/>
            <w:r>
              <w:rPr>
                <w:b/>
                <w:sz w:val="18"/>
              </w:rPr>
              <w:t>Difficulties</w:t>
            </w:r>
          </w:p>
        </w:tc>
        <w:tc>
          <w:tcPr>
            <w:tcW w:type="dxa" w:w="1440"/>
          </w:tcPr>
          <w:p>
            <w:r/>
            <w:r>
              <w:rPr>
                <w:b/>
                <w:sz w:val="18"/>
              </w:rPr>
              <w:t>n</w:t>
            </w:r>
          </w:p>
        </w:tc>
        <w:tc>
          <w:tcPr>
            <w:tcW w:type="dxa" w:w="1296"/>
          </w:tcPr>
          <w:p>
            <w:r/>
            <w:r>
              <w:rPr>
                <w:b/>
                <w:sz w:val="18"/>
              </w:rPr>
              <w:t>Deaths</w:t>
            </w:r>
          </w:p>
        </w:tc>
        <w:tc>
          <w:tcPr>
            <w:tcW w:type="dxa" w:w="2448"/>
          </w:tcPr>
          <w:p>
            <w:r/>
            <w:r>
              <w:rPr>
                <w:b/>
                <w:sz w:val="18"/>
              </w:rPr>
              <w:t>1-year mortality, % (95% CI)</w:t>
            </w:r>
          </w:p>
        </w:tc>
        <w:tc>
          <w:tcPr>
            <w:tcW w:type="dxa" w:w="2448"/>
          </w:tcPr>
          <w:p>
            <w:r/>
            <w:r>
              <w:rPr>
                <w:b/>
                <w:sz w:val="18"/>
              </w:rPr>
              <w:t>3-year mortality, % (95% CI)</w:t>
            </w:r>
          </w:p>
        </w:tc>
      </w:tr>
      <w:tr>
        <w:tc>
          <w:tcPr>
            <w:tcW w:type="dxa" w:w="1152"/>
          </w:tcPr>
          <w:p>
            <w:r/>
            <w:r>
              <w:rPr>
                <w:sz w:val="18"/>
              </w:rPr>
              <w:t>CDR 1</w:t>
            </w:r>
          </w:p>
        </w:tc>
        <w:tc>
          <w:tcPr>
            <w:tcW w:type="dxa" w:w="1008"/>
          </w:tcPr>
          <w:p>
            <w:r/>
            <w:r>
              <w:rPr>
                <w:sz w:val="18"/>
              </w:rPr>
              <w:t>0</w:t>
            </w:r>
          </w:p>
        </w:tc>
        <w:tc>
          <w:tcPr>
            <w:tcW w:type="dxa" w:w="1440"/>
          </w:tcPr>
          <w:p>
            <w:r/>
            <w:r>
              <w:rPr>
                <w:sz w:val="18"/>
              </w:rPr>
              <w:t>23,652</w:t>
            </w:r>
          </w:p>
        </w:tc>
        <w:tc>
          <w:tcPr>
            <w:tcW w:type="dxa" w:w="1296"/>
          </w:tcPr>
          <w:p>
            <w:r/>
            <w:r>
              <w:rPr>
                <w:sz w:val="18"/>
              </w:rPr>
              <w:t>5,712</w:t>
            </w:r>
          </w:p>
        </w:tc>
        <w:tc>
          <w:tcPr>
            <w:tcW w:type="dxa" w:w="2448"/>
          </w:tcPr>
          <w:p>
            <w:r/>
            <w:r>
              <w:rPr>
                <w:sz w:val="18"/>
              </w:rPr>
              <w:t>4.6 (4.3–4.8)</w:t>
            </w:r>
          </w:p>
        </w:tc>
        <w:tc>
          <w:tcPr>
            <w:tcW w:type="dxa" w:w="2448"/>
          </w:tcPr>
          <w:p>
            <w:r/>
            <w:r>
              <w:rPr>
                <w:sz w:val="18"/>
              </w:rPr>
              <w:t>21.0 (20.4–21.6)</w:t>
            </w:r>
          </w:p>
        </w:tc>
      </w:tr>
      <w:tr>
        <w:tc>
          <w:tcPr>
            <w:tcW w:type="dxa" w:w="1152"/>
          </w:tcPr>
          <w:p>
            <w:r/>
            <w:r>
              <w:rPr>
                <w:sz w:val="18"/>
              </w:rPr>
            </w:r>
          </w:p>
        </w:tc>
        <w:tc>
          <w:tcPr>
            <w:tcW w:type="dxa" w:w="1008"/>
          </w:tcPr>
          <w:p>
            <w:r/>
            <w:r>
              <w:rPr>
                <w:sz w:val="18"/>
              </w:rPr>
              <w:t>1</w:t>
            </w:r>
          </w:p>
        </w:tc>
        <w:tc>
          <w:tcPr>
            <w:tcW w:type="dxa" w:w="1440"/>
          </w:tcPr>
          <w:p>
            <w:r/>
            <w:r>
              <w:rPr>
                <w:sz w:val="18"/>
              </w:rPr>
              <w:t>14,822</w:t>
            </w:r>
          </w:p>
        </w:tc>
        <w:tc>
          <w:tcPr>
            <w:tcW w:type="dxa" w:w="1296"/>
          </w:tcPr>
          <w:p>
            <w:r/>
            <w:r>
              <w:rPr>
                <w:sz w:val="18"/>
              </w:rPr>
              <w:t>4,591</w:t>
            </w:r>
          </w:p>
        </w:tc>
        <w:tc>
          <w:tcPr>
            <w:tcW w:type="dxa" w:w="2448"/>
          </w:tcPr>
          <w:p>
            <w:r/>
            <w:r>
              <w:rPr>
                <w:sz w:val="18"/>
              </w:rPr>
              <w:t>5.7 (5.3–6.1)</w:t>
            </w:r>
          </w:p>
        </w:tc>
        <w:tc>
          <w:tcPr>
            <w:tcW w:type="dxa" w:w="2448"/>
          </w:tcPr>
          <w:p>
            <w:r/>
            <w:r>
              <w:rPr>
                <w:sz w:val="18"/>
              </w:rPr>
              <w:t>23.6 (22.9–24.4)</w:t>
            </w:r>
          </w:p>
        </w:tc>
      </w:tr>
      <w:tr>
        <w:tc>
          <w:tcPr>
            <w:tcW w:type="dxa" w:w="1152"/>
          </w:tcPr>
          <w:p>
            <w:r/>
            <w:r>
              <w:rPr>
                <w:sz w:val="18"/>
              </w:rPr>
            </w:r>
          </w:p>
        </w:tc>
        <w:tc>
          <w:tcPr>
            <w:tcW w:type="dxa" w:w="1008"/>
          </w:tcPr>
          <w:p>
            <w:r/>
            <w:r>
              <w:rPr>
                <w:sz w:val="18"/>
              </w:rPr>
              <w:t>2</w:t>
            </w:r>
          </w:p>
        </w:tc>
        <w:tc>
          <w:tcPr>
            <w:tcW w:type="dxa" w:w="1440"/>
          </w:tcPr>
          <w:p>
            <w:r/>
            <w:r>
              <w:rPr>
                <w:sz w:val="18"/>
              </w:rPr>
              <w:t>14,110</w:t>
            </w:r>
          </w:p>
        </w:tc>
        <w:tc>
          <w:tcPr>
            <w:tcW w:type="dxa" w:w="1296"/>
          </w:tcPr>
          <w:p>
            <w:r/>
            <w:r>
              <w:rPr>
                <w:sz w:val="18"/>
              </w:rPr>
              <w:t>5,213</w:t>
            </w:r>
          </w:p>
        </w:tc>
        <w:tc>
          <w:tcPr>
            <w:tcW w:type="dxa" w:w="2448"/>
          </w:tcPr>
          <w:p>
            <w:r/>
            <w:r>
              <w:rPr>
                <w:sz w:val="18"/>
              </w:rPr>
              <w:t>8.0 (7.6–8.5)</w:t>
            </w:r>
          </w:p>
        </w:tc>
        <w:tc>
          <w:tcPr>
            <w:tcW w:type="dxa" w:w="2448"/>
          </w:tcPr>
          <w:p>
            <w:r/>
            <w:r>
              <w:rPr>
                <w:sz w:val="18"/>
              </w:rPr>
              <w:t>28.5 (27.6–29.3)</w:t>
            </w:r>
          </w:p>
        </w:tc>
      </w:tr>
      <w:tr>
        <w:tc>
          <w:tcPr>
            <w:tcW w:type="dxa" w:w="1152"/>
          </w:tcPr>
          <w:p>
            <w:r/>
            <w:r>
              <w:rPr>
                <w:sz w:val="18"/>
              </w:rPr>
            </w:r>
          </w:p>
        </w:tc>
        <w:tc>
          <w:tcPr>
            <w:tcW w:type="dxa" w:w="1008"/>
          </w:tcPr>
          <w:p>
            <w:r/>
            <w:r>
              <w:rPr>
                <w:sz w:val="18"/>
              </w:rPr>
              <w:t>3</w:t>
            </w:r>
          </w:p>
        </w:tc>
        <w:tc>
          <w:tcPr>
            <w:tcW w:type="dxa" w:w="1440"/>
          </w:tcPr>
          <w:p>
            <w:r/>
            <w:r>
              <w:rPr>
                <w:sz w:val="18"/>
              </w:rPr>
              <w:t>9,817</w:t>
            </w:r>
          </w:p>
        </w:tc>
        <w:tc>
          <w:tcPr>
            <w:tcW w:type="dxa" w:w="1296"/>
          </w:tcPr>
          <w:p>
            <w:r/>
            <w:r>
              <w:rPr>
                <w:sz w:val="18"/>
              </w:rPr>
              <w:t>4,222</w:t>
            </w:r>
          </w:p>
        </w:tc>
        <w:tc>
          <w:tcPr>
            <w:tcW w:type="dxa" w:w="2448"/>
          </w:tcPr>
          <w:p>
            <w:r/>
            <w:r>
              <w:rPr>
                <w:sz w:val="18"/>
              </w:rPr>
              <w:t>10.3 (9.7–11.0)</w:t>
            </w:r>
          </w:p>
        </w:tc>
        <w:tc>
          <w:tcPr>
            <w:tcW w:type="dxa" w:w="2448"/>
          </w:tcPr>
          <w:p>
            <w:r/>
            <w:r>
              <w:rPr>
                <w:sz w:val="18"/>
              </w:rPr>
              <w:t>32.8 (31.8–33.8)</w:t>
            </w:r>
          </w:p>
        </w:tc>
      </w:tr>
      <w:tr>
        <w:tc>
          <w:tcPr>
            <w:tcW w:type="dxa" w:w="1152"/>
          </w:tcPr>
          <w:p>
            <w:r/>
            <w:r>
              <w:rPr>
                <w:sz w:val="18"/>
              </w:rPr>
            </w:r>
          </w:p>
        </w:tc>
        <w:tc>
          <w:tcPr>
            <w:tcW w:type="dxa" w:w="1008"/>
          </w:tcPr>
          <w:p>
            <w:r/>
            <w:r>
              <w:rPr>
                <w:sz w:val="18"/>
              </w:rPr>
              <w:t>4</w:t>
            </w:r>
          </w:p>
        </w:tc>
        <w:tc>
          <w:tcPr>
            <w:tcW w:type="dxa" w:w="1440"/>
          </w:tcPr>
          <w:p>
            <w:r/>
            <w:r>
              <w:rPr>
                <w:sz w:val="18"/>
              </w:rPr>
              <w:t>9,184</w:t>
            </w:r>
          </w:p>
        </w:tc>
        <w:tc>
          <w:tcPr>
            <w:tcW w:type="dxa" w:w="1296"/>
          </w:tcPr>
          <w:p>
            <w:r/>
            <w:r>
              <w:rPr>
                <w:sz w:val="18"/>
              </w:rPr>
              <w:t>4,559</w:t>
            </w:r>
          </w:p>
        </w:tc>
        <w:tc>
          <w:tcPr>
            <w:tcW w:type="dxa" w:w="2448"/>
          </w:tcPr>
          <w:p>
            <w:r/>
            <w:r>
              <w:rPr>
                <w:sz w:val="18"/>
              </w:rPr>
              <w:t>16.3 (15.6–17.1)</w:t>
            </w:r>
          </w:p>
        </w:tc>
        <w:tc>
          <w:tcPr>
            <w:tcW w:type="dxa" w:w="2448"/>
          </w:tcPr>
          <w:p>
            <w:r/>
            <w:r>
              <w:rPr>
                <w:sz w:val="18"/>
              </w:rPr>
              <w:t>41.0 (39.9–42.1)</w:t>
            </w:r>
          </w:p>
        </w:tc>
      </w:tr>
      <w:tr>
        <w:tc>
          <w:tcPr>
            <w:tcW w:type="dxa" w:w="9792"/>
            <w:gridSpan w:val="6"/>
          </w:tcPr>
          <w:p>
            <w:r>
              <w:rPr>
                <w:i/>
                <w:sz w:val="18"/>
              </w:rPr>
              <w:t>Adjusted HR per additional difficulty within this stage: 1.1939 (1.1833–1.2046)</w:t>
            </w:r>
          </w:p>
        </w:tc>
      </w:tr>
      <w:tr>
        <w:tc>
          <w:tcPr>
            <w:tcW w:type="dxa" w:w="1152"/>
          </w:tcPr>
          <w:p>
            <w:r/>
            <w:r>
              <w:rPr>
                <w:sz w:val="18"/>
              </w:rPr>
              <w:t>CDR 2</w:t>
            </w:r>
          </w:p>
        </w:tc>
        <w:tc>
          <w:tcPr>
            <w:tcW w:type="dxa" w:w="1008"/>
          </w:tcPr>
          <w:p>
            <w:r/>
            <w:r>
              <w:rPr>
                <w:sz w:val="18"/>
              </w:rPr>
              <w:t>0</w:t>
            </w:r>
          </w:p>
        </w:tc>
        <w:tc>
          <w:tcPr>
            <w:tcW w:type="dxa" w:w="1440"/>
          </w:tcPr>
          <w:p>
            <w:r/>
            <w:r>
              <w:rPr>
                <w:sz w:val="18"/>
              </w:rPr>
              <w:t>10,036</w:t>
            </w:r>
          </w:p>
        </w:tc>
        <w:tc>
          <w:tcPr>
            <w:tcW w:type="dxa" w:w="1296"/>
          </w:tcPr>
          <w:p>
            <w:r/>
            <w:r>
              <w:rPr>
                <w:sz w:val="18"/>
              </w:rPr>
              <w:t>3,205</w:t>
            </w:r>
          </w:p>
        </w:tc>
        <w:tc>
          <w:tcPr>
            <w:tcW w:type="dxa" w:w="2448"/>
          </w:tcPr>
          <w:p>
            <w:r/>
            <w:r>
              <w:rPr>
                <w:sz w:val="18"/>
              </w:rPr>
              <w:t>7.9 (7.3–8.4)</w:t>
            </w:r>
          </w:p>
        </w:tc>
        <w:tc>
          <w:tcPr>
            <w:tcW w:type="dxa" w:w="2448"/>
          </w:tcPr>
          <w:p>
            <w:r/>
            <w:r>
              <w:rPr>
                <w:sz w:val="18"/>
              </w:rPr>
              <w:t>26.8 (25.8–27.8)</w:t>
            </w:r>
          </w:p>
        </w:tc>
      </w:tr>
      <w:tr>
        <w:tc>
          <w:tcPr>
            <w:tcW w:type="dxa" w:w="1152"/>
          </w:tcPr>
          <w:p>
            <w:r/>
            <w:r>
              <w:rPr>
                <w:sz w:val="18"/>
              </w:rPr>
            </w:r>
          </w:p>
        </w:tc>
        <w:tc>
          <w:tcPr>
            <w:tcW w:type="dxa" w:w="1008"/>
          </w:tcPr>
          <w:p>
            <w:r/>
            <w:r>
              <w:rPr>
                <w:sz w:val="18"/>
              </w:rPr>
              <w:t>1</w:t>
            </w:r>
          </w:p>
        </w:tc>
        <w:tc>
          <w:tcPr>
            <w:tcW w:type="dxa" w:w="1440"/>
          </w:tcPr>
          <w:p>
            <w:r/>
            <w:r>
              <w:rPr>
                <w:sz w:val="18"/>
              </w:rPr>
              <w:t>9,491</w:t>
            </w:r>
          </w:p>
        </w:tc>
        <w:tc>
          <w:tcPr>
            <w:tcW w:type="dxa" w:w="1296"/>
          </w:tcPr>
          <w:p>
            <w:r/>
            <w:r>
              <w:rPr>
                <w:sz w:val="18"/>
              </w:rPr>
              <w:t>3,820</w:t>
            </w:r>
          </w:p>
        </w:tc>
        <w:tc>
          <w:tcPr>
            <w:tcW w:type="dxa" w:w="2448"/>
          </w:tcPr>
          <w:p>
            <w:r/>
            <w:r>
              <w:rPr>
                <w:sz w:val="18"/>
              </w:rPr>
              <w:t>8.5 (7.9–9.1)</w:t>
            </w:r>
          </w:p>
        </w:tc>
        <w:tc>
          <w:tcPr>
            <w:tcW w:type="dxa" w:w="2448"/>
          </w:tcPr>
          <w:p>
            <w:r/>
            <w:r>
              <w:rPr>
                <w:sz w:val="18"/>
              </w:rPr>
              <w:t>30.1 (29.1–31.1)</w:t>
            </w:r>
          </w:p>
        </w:tc>
      </w:tr>
      <w:tr>
        <w:tc>
          <w:tcPr>
            <w:tcW w:type="dxa" w:w="1152"/>
          </w:tcPr>
          <w:p>
            <w:r/>
            <w:r>
              <w:rPr>
                <w:sz w:val="18"/>
              </w:rPr>
            </w:r>
          </w:p>
        </w:tc>
        <w:tc>
          <w:tcPr>
            <w:tcW w:type="dxa" w:w="1008"/>
          </w:tcPr>
          <w:p>
            <w:r/>
            <w:r>
              <w:rPr>
                <w:sz w:val="18"/>
              </w:rPr>
              <w:t>2</w:t>
            </w:r>
          </w:p>
        </w:tc>
        <w:tc>
          <w:tcPr>
            <w:tcW w:type="dxa" w:w="1440"/>
          </w:tcPr>
          <w:p>
            <w:r/>
            <w:r>
              <w:rPr>
                <w:sz w:val="18"/>
              </w:rPr>
              <w:t>15,037</w:t>
            </w:r>
          </w:p>
        </w:tc>
        <w:tc>
          <w:tcPr>
            <w:tcW w:type="dxa" w:w="1296"/>
          </w:tcPr>
          <w:p>
            <w:r/>
            <w:r>
              <w:rPr>
                <w:sz w:val="18"/>
              </w:rPr>
              <w:t>6,787</w:t>
            </w:r>
          </w:p>
        </w:tc>
        <w:tc>
          <w:tcPr>
            <w:tcW w:type="dxa" w:w="2448"/>
          </w:tcPr>
          <w:p>
            <w:r/>
            <w:r>
              <w:rPr>
                <w:sz w:val="18"/>
              </w:rPr>
              <w:t>10.4 (9.9–10.9)</w:t>
            </w:r>
          </w:p>
        </w:tc>
        <w:tc>
          <w:tcPr>
            <w:tcW w:type="dxa" w:w="2448"/>
          </w:tcPr>
          <w:p>
            <w:r/>
            <w:r>
              <w:rPr>
                <w:sz w:val="18"/>
              </w:rPr>
              <w:t>34.2 (33.3–35.0)</w:t>
            </w:r>
          </w:p>
        </w:tc>
      </w:tr>
      <w:tr>
        <w:tc>
          <w:tcPr>
            <w:tcW w:type="dxa" w:w="1152"/>
          </w:tcPr>
          <w:p>
            <w:r/>
            <w:r>
              <w:rPr>
                <w:sz w:val="18"/>
              </w:rPr>
            </w:r>
          </w:p>
        </w:tc>
        <w:tc>
          <w:tcPr>
            <w:tcW w:type="dxa" w:w="1008"/>
          </w:tcPr>
          <w:p>
            <w:r/>
            <w:r>
              <w:rPr>
                <w:sz w:val="18"/>
              </w:rPr>
              <w:t>3</w:t>
            </w:r>
          </w:p>
        </w:tc>
        <w:tc>
          <w:tcPr>
            <w:tcW w:type="dxa" w:w="1440"/>
          </w:tcPr>
          <w:p>
            <w:r/>
            <w:r>
              <w:rPr>
                <w:sz w:val="18"/>
              </w:rPr>
              <w:t>14,805</w:t>
            </w:r>
          </w:p>
        </w:tc>
        <w:tc>
          <w:tcPr>
            <w:tcW w:type="dxa" w:w="1296"/>
          </w:tcPr>
          <w:p>
            <w:r/>
            <w:r>
              <w:rPr>
                <w:sz w:val="18"/>
              </w:rPr>
              <w:t>7,699</w:t>
            </w:r>
          </w:p>
        </w:tc>
        <w:tc>
          <w:tcPr>
            <w:tcW w:type="dxa" w:w="2448"/>
          </w:tcPr>
          <w:p>
            <w:r/>
            <w:r>
              <w:rPr>
                <w:sz w:val="18"/>
              </w:rPr>
              <w:t>12.9 (12.3–13.4)</w:t>
            </w:r>
          </w:p>
        </w:tc>
        <w:tc>
          <w:tcPr>
            <w:tcW w:type="dxa" w:w="2448"/>
          </w:tcPr>
          <w:p>
            <w:r/>
            <w:r>
              <w:rPr>
                <w:sz w:val="18"/>
              </w:rPr>
              <w:t>39.4 (38.6–40.3)</w:t>
            </w:r>
          </w:p>
        </w:tc>
      </w:tr>
      <w:tr>
        <w:tc>
          <w:tcPr>
            <w:tcW w:type="dxa" w:w="1152"/>
          </w:tcPr>
          <w:p>
            <w:r/>
            <w:r>
              <w:rPr>
                <w:sz w:val="18"/>
              </w:rPr>
            </w:r>
          </w:p>
        </w:tc>
        <w:tc>
          <w:tcPr>
            <w:tcW w:type="dxa" w:w="1008"/>
          </w:tcPr>
          <w:p>
            <w:r/>
            <w:r>
              <w:rPr>
                <w:sz w:val="18"/>
              </w:rPr>
              <w:t>4</w:t>
            </w:r>
          </w:p>
        </w:tc>
        <w:tc>
          <w:tcPr>
            <w:tcW w:type="dxa" w:w="1440"/>
          </w:tcPr>
          <w:p>
            <w:r/>
            <w:r>
              <w:rPr>
                <w:sz w:val="18"/>
              </w:rPr>
              <w:t>22,816</w:t>
            </w:r>
          </w:p>
        </w:tc>
        <w:tc>
          <w:tcPr>
            <w:tcW w:type="dxa" w:w="1296"/>
          </w:tcPr>
          <w:p>
            <w:r/>
            <w:r>
              <w:rPr>
                <w:sz w:val="18"/>
              </w:rPr>
              <w:t>13,343</w:t>
            </w:r>
          </w:p>
        </w:tc>
        <w:tc>
          <w:tcPr>
            <w:tcW w:type="dxa" w:w="2448"/>
          </w:tcPr>
          <w:p>
            <w:r/>
            <w:r>
              <w:rPr>
                <w:sz w:val="18"/>
              </w:rPr>
              <w:t>19.4 (18.8–19.9)</w:t>
            </w:r>
          </w:p>
        </w:tc>
        <w:tc>
          <w:tcPr>
            <w:tcW w:type="dxa" w:w="2448"/>
          </w:tcPr>
          <w:p>
            <w:r/>
            <w:r>
              <w:rPr>
                <w:sz w:val="18"/>
              </w:rPr>
              <w:t>48.3 (47.6–49.0)</w:t>
            </w:r>
          </w:p>
        </w:tc>
      </w:tr>
      <w:tr>
        <w:tc>
          <w:tcPr>
            <w:tcW w:type="dxa" w:w="9792"/>
            <w:gridSpan w:val="6"/>
          </w:tcPr>
          <w:p>
            <w:r>
              <w:rPr>
                <w:i/>
                <w:sz w:val="18"/>
              </w:rPr>
              <w:t>Adjusted HR per additional difficulty within this stage: 1.1969 (1.1873–1.2065)</w:t>
            </w:r>
          </w:p>
        </w:tc>
      </w:tr>
      <w:tr>
        <w:tc>
          <w:tcPr>
            <w:tcW w:type="dxa" w:w="1152"/>
          </w:tcPr>
          <w:p>
            <w:r/>
            <w:r>
              <w:rPr>
                <w:sz w:val="18"/>
              </w:rPr>
              <w:t>CDR 3</w:t>
            </w:r>
          </w:p>
        </w:tc>
        <w:tc>
          <w:tcPr>
            <w:tcW w:type="dxa" w:w="1008"/>
          </w:tcPr>
          <w:p>
            <w:r/>
            <w:r>
              <w:rPr>
                <w:sz w:val="18"/>
              </w:rPr>
              <w:t>0</w:t>
            </w:r>
          </w:p>
        </w:tc>
        <w:tc>
          <w:tcPr>
            <w:tcW w:type="dxa" w:w="1440"/>
          </w:tcPr>
          <w:p>
            <w:r/>
            <w:r>
              <w:rPr>
                <w:sz w:val="18"/>
              </w:rPr>
              <w:t>2,620</w:t>
            </w:r>
          </w:p>
        </w:tc>
        <w:tc>
          <w:tcPr>
            <w:tcW w:type="dxa" w:w="1296"/>
          </w:tcPr>
          <w:p>
            <w:r/>
            <w:r>
              <w:rPr>
                <w:sz w:val="18"/>
              </w:rPr>
              <w:t>936</w:t>
            </w:r>
          </w:p>
        </w:tc>
        <w:tc>
          <w:tcPr>
            <w:tcW w:type="dxa" w:w="2448"/>
          </w:tcPr>
          <w:p>
            <w:r/>
            <w:r>
              <w:rPr>
                <w:sz w:val="18"/>
              </w:rPr>
              <w:t>9.6 (8.5–10.8)</w:t>
            </w:r>
          </w:p>
        </w:tc>
        <w:tc>
          <w:tcPr>
            <w:tcW w:type="dxa" w:w="2448"/>
          </w:tcPr>
          <w:p>
            <w:r/>
            <w:r>
              <w:rPr>
                <w:sz w:val="18"/>
              </w:rPr>
              <w:t>26.8 (25.0–28.7)</w:t>
            </w:r>
          </w:p>
        </w:tc>
      </w:tr>
      <w:tr>
        <w:tc>
          <w:tcPr>
            <w:tcW w:type="dxa" w:w="1152"/>
          </w:tcPr>
          <w:p>
            <w:r/>
            <w:r>
              <w:rPr>
                <w:sz w:val="18"/>
              </w:rPr>
            </w:r>
          </w:p>
        </w:tc>
        <w:tc>
          <w:tcPr>
            <w:tcW w:type="dxa" w:w="1008"/>
          </w:tcPr>
          <w:p>
            <w:r/>
            <w:r>
              <w:rPr>
                <w:sz w:val="18"/>
              </w:rPr>
              <w:t>1</w:t>
            </w:r>
          </w:p>
        </w:tc>
        <w:tc>
          <w:tcPr>
            <w:tcW w:type="dxa" w:w="1440"/>
          </w:tcPr>
          <w:p>
            <w:r/>
            <w:r>
              <w:rPr>
                <w:sz w:val="18"/>
              </w:rPr>
              <w:t>2,118</w:t>
            </w:r>
          </w:p>
        </w:tc>
        <w:tc>
          <w:tcPr>
            <w:tcW w:type="dxa" w:w="1296"/>
          </w:tcPr>
          <w:p>
            <w:r/>
            <w:r>
              <w:rPr>
                <w:sz w:val="18"/>
              </w:rPr>
              <w:t>947</w:t>
            </w:r>
          </w:p>
        </w:tc>
        <w:tc>
          <w:tcPr>
            <w:tcW w:type="dxa" w:w="2448"/>
          </w:tcPr>
          <w:p>
            <w:r/>
            <w:r>
              <w:rPr>
                <w:sz w:val="18"/>
              </w:rPr>
              <w:t>11.1 (9.8–12.5)</w:t>
            </w:r>
          </w:p>
        </w:tc>
        <w:tc>
          <w:tcPr>
            <w:tcW w:type="dxa" w:w="2448"/>
          </w:tcPr>
          <w:p>
            <w:r/>
            <w:r>
              <w:rPr>
                <w:sz w:val="18"/>
              </w:rPr>
              <w:t>30.5 (28.5–32.6)</w:t>
            </w:r>
          </w:p>
        </w:tc>
      </w:tr>
      <w:tr>
        <w:tc>
          <w:tcPr>
            <w:tcW w:type="dxa" w:w="1152"/>
          </w:tcPr>
          <w:p>
            <w:r/>
            <w:r>
              <w:rPr>
                <w:sz w:val="18"/>
              </w:rPr>
            </w:r>
          </w:p>
        </w:tc>
        <w:tc>
          <w:tcPr>
            <w:tcW w:type="dxa" w:w="1008"/>
          </w:tcPr>
          <w:p>
            <w:r/>
            <w:r>
              <w:rPr>
                <w:sz w:val="18"/>
              </w:rPr>
              <w:t>2</w:t>
            </w:r>
          </w:p>
        </w:tc>
        <w:tc>
          <w:tcPr>
            <w:tcW w:type="dxa" w:w="1440"/>
          </w:tcPr>
          <w:p>
            <w:r/>
            <w:r>
              <w:rPr>
                <w:sz w:val="18"/>
              </w:rPr>
              <w:t>5,158</w:t>
            </w:r>
          </w:p>
        </w:tc>
        <w:tc>
          <w:tcPr>
            <w:tcW w:type="dxa" w:w="1296"/>
          </w:tcPr>
          <w:p>
            <w:r/>
            <w:r>
              <w:rPr>
                <w:sz w:val="18"/>
              </w:rPr>
              <w:t>2,821</w:t>
            </w:r>
          </w:p>
        </w:tc>
        <w:tc>
          <w:tcPr>
            <w:tcW w:type="dxa" w:w="2448"/>
          </w:tcPr>
          <w:p>
            <w:r/>
            <w:r>
              <w:rPr>
                <w:sz w:val="18"/>
              </w:rPr>
              <w:t>15.0 (14.0–16.0)</w:t>
            </w:r>
          </w:p>
        </w:tc>
        <w:tc>
          <w:tcPr>
            <w:tcW w:type="dxa" w:w="2448"/>
          </w:tcPr>
          <w:p>
            <w:r/>
            <w:r>
              <w:rPr>
                <w:sz w:val="18"/>
              </w:rPr>
              <w:t>41.2 (39.7–42.6)</w:t>
            </w:r>
          </w:p>
        </w:tc>
      </w:tr>
      <w:tr>
        <w:tc>
          <w:tcPr>
            <w:tcW w:type="dxa" w:w="1152"/>
          </w:tcPr>
          <w:p>
            <w:r/>
            <w:r>
              <w:rPr>
                <w:sz w:val="18"/>
              </w:rPr>
            </w:r>
          </w:p>
        </w:tc>
        <w:tc>
          <w:tcPr>
            <w:tcW w:type="dxa" w:w="1008"/>
          </w:tcPr>
          <w:p>
            <w:r/>
            <w:r>
              <w:rPr>
                <w:sz w:val="18"/>
              </w:rPr>
              <w:t>3</w:t>
            </w:r>
          </w:p>
        </w:tc>
        <w:tc>
          <w:tcPr>
            <w:tcW w:type="dxa" w:w="1440"/>
          </w:tcPr>
          <w:p>
            <w:r/>
            <w:r>
              <w:rPr>
                <w:sz w:val="18"/>
              </w:rPr>
              <w:t>6,818</w:t>
            </w:r>
          </w:p>
        </w:tc>
        <w:tc>
          <w:tcPr>
            <w:tcW w:type="dxa" w:w="1296"/>
          </w:tcPr>
          <w:p>
            <w:r/>
            <w:r>
              <w:rPr>
                <w:sz w:val="18"/>
              </w:rPr>
              <w:t>4,353</w:t>
            </w:r>
          </w:p>
        </w:tc>
        <w:tc>
          <w:tcPr>
            <w:tcW w:type="dxa" w:w="2448"/>
          </w:tcPr>
          <w:p>
            <w:r/>
            <w:r>
              <w:rPr>
                <w:sz w:val="18"/>
              </w:rPr>
              <w:t>18.1 (17.2–19.1)</w:t>
            </w:r>
          </w:p>
        </w:tc>
        <w:tc>
          <w:tcPr>
            <w:tcW w:type="dxa" w:w="2448"/>
          </w:tcPr>
          <w:p>
            <w:r/>
            <w:r>
              <w:rPr>
                <w:sz w:val="18"/>
              </w:rPr>
              <w:t>47.4 (46.1–48.6)</w:t>
            </w:r>
          </w:p>
        </w:tc>
      </w:tr>
      <w:tr>
        <w:tc>
          <w:tcPr>
            <w:tcW w:type="dxa" w:w="1152"/>
          </w:tcPr>
          <w:p>
            <w:r/>
            <w:r>
              <w:rPr>
                <w:sz w:val="18"/>
              </w:rPr>
            </w:r>
          </w:p>
        </w:tc>
        <w:tc>
          <w:tcPr>
            <w:tcW w:type="dxa" w:w="1008"/>
          </w:tcPr>
          <w:p>
            <w:r/>
            <w:r>
              <w:rPr>
                <w:sz w:val="18"/>
              </w:rPr>
              <w:t>4</w:t>
            </w:r>
          </w:p>
        </w:tc>
        <w:tc>
          <w:tcPr>
            <w:tcW w:type="dxa" w:w="1440"/>
          </w:tcPr>
          <w:p>
            <w:r/>
            <w:r>
              <w:rPr>
                <w:sz w:val="18"/>
              </w:rPr>
              <w:t>34,244</w:t>
            </w:r>
          </w:p>
        </w:tc>
        <w:tc>
          <w:tcPr>
            <w:tcW w:type="dxa" w:w="1296"/>
          </w:tcPr>
          <w:p>
            <w:r/>
            <w:r>
              <w:rPr>
                <w:sz w:val="18"/>
              </w:rPr>
              <w:t>24,122</w:t>
            </w:r>
          </w:p>
        </w:tc>
        <w:tc>
          <w:tcPr>
            <w:tcW w:type="dxa" w:w="2448"/>
          </w:tcPr>
          <w:p>
            <w:r/>
            <w:r>
              <w:rPr>
                <w:sz w:val="18"/>
              </w:rPr>
              <w:t>27.1 (26.7–27.6)</w:t>
            </w:r>
          </w:p>
        </w:tc>
        <w:tc>
          <w:tcPr>
            <w:tcW w:type="dxa" w:w="2448"/>
          </w:tcPr>
          <w:p>
            <w:r/>
            <w:r>
              <w:rPr>
                <w:sz w:val="18"/>
              </w:rPr>
              <w:t>59.0 (58.5–59.6)</w:t>
            </w:r>
          </w:p>
        </w:tc>
      </w:tr>
      <w:tr>
        <w:tc>
          <w:tcPr>
            <w:tcW w:type="dxa" w:w="9792"/>
            <w:gridSpan w:val="6"/>
          </w:tcPr>
          <w:p>
            <w:r>
              <w:rPr>
                <w:i/>
                <w:sz w:val="18"/>
              </w:rPr>
              <w:t>Adjusted HR per additional difficulty within this stage: 1.3340 (1.3192–1.3490)</w:t>
            </w:r>
          </w:p>
        </w:tc>
      </w:tr>
    </w:tbl>
    <w:p>
      <w:pPr>
        <w:spacing w:after="160"/>
      </w:pPr>
      <w:r>
        <w:rPr>
          <w:color w:val="444444"/>
          <w:sz w:val="18"/>
        </w:rPr>
        <w:t>Kaplan–Meier estimates with 95% confidence intervals. Within-stage hazard ratios are adjusted for age, sex, education and urbanicity (CDR terms are not included, since the model is fitted within a single stage). These are the data plotted in main-text Fig. 1.</w:t>
      </w:r>
    </w:p>
    <w:p>
      <w:pPr>
        <w:keepNext/>
        <w:spacing w:before="160" w:after="60"/>
      </w:pPr>
      <w:r>
        <w:rPr>
          <w:b/>
          <w:sz w:val="22"/>
        </w:rPr>
        <w:t>Table S4.2. Tertiles of the four-item mean score as an alternative summary</w:t>
      </w:r>
    </w:p>
    <w:tbl>
      <w:tblPr>
        <w:tblW w:type="auto" w:w="0"/>
        <w:tblLook w:firstColumn="1" w:firstRow="1" w:lastColumn="0" w:lastRow="0" w:noHBand="0" w:noVBand="1" w:val="04A0"/>
        <w:tblBorders>
          <w:top w:val="single" w:sz="4" w:color="888888"/>
          <w:left w:val="single" w:sz="4" w:color="888888"/>
          <w:bottom w:val="single" w:sz="4" w:color="888888"/>
          <w:right w:val="single" w:sz="4" w:color="888888"/>
          <w:insideH w:val="single" w:sz="4" w:color="888888"/>
          <w:insideV w:val="single" w:sz="4" w:color="888888"/>
        </w:tblBorders>
      </w:tblPr>
      <w:tblGrid>
        <w:gridCol w:w="1728"/>
        <w:gridCol w:w="1728"/>
        <w:gridCol w:w="1728"/>
        <w:gridCol w:w="1728"/>
        <w:gridCol w:w="1728"/>
      </w:tblGrid>
      <w:tr>
        <w:trPr>
          <w:cantSplit/>
          <w:tblHeader/>
        </w:trPr>
        <w:tc>
          <w:tcPr>
            <w:tcW w:type="dxa" w:w="3024"/>
          </w:tcPr>
          <w:p>
            <w:r/>
            <w:r>
              <w:rPr>
                <w:b/>
                <w:sz w:val="18"/>
              </w:rPr>
              <w:t>Tertile of four-item mean score (0–100)</w:t>
            </w:r>
          </w:p>
        </w:tc>
        <w:tc>
          <w:tcPr>
            <w:tcW w:type="dxa" w:w="1440"/>
          </w:tcPr>
          <w:p>
            <w:r/>
            <w:r>
              <w:rPr>
                <w:b/>
                <w:sz w:val="18"/>
              </w:rPr>
              <w:t>n</w:t>
            </w:r>
          </w:p>
        </w:tc>
        <w:tc>
          <w:tcPr>
            <w:tcW w:type="dxa" w:w="1728"/>
          </w:tcPr>
          <w:p>
            <w:r>
              <w:t>1-year mortality, % (95% CI)</w:t>
            </w:r>
          </w:p>
        </w:tc>
        <w:tc>
          <w:tcPr>
            <w:tcW w:type="dxa" w:w="1728"/>
          </w:tcPr>
          <w:p>
            <w:r>
              <w:t>3-year mortality, % (95% CI)</w:t>
            </w:r>
          </w:p>
        </w:tc>
        <w:tc>
          <w:tcPr>
            <w:tcW w:type="dxa" w:w="2160"/>
          </w:tcPr>
          <w:p>
            <w:r/>
            <w:r>
              <w:rPr>
                <w:b/>
                <w:sz w:val="18"/>
              </w:rPr>
              <w:t>Adjusted HR (95% CI)</w:t>
            </w:r>
          </w:p>
        </w:tc>
      </w:tr>
      <w:tr>
        <w:tc>
          <w:tcPr>
            <w:tcW w:type="dxa" w:w="3024"/>
          </w:tcPr>
          <w:p>
            <w:r/>
            <w:r>
              <w:rPr>
                <w:sz w:val="18"/>
              </w:rPr>
              <w:t>Lowest</w:t>
            </w:r>
          </w:p>
        </w:tc>
        <w:tc>
          <w:tcPr>
            <w:tcW w:type="dxa" w:w="1440"/>
          </w:tcPr>
          <w:p>
            <w:r/>
            <w:r>
              <w:rPr>
                <w:sz w:val="18"/>
              </w:rPr>
              <w:t>69,995</w:t>
            </w:r>
          </w:p>
        </w:tc>
        <w:tc>
          <w:tcPr>
            <w:tcW w:type="dxa" w:w="1728"/>
          </w:tcPr>
          <w:p>
            <w:r>
              <w:t>6.5 (6.3–6.7)</w:t>
            </w:r>
          </w:p>
        </w:tc>
        <w:tc>
          <w:tcPr>
            <w:tcW w:type="dxa" w:w="1728"/>
          </w:tcPr>
          <w:p>
            <w:r>
              <w:t>25.0 (24.7–25.4)</w:t>
            </w:r>
          </w:p>
        </w:tc>
        <w:tc>
          <w:tcPr>
            <w:tcW w:type="dxa" w:w="2160"/>
          </w:tcPr>
          <w:p>
            <w:r/>
            <w:r>
              <w:rPr>
                <w:sz w:val="18"/>
              </w:rPr>
              <w:t>1.00 (reference)</w:t>
            </w:r>
          </w:p>
        </w:tc>
      </w:tr>
      <w:tr>
        <w:tc>
          <w:tcPr>
            <w:tcW w:type="dxa" w:w="3024"/>
          </w:tcPr>
          <w:p>
            <w:r/>
            <w:r>
              <w:rPr>
                <w:sz w:val="18"/>
              </w:rPr>
              <w:t>Middle</w:t>
            </w:r>
          </w:p>
        </w:tc>
        <w:tc>
          <w:tcPr>
            <w:tcW w:type="dxa" w:w="1440"/>
          </w:tcPr>
          <w:p>
            <w:r/>
            <w:r>
              <w:rPr>
                <w:sz w:val="18"/>
              </w:rPr>
              <w:t>67,859</w:t>
            </w:r>
          </w:p>
        </w:tc>
        <w:tc>
          <w:tcPr>
            <w:tcW w:type="dxa" w:w="1728"/>
          </w:tcPr>
          <w:p>
            <w:r>
              <w:t>12.4 (12.2–12.7)</w:t>
            </w:r>
          </w:p>
        </w:tc>
        <w:tc>
          <w:tcPr>
            <w:tcW w:type="dxa" w:w="1728"/>
          </w:tcPr>
          <w:p>
            <w:r>
              <w:t>37.6 (37.2–38.0)</w:t>
            </w:r>
          </w:p>
        </w:tc>
        <w:tc>
          <w:tcPr>
            <w:tcW w:type="dxa" w:w="2160"/>
          </w:tcPr>
          <w:p>
            <w:r/>
            <w:r>
              <w:rPr>
                <w:sz w:val="18"/>
              </w:rPr>
              <w:t>1.48 (1.45–1.50)</w:t>
            </w:r>
          </w:p>
        </w:tc>
      </w:tr>
      <w:tr>
        <w:tc>
          <w:tcPr>
            <w:tcW w:type="dxa" w:w="3024"/>
          </w:tcPr>
          <w:p>
            <w:r/>
            <w:r>
              <w:rPr>
                <w:sz w:val="18"/>
              </w:rPr>
              <w:t>Highest</w:t>
            </w:r>
          </w:p>
        </w:tc>
        <w:tc>
          <w:tcPr>
            <w:tcW w:type="dxa" w:w="1440"/>
          </w:tcPr>
          <w:p>
            <w:r/>
            <w:r>
              <w:rPr>
                <w:sz w:val="18"/>
              </w:rPr>
              <w:t>56,874</w:t>
            </w:r>
          </w:p>
        </w:tc>
        <w:tc>
          <w:tcPr>
            <w:tcW w:type="dxa" w:w="1728"/>
          </w:tcPr>
          <w:p>
            <w:r>
              <w:t>24.4 (24.0–24.7)</w:t>
            </w:r>
          </w:p>
        </w:tc>
        <w:tc>
          <w:tcPr>
            <w:tcW w:type="dxa" w:w="1728"/>
          </w:tcPr>
          <w:p>
            <w:r>
              <w:t>54.6 (54.2–55.0)</w:t>
            </w:r>
          </w:p>
        </w:tc>
        <w:tc>
          <w:tcPr>
            <w:tcW w:type="dxa" w:w="2160"/>
          </w:tcPr>
          <w:p>
            <w:r/>
            <w:r>
              <w:rPr>
                <w:sz w:val="18"/>
              </w:rPr>
              <w:t>2.13 (2.09–2.17)</w:t>
            </w:r>
          </w:p>
        </w:tc>
      </w:tr>
      <w:tr>
        <w:tc>
          <w:tcPr>
            <w:tcW w:type="dxa" w:w="3024"/>
          </w:tcPr>
          <w:p>
            <w:r/>
            <w:r>
              <w:rPr>
                <w:sz w:val="18"/>
              </w:rPr>
              <w:t>Per +10 points</w:t>
            </w:r>
          </w:p>
        </w:tc>
        <w:tc>
          <w:tcPr>
            <w:tcW w:type="dxa" w:w="1440"/>
          </w:tcPr>
          <w:p>
            <w:r/>
            <w:r>
              <w:rPr>
                <w:sz w:val="18"/>
              </w:rPr>
            </w:r>
          </w:p>
        </w:tc>
        <w:tc>
          <w:tcPr>
            <w:tcW w:type="dxa" w:w="1728"/>
          </w:tcPr>
          <w:p>
            <w:r/>
            <w:r>
              <w:rPr>
                <w:sz w:val="18"/>
              </w:rPr>
            </w:r>
          </w:p>
        </w:tc>
        <w:tc>
          <w:tcPr>
            <w:tcW w:type="dxa" w:w="1728"/>
          </w:tcPr>
          <w:p>
            <w:r/>
            <w:r>
              <w:rPr>
                <w:sz w:val="18"/>
              </w:rPr>
            </w:r>
          </w:p>
        </w:tc>
        <w:tc>
          <w:tcPr>
            <w:tcW w:type="dxa" w:w="2160"/>
          </w:tcPr>
          <w:p>
            <w:r/>
            <w:r>
              <w:rPr>
                <w:sz w:val="18"/>
              </w:rPr>
              <w:t>1.129 (1.126–1.132)</w:t>
            </w:r>
          </w:p>
        </w:tc>
      </w:tr>
    </w:tbl>
    <w:p>
      <w:pPr>
        <w:spacing w:after="160"/>
      </w:pPr>
      <w:r>
        <w:rPr>
          <w:color w:val="444444"/>
          <w:sz w:val="18"/>
        </w:rPr>
        <w:t>Kaplan–Meier estimates; hazard ratios adjusted for age, sex, education, urbanicity and CDR stage. Groups are unequal in size because the four-item mean takes few distinct values, so tertile boundaries fall on ties. The gradient is comparable to that of the 0–4 number of difficulties reported in main-text Table 3. The final row gives the hazard ratio per 10 points of the same continuous mean score, a different quantity from the tertile contrasts above it and reported to one more decimal place.</w:t>
      </w:r>
    </w:p>
    <w:p>
      <w:pPr>
        <w:spacing w:before="200" w:after="60"/>
      </w:pPr>
      <w:r>
        <w:rPr>
          <w:b/>
          <w:sz w:val="26"/>
        </w:rPr>
        <w:t>S5. Discrimination and calibration</w:t>
      </w:r>
    </w:p>
    <w:p>
      <w:pPr>
        <w:keepNext/>
        <w:spacing w:before="160" w:after="60"/>
      </w:pPr>
      <w:r>
        <w:rPr>
          <w:b/>
          <w:sz w:val="22"/>
        </w:rPr>
        <w:t>Table S5.1. Discrimination (Harrell's C-index) in the random and temporal evaluations</w:t>
      </w:r>
    </w:p>
    <w:tbl>
      <w:tblPr>
        <w:tblW w:type="auto" w:w="0"/>
        <w:tblLook w:firstColumn="1" w:firstRow="1" w:lastColumn="0" w:lastRow="0" w:noHBand="0" w:noVBand="1" w:val="04A0"/>
        <w:tblBorders>
          <w:top w:val="single" w:sz="4" w:color="888888"/>
          <w:left w:val="single" w:sz="4" w:color="888888"/>
          <w:bottom w:val="single" w:sz="4" w:color="888888"/>
          <w:right w:val="single" w:sz="4" w:color="888888"/>
          <w:insideH w:val="single" w:sz="4" w:color="888888"/>
          <w:insideV w:val="single" w:sz="4" w:color="888888"/>
        </w:tblBorders>
      </w:tblPr>
      <w:tblGrid>
        <w:gridCol w:w="1728"/>
        <w:gridCol w:w="1728"/>
        <w:gridCol w:w="1728"/>
        <w:gridCol w:w="1728"/>
        <w:gridCol w:w="1728"/>
      </w:tblGrid>
      <w:tr>
        <w:trPr>
          <w:cantSplit/>
          <w:tblHeader/>
        </w:trPr>
        <w:tc>
          <w:tcPr>
            <w:tcW w:type="dxa" w:w="2736"/>
          </w:tcPr>
          <w:p>
            <w:r/>
            <w:r>
              <w:rPr>
                <w:b/>
                <w:sz w:val="18"/>
              </w:rPr>
              <w:t>Evaluation</w:t>
            </w:r>
          </w:p>
        </w:tc>
        <w:tc>
          <w:tcPr>
            <w:tcW w:type="dxa" w:w="1584"/>
          </w:tcPr>
          <w:p>
            <w:r/>
            <w:r>
              <w:rPr>
                <w:b/>
                <w:sz w:val="18"/>
              </w:rPr>
              <w:t>n (validation)</w:t>
            </w:r>
          </w:p>
        </w:tc>
        <w:tc>
          <w:tcPr>
            <w:tcW w:type="dxa" w:w="1728"/>
          </w:tcPr>
          <w:p>
            <w:r>
              <w:t>Covariate model</w:t>
            </w:r>
          </w:p>
        </w:tc>
        <w:tc>
          <w:tcPr>
            <w:tcW w:type="dxa" w:w="2016"/>
          </w:tcPr>
          <w:p>
            <w:r/>
            <w:r>
              <w:rPr>
                <w:b/>
                <w:sz w:val="18"/>
              </w:rPr>
              <w:t>+ 0–4 number of difficulties (ΔC)</w:t>
            </w:r>
          </w:p>
        </w:tc>
        <w:tc>
          <w:tcPr>
            <w:tcW w:type="dxa" w:w="2016"/>
          </w:tcPr>
          <w:p>
            <w:r/>
            <w:r>
              <w:rPr>
                <w:b/>
                <w:sz w:val="18"/>
              </w:rPr>
              <w:t>+ continuous item scores (ΔC)</w:t>
            </w:r>
          </w:p>
        </w:tc>
      </w:tr>
      <w:tr>
        <w:tc>
          <w:tcPr>
            <w:tcW w:type="dxa" w:w="2736"/>
          </w:tcPr>
          <w:p>
            <w:r/>
            <w:r>
              <w:rPr>
                <w:sz w:val="18"/>
              </w:rPr>
              <w:t>Random 70/30 split</w:t>
            </w:r>
          </w:p>
        </w:tc>
        <w:tc>
          <w:tcPr>
            <w:tcW w:type="dxa" w:w="1584"/>
          </w:tcPr>
          <w:p>
            <w:r/>
            <w:r>
              <w:rPr>
                <w:sz w:val="18"/>
              </w:rPr>
              <w:t>58,419</w:t>
            </w:r>
          </w:p>
        </w:tc>
        <w:tc>
          <w:tcPr>
            <w:tcW w:type="dxa" w:w="1728"/>
          </w:tcPr>
          <w:p>
            <w:r/>
            <w:r>
              <w:rPr>
                <w:sz w:val="18"/>
              </w:rPr>
              <w:t>0.6393</w:t>
            </w:r>
          </w:p>
        </w:tc>
        <w:tc>
          <w:tcPr>
            <w:tcW w:type="dxa" w:w="2016"/>
          </w:tcPr>
          <w:p>
            <w:r/>
            <w:r>
              <w:rPr>
                <w:sz w:val="18"/>
              </w:rPr>
              <w:t>0.6562 (+0.0168)</w:t>
            </w:r>
          </w:p>
        </w:tc>
        <w:tc>
          <w:tcPr>
            <w:tcW w:type="dxa" w:w="2016"/>
          </w:tcPr>
          <w:p>
            <w:r/>
            <w:r>
              <w:rPr>
                <w:sz w:val="18"/>
              </w:rPr>
              <w:t>0.6624 (+0.0231)</w:t>
            </w:r>
          </w:p>
        </w:tc>
      </w:tr>
      <w:tr>
        <w:tc>
          <w:tcPr>
            <w:tcW w:type="dxa" w:w="2736"/>
          </w:tcPr>
          <w:p>
            <w:r/>
            <w:r>
              <w:rPr>
                <w:sz w:val="18"/>
              </w:rPr>
              <w:t>Temporal (2012–2018 → 2019–2024)</w:t>
            </w:r>
          </w:p>
        </w:tc>
        <w:tc>
          <w:tcPr>
            <w:tcW w:type="dxa" w:w="1584"/>
          </w:tcPr>
          <w:p>
            <w:r/>
            <w:r>
              <w:rPr>
                <w:sz w:val="18"/>
              </w:rPr>
              <w:t>109,865</w:t>
            </w:r>
          </w:p>
        </w:tc>
        <w:tc>
          <w:tcPr>
            <w:tcW w:type="dxa" w:w="1728"/>
          </w:tcPr>
          <w:p>
            <w:r/>
            <w:r>
              <w:rPr>
                <w:sz w:val="18"/>
              </w:rPr>
              <w:t>0.6552</w:t>
            </w:r>
          </w:p>
        </w:tc>
        <w:tc>
          <w:tcPr>
            <w:tcW w:type="dxa" w:w="2016"/>
          </w:tcPr>
          <w:p>
            <w:r/>
            <w:r>
              <w:rPr>
                <w:sz w:val="18"/>
              </w:rPr>
              <w:t>0.6627 (+0.0075)</w:t>
            </w:r>
          </w:p>
        </w:tc>
        <w:tc>
          <w:tcPr>
            <w:tcW w:type="dxa" w:w="2016"/>
          </w:tcPr>
          <w:p>
            <w:r/>
            <w:r>
              <w:rPr>
                <w:sz w:val="18"/>
              </w:rPr>
              <w:t>0.6695 (+0.0144)</w:t>
            </w:r>
          </w:p>
        </w:tc>
      </w:tr>
    </w:tbl>
    <w:p>
      <w:pPr>
        <w:spacing w:after="160"/>
      </w:pPr>
      <w:r>
        <w:rPr>
          <w:color w:val="444444"/>
          <w:sz w:val="18"/>
        </w:rPr>
        <w:t>Covariate model = age, sex, education, urbanicity and CDR stage. The 0–4 number of difficulties recovers part of the increment obtained from the continuous item scores; Harrell's C-index uses all available follow-up and requires no fixed horizon. The random evaluation is fitted in 136,309 participants (64,526 deaths) and evaluated in the remaining 58,419 (27,804 deaths); the temporal evaluation is fitted in the 84,863 first assessed in 2012–2018 (56,628 deaths) and evaluated in the 109,865 first assessed in 2019–2024 (35,702 deaths). Differences are computed before rounding, so they may differ in the last digit from the difference of the rounded C-indices.</w:t>
      </w:r>
    </w:p>
    <w:p>
      <w:pPr>
        <w:keepNext/>
        <w:spacing w:before="160" w:after="60"/>
      </w:pPr>
      <w:r>
        <w:rPr>
          <w:b/>
          <w:sz w:val="22"/>
        </w:rPr>
        <w:t>Table S5.2. Calibration</w:t>
      </w:r>
    </w:p>
    <w:tbl>
      <w:tblPr>
        <w:tblW w:type="auto" w:w="0"/>
        <w:tblLook w:firstColumn="1" w:firstRow="1" w:lastColumn="0" w:lastRow="0" w:noHBand="0" w:noVBand="1" w:val="04A0"/>
        <w:tblBorders>
          <w:top w:val="single" w:sz="4" w:color="888888"/>
          <w:left w:val="single" w:sz="4" w:color="888888"/>
          <w:bottom w:val="single" w:sz="4" w:color="888888"/>
          <w:right w:val="single" w:sz="4" w:color="888888"/>
          <w:insideH w:val="single" w:sz="4" w:color="888888"/>
          <w:insideV w:val="single" w:sz="4" w:color="888888"/>
        </w:tblBorders>
      </w:tblPr>
      <w:tblGrid>
        <w:gridCol w:w="1728"/>
        <w:gridCol w:w="1728"/>
        <w:gridCol w:w="1728"/>
        <w:gridCol w:w="1728"/>
        <w:gridCol w:w="1728"/>
      </w:tblGrid>
      <w:tr>
        <w:trPr>
          <w:cantSplit/>
          <w:tblHeader/>
        </w:trPr>
        <w:tc>
          <w:tcPr>
            <w:tcW w:type="dxa" w:w="2880"/>
          </w:tcPr>
          <w:p>
            <w:r/>
            <w:r>
              <w:rPr>
                <w:b/>
                <w:sz w:val="18"/>
              </w:rPr>
              <w:t>Set</w:t>
            </w:r>
          </w:p>
        </w:tc>
        <w:tc>
          <w:tcPr>
            <w:tcW w:type="dxa" w:w="1440"/>
          </w:tcPr>
          <w:p>
            <w:r/>
            <w:r>
              <w:rPr>
                <w:b/>
                <w:sz w:val="18"/>
              </w:rPr>
              <w:t>n</w:t>
            </w:r>
          </w:p>
        </w:tc>
        <w:tc>
          <w:tcPr>
            <w:tcW w:type="dxa" w:w="2304"/>
          </w:tcPr>
          <w:p>
            <w:r/>
            <w:r>
              <w:rPr>
                <w:b/>
                <w:sz w:val="18"/>
              </w:rPr>
              <w:t>Observed (Kaplan–Meier)</w:t>
            </w:r>
          </w:p>
        </w:tc>
        <w:tc>
          <w:tcPr>
            <w:tcW w:type="dxa" w:w="1872"/>
          </w:tcPr>
          <w:p>
            <w:r/>
            <w:r>
              <w:rPr>
                <w:b/>
                <w:sz w:val="18"/>
              </w:rPr>
              <w:t>Predicted (mean)</w:t>
            </w:r>
          </w:p>
        </w:tc>
        <w:tc>
          <w:tcPr>
            <w:tcW w:type="dxa" w:w="1872"/>
          </w:tcPr>
          <w:p>
            <w:r/>
            <w:r>
              <w:rPr>
                <w:b/>
                <w:sz w:val="18"/>
              </w:rPr>
              <w:t>Calibration slope</w:t>
            </w:r>
          </w:p>
        </w:tc>
      </w:tr>
      <w:tr>
        <w:tc>
          <w:tcPr>
            <w:tcW w:type="dxa" w:w="2880"/>
          </w:tcPr>
          <w:p>
            <w:r/>
            <w:r>
              <w:rPr>
                <w:sz w:val="18"/>
              </w:rPr>
              <w:t>Random validation set (3 years)</w:t>
            </w:r>
          </w:p>
        </w:tc>
        <w:tc>
          <w:tcPr>
            <w:tcW w:type="dxa" w:w="1440"/>
          </w:tcPr>
          <w:p>
            <w:r/>
            <w:r>
              <w:rPr>
                <w:sz w:val="18"/>
              </w:rPr>
              <w:t>58,419</w:t>
            </w:r>
          </w:p>
        </w:tc>
        <w:tc>
          <w:tcPr>
            <w:tcW w:type="dxa" w:w="2304"/>
          </w:tcPr>
          <w:p>
            <w:r/>
            <w:r>
              <w:rPr>
                <w:sz w:val="18"/>
              </w:rPr>
              <w:t>38.4%</w:t>
            </w:r>
          </w:p>
        </w:tc>
        <w:tc>
          <w:tcPr>
            <w:tcW w:type="dxa" w:w="1872"/>
          </w:tcPr>
          <w:p>
            <w:r/>
            <w:r>
              <w:rPr>
                <w:sz w:val="18"/>
              </w:rPr>
              <w:t>38.2%</w:t>
            </w:r>
          </w:p>
        </w:tc>
        <w:tc>
          <w:tcPr>
            <w:tcW w:type="dxa" w:w="1872"/>
          </w:tcPr>
          <w:p>
            <w:r/>
            <w:r>
              <w:rPr>
                <w:sz w:val="18"/>
              </w:rPr>
              <w:t>0.998</w:t>
            </w:r>
          </w:p>
        </w:tc>
      </w:tr>
      <w:tr>
        <w:tc>
          <w:tcPr>
            <w:tcW w:type="dxa" w:w="2880"/>
          </w:tcPr>
          <w:p>
            <w:r/>
            <w:r>
              <w:rPr>
                <w:sz w:val="18"/>
              </w:rPr>
              <w:t>Temporal validation set (3 years)</w:t>
            </w:r>
          </w:p>
        </w:tc>
        <w:tc>
          <w:tcPr>
            <w:tcW w:type="dxa" w:w="1440"/>
          </w:tcPr>
          <w:p>
            <w:r/>
            <w:r>
              <w:rPr>
                <w:sz w:val="18"/>
              </w:rPr>
              <w:t>109,865</w:t>
            </w:r>
          </w:p>
        </w:tc>
        <w:tc>
          <w:tcPr>
            <w:tcW w:type="dxa" w:w="2304"/>
          </w:tcPr>
          <w:p>
            <w:r/>
            <w:r>
              <w:rPr>
                <w:sz w:val="18"/>
              </w:rPr>
              <w:t>39.4%</w:t>
            </w:r>
          </w:p>
        </w:tc>
        <w:tc>
          <w:tcPr>
            <w:tcW w:type="dxa" w:w="1872"/>
          </w:tcPr>
          <w:p>
            <w:r/>
            <w:r>
              <w:rPr>
                <w:sz w:val="18"/>
              </w:rPr>
              <w:t>34.6%</w:t>
            </w:r>
          </w:p>
        </w:tc>
        <w:tc>
          <w:tcPr>
            <w:tcW w:type="dxa" w:w="1872"/>
          </w:tcPr>
          <w:p>
            <w:r/>
            <w:r>
              <w:rPr>
                <w:sz w:val="18"/>
              </w:rPr>
              <w:t>1.077</w:t>
            </w:r>
          </w:p>
        </w:tc>
      </w:tr>
      <w:tr>
        <w:tc>
          <w:tcPr>
            <w:tcW w:type="dxa" w:w="2880"/>
          </w:tcPr>
          <w:p>
            <w:r/>
            <w:r>
              <w:rPr>
                <w:sz w:val="18"/>
              </w:rPr>
              <w:t>Temporal validation set (1 year)</w:t>
            </w:r>
          </w:p>
        </w:tc>
        <w:tc>
          <w:tcPr>
            <w:tcW w:type="dxa" w:w="1440"/>
          </w:tcPr>
          <w:p>
            <w:r/>
            <w:r>
              <w:rPr>
                <w:sz w:val="18"/>
              </w:rPr>
              <w:t>109,865</w:t>
            </w:r>
          </w:p>
        </w:tc>
        <w:tc>
          <w:tcPr>
            <w:tcW w:type="dxa" w:w="2304"/>
          </w:tcPr>
          <w:p>
            <w:r/>
            <w:r>
              <w:rPr>
                <w:sz w:val="18"/>
              </w:rPr>
              <w:t>14.3%</w:t>
            </w:r>
          </w:p>
        </w:tc>
        <w:tc>
          <w:tcPr>
            <w:tcW w:type="dxa" w:w="1872"/>
          </w:tcPr>
          <w:p>
            <w:r/>
            <w:r>
              <w:rPr>
                <w:sz w:val="18"/>
              </w:rPr>
              <w:t>12.1%</w:t>
            </w:r>
          </w:p>
        </w:tc>
        <w:tc>
          <w:tcPr>
            <w:tcW w:type="dxa" w:w="1872"/>
          </w:tcPr>
          <w:p>
            <w:r/>
            <w:r>
              <w:rPr>
                <w:sz w:val="18"/>
              </w:rPr>
              <w:t>—</w:t>
            </w:r>
          </w:p>
        </w:tc>
      </w:tr>
    </w:tbl>
    <w:p>
      <w:pPr>
        <w:spacing w:after="160"/>
      </w:pPr>
      <w:r>
        <w:rPr>
          <w:color w:val="444444"/>
          <w:sz w:val="18"/>
        </w:rPr>
        <w:t>Observed mortality is estimated by Kaplan–Meier over the whole validation set, so that participants censored before the horizon still contribute their observed follow-up. Calibration in the random split is close. In the temporal split the model fitted in 2012–2018 underestimates mortality in 2019–2024 (39.4% observed against 34.6% predicted, slope 1.077).</w:t>
      </w:r>
    </w:p>
    <w:p>
      <w:pPr>
        <w:keepNext/>
        <w:spacing w:before="160" w:after="60"/>
      </w:pPr>
      <w:r>
        <w:rPr>
          <w:b/>
          <w:sz w:val="22"/>
        </w:rPr>
        <w:t>Table S5.3. Fixed-horizon complete-case restriction compared with Kaplan–Meier estimation</w:t>
      </w:r>
    </w:p>
    <w:tbl>
      <w:tblPr>
        <w:tblW w:type="auto" w:w="0"/>
        <w:tblLook w:firstColumn="1" w:firstRow="1" w:lastColumn="0" w:lastRow="0" w:noHBand="0" w:noVBand="1" w:val="04A0"/>
        <w:tblBorders>
          <w:top w:val="single" w:sz="4" w:color="888888"/>
          <w:left w:val="single" w:sz="4" w:color="888888"/>
          <w:bottom w:val="single" w:sz="4" w:color="888888"/>
          <w:right w:val="single" w:sz="4" w:color="888888"/>
          <w:insideH w:val="single" w:sz="4" w:color="888888"/>
          <w:insideV w:val="single" w:sz="4" w:color="888888"/>
        </w:tblBorders>
      </w:tblPr>
      <w:tblGrid>
        <w:gridCol w:w="1440"/>
        <w:gridCol w:w="1440"/>
        <w:gridCol w:w="1440"/>
        <w:gridCol w:w="1440"/>
        <w:gridCol w:w="1440"/>
        <w:gridCol w:w="1440"/>
      </w:tblGrid>
      <w:tr>
        <w:trPr>
          <w:cantSplit/>
          <w:tblHeader/>
        </w:trPr>
        <w:tc>
          <w:tcPr>
            <w:tcW w:type="dxa" w:w="1872"/>
          </w:tcPr>
          <w:p>
            <w:r/>
            <w:r>
              <w:rPr>
                <w:b/>
                <w:sz w:val="18"/>
              </w:rPr>
              <w:t>Set</w:t>
            </w:r>
          </w:p>
        </w:tc>
        <w:tc>
          <w:tcPr>
            <w:tcW w:type="dxa" w:w="1008"/>
          </w:tcPr>
          <w:p>
            <w:r/>
            <w:r>
              <w:rPr>
                <w:b/>
                <w:sz w:val="18"/>
              </w:rPr>
              <w:t>Horizon</w:t>
            </w:r>
          </w:p>
        </w:tc>
        <w:tc>
          <w:tcPr>
            <w:tcW w:type="dxa" w:w="1872"/>
          </w:tcPr>
          <w:p>
            <w:r/>
            <w:r>
              <w:rPr>
                <w:b/>
                <w:sz w:val="18"/>
              </w:rPr>
              <w:t>Retained by complete-case restriction</w:t>
            </w:r>
          </w:p>
        </w:tc>
        <w:tc>
          <w:tcPr>
            <w:tcW w:type="dxa" w:w="1872"/>
          </w:tcPr>
          <w:p>
            <w:r/>
            <w:r>
              <w:rPr>
                <w:b/>
                <w:sz w:val="18"/>
              </w:rPr>
              <w:t>Observed mortality, complete-case</w:t>
            </w:r>
          </w:p>
        </w:tc>
        <w:tc>
          <w:tcPr>
            <w:tcW w:type="dxa" w:w="2016"/>
          </w:tcPr>
          <w:p>
            <w:r/>
            <w:r>
              <w:rPr>
                <w:b/>
                <w:sz w:val="18"/>
              </w:rPr>
              <w:t>Observed mortality, Kaplan–Meier (full set)</w:t>
            </w:r>
          </w:p>
        </w:tc>
        <w:tc>
          <w:tcPr>
            <w:tcW w:type="dxa" w:w="1584"/>
          </w:tcPr>
          <w:p>
            <w:r/>
            <w:r>
              <w:rPr>
                <w:b/>
                <w:sz w:val="18"/>
              </w:rPr>
              <w:t>Predicted (full set)</w:t>
            </w:r>
          </w:p>
        </w:tc>
      </w:tr>
      <w:tr>
        <w:tc>
          <w:tcPr>
            <w:tcW w:type="dxa" w:w="1872"/>
          </w:tcPr>
          <w:p>
            <w:r/>
            <w:r>
              <w:rPr>
                <w:sz w:val="18"/>
              </w:rPr>
              <w:t>Random validation set</w:t>
            </w:r>
          </w:p>
        </w:tc>
        <w:tc>
          <w:tcPr>
            <w:tcW w:type="dxa" w:w="1008"/>
          </w:tcPr>
          <w:p>
            <w:r/>
            <w:r>
              <w:rPr>
                <w:sz w:val="18"/>
              </w:rPr>
              <w:t>1 year</w:t>
            </w:r>
          </w:p>
        </w:tc>
        <w:tc>
          <w:tcPr>
            <w:tcW w:type="dxa" w:w="1872"/>
          </w:tcPr>
          <w:p>
            <w:r/>
            <w:r>
              <w:rPr>
                <w:sz w:val="18"/>
              </w:rPr>
              <w:t>90%</w:t>
            </w:r>
          </w:p>
        </w:tc>
        <w:tc>
          <w:tcPr>
            <w:tcW w:type="dxa" w:w="1872"/>
          </w:tcPr>
          <w:p>
            <w:r/>
            <w:r>
              <w:rPr>
                <w:sz w:val="18"/>
              </w:rPr>
              <w:t>14.5%</w:t>
            </w:r>
          </w:p>
        </w:tc>
        <w:tc>
          <w:tcPr>
            <w:tcW w:type="dxa" w:w="2016"/>
          </w:tcPr>
          <w:p>
            <w:r/>
            <w:r>
              <w:rPr>
                <w:sz w:val="18"/>
              </w:rPr>
              <w:t>13.8%</w:t>
            </w:r>
          </w:p>
        </w:tc>
        <w:tc>
          <w:tcPr>
            <w:tcW w:type="dxa" w:w="1584"/>
          </w:tcPr>
          <w:p>
            <w:r/>
            <w:r>
              <w:rPr>
                <w:sz w:val="18"/>
              </w:rPr>
              <w:t>14.0%</w:t>
            </w:r>
          </w:p>
        </w:tc>
      </w:tr>
      <w:tr>
        <w:tc>
          <w:tcPr>
            <w:tcW w:type="dxa" w:w="1872"/>
          </w:tcPr>
          <w:p>
            <w:r/>
            <w:r>
              <w:rPr>
                <w:sz w:val="18"/>
              </w:rPr>
              <w:t>Random validation set</w:t>
            </w:r>
          </w:p>
        </w:tc>
        <w:tc>
          <w:tcPr>
            <w:tcW w:type="dxa" w:w="1008"/>
          </w:tcPr>
          <w:p>
            <w:r/>
            <w:r>
              <w:rPr>
                <w:sz w:val="18"/>
              </w:rPr>
              <w:t>3 years</w:t>
            </w:r>
          </w:p>
        </w:tc>
        <w:tc>
          <w:tcPr>
            <w:tcW w:type="dxa" w:w="1872"/>
          </w:tcPr>
          <w:p>
            <w:r/>
            <w:r>
              <w:rPr>
                <w:sz w:val="18"/>
              </w:rPr>
              <w:t>76%</w:t>
            </w:r>
          </w:p>
        </w:tc>
        <w:tc>
          <w:tcPr>
            <w:tcW w:type="dxa" w:w="1872"/>
          </w:tcPr>
          <w:p>
            <w:r/>
            <w:r>
              <w:rPr>
                <w:sz w:val="18"/>
              </w:rPr>
              <w:t>43.2%</w:t>
            </w:r>
          </w:p>
        </w:tc>
        <w:tc>
          <w:tcPr>
            <w:tcW w:type="dxa" w:w="2016"/>
          </w:tcPr>
          <w:p>
            <w:r/>
            <w:r>
              <w:rPr>
                <w:sz w:val="18"/>
              </w:rPr>
              <w:t>38.4%</w:t>
            </w:r>
          </w:p>
        </w:tc>
        <w:tc>
          <w:tcPr>
            <w:tcW w:type="dxa" w:w="1584"/>
          </w:tcPr>
          <w:p>
            <w:r/>
            <w:r>
              <w:rPr>
                <w:sz w:val="18"/>
              </w:rPr>
              <w:t>38.2%</w:t>
            </w:r>
          </w:p>
        </w:tc>
      </w:tr>
      <w:tr>
        <w:tc>
          <w:tcPr>
            <w:tcW w:type="dxa" w:w="1872"/>
          </w:tcPr>
          <w:p>
            <w:r/>
            <w:r>
              <w:rPr>
                <w:sz w:val="18"/>
              </w:rPr>
              <w:t>Temporal validation set</w:t>
            </w:r>
          </w:p>
        </w:tc>
        <w:tc>
          <w:tcPr>
            <w:tcW w:type="dxa" w:w="1008"/>
          </w:tcPr>
          <w:p>
            <w:r/>
            <w:r>
              <w:rPr>
                <w:sz w:val="18"/>
              </w:rPr>
              <w:t>1 year</w:t>
            </w:r>
          </w:p>
        </w:tc>
        <w:tc>
          <w:tcPr>
            <w:tcW w:type="dxa" w:w="1872"/>
          </w:tcPr>
          <w:p>
            <w:r/>
            <w:r>
              <w:rPr>
                <w:sz w:val="18"/>
              </w:rPr>
              <w:t>82%</w:t>
            </w:r>
          </w:p>
        </w:tc>
        <w:tc>
          <w:tcPr>
            <w:tcW w:type="dxa" w:w="1872"/>
          </w:tcPr>
          <w:p>
            <w:r/>
            <w:r>
              <w:rPr>
                <w:sz w:val="18"/>
              </w:rPr>
              <w:t>15.8%</w:t>
            </w:r>
          </w:p>
        </w:tc>
        <w:tc>
          <w:tcPr>
            <w:tcW w:type="dxa" w:w="2016"/>
          </w:tcPr>
          <w:p>
            <w:r/>
            <w:r>
              <w:rPr>
                <w:sz w:val="18"/>
              </w:rPr>
              <w:t>14.3%</w:t>
            </w:r>
          </w:p>
        </w:tc>
        <w:tc>
          <w:tcPr>
            <w:tcW w:type="dxa" w:w="1584"/>
          </w:tcPr>
          <w:p>
            <w:r/>
            <w:r>
              <w:rPr>
                <w:sz w:val="18"/>
              </w:rPr>
              <w:t>12.1%</w:t>
            </w:r>
          </w:p>
        </w:tc>
      </w:tr>
      <w:tr>
        <w:tc>
          <w:tcPr>
            <w:tcW w:type="dxa" w:w="1872"/>
          </w:tcPr>
          <w:p>
            <w:r/>
            <w:r>
              <w:rPr>
                <w:sz w:val="18"/>
              </w:rPr>
              <w:t>Temporal validation set</w:t>
            </w:r>
          </w:p>
        </w:tc>
        <w:tc>
          <w:tcPr>
            <w:tcW w:type="dxa" w:w="1008"/>
          </w:tcPr>
          <w:p>
            <w:r/>
            <w:r>
              <w:rPr>
                <w:sz w:val="18"/>
              </w:rPr>
              <w:t>3 years</w:t>
            </w:r>
          </w:p>
        </w:tc>
        <w:tc>
          <w:tcPr>
            <w:tcW w:type="dxa" w:w="1872"/>
          </w:tcPr>
          <w:p>
            <w:r/>
            <w:r>
              <w:rPr>
                <w:sz w:val="18"/>
              </w:rPr>
              <w:t>57%</w:t>
            </w:r>
          </w:p>
        </w:tc>
        <w:tc>
          <w:tcPr>
            <w:tcW w:type="dxa" w:w="1872"/>
          </w:tcPr>
          <w:p>
            <w:r/>
            <w:r>
              <w:rPr>
                <w:sz w:val="18"/>
              </w:rPr>
              <w:t>51.1%</w:t>
            </w:r>
          </w:p>
        </w:tc>
        <w:tc>
          <w:tcPr>
            <w:tcW w:type="dxa" w:w="2016"/>
          </w:tcPr>
          <w:p>
            <w:r/>
            <w:r>
              <w:rPr>
                <w:sz w:val="18"/>
              </w:rPr>
              <w:t>39.4%</w:t>
            </w:r>
          </w:p>
        </w:tc>
        <w:tc>
          <w:tcPr>
            <w:tcW w:type="dxa" w:w="1584"/>
          </w:tcPr>
          <w:p>
            <w:r/>
            <w:r>
              <w:rPr>
                <w:sz w:val="18"/>
              </w:rPr>
              <w:t>34.6%</w:t>
            </w:r>
          </w:p>
        </w:tc>
      </w:tr>
    </w:tbl>
    <w:p>
      <w:pPr>
        <w:spacing w:after="160"/>
      </w:pPr>
      <w:r>
        <w:rPr>
          <w:color w:val="444444"/>
          <w:sz w:val="18"/>
        </w:rPr>
        <w:t>Restricting to participants with a known outcome at a fixed horizon discards those censored earlier, who are disproportionately survivors, and so inflates apparent mortality: at three years in the random validation set the restriction retains 76% of participants and raises observed mortality from 38.4% to 43.2%.</w:t>
      </w:r>
    </w:p>
    <w:p>
      <w:pPr>
        <w:spacing w:before="200" w:after="60"/>
      </w:pPr>
      <w:r>
        <w:rPr>
          <w:b/>
          <w:sz w:val="26"/>
        </w:rPr>
        <w:t>S6. Sensitivity analyses</w:t>
      </w:r>
    </w:p>
    <w:p>
      <w:pPr>
        <w:keepNext/>
        <w:spacing w:before="160" w:after="60"/>
      </w:pPr>
      <w:r>
        <w:rPr>
          <w:b/>
          <w:sz w:val="22"/>
        </w:rPr>
        <w:t>Table S6.1. Discrimination with and without adjustment for CDR stage</w:t>
      </w:r>
    </w:p>
    <w:tbl>
      <w:tblPr>
        <w:tblW w:type="auto" w:w="0"/>
        <w:tblLook w:firstColumn="1" w:firstRow="1" w:lastColumn="0" w:lastRow="0" w:noHBand="0" w:noVBand="1" w:val="04A0"/>
        <w:tblBorders>
          <w:top w:val="single" w:sz="4" w:color="888888"/>
          <w:left w:val="single" w:sz="4" w:color="888888"/>
          <w:bottom w:val="single" w:sz="4" w:color="888888"/>
          <w:right w:val="single" w:sz="4" w:color="888888"/>
          <w:insideH w:val="single" w:sz="4" w:color="888888"/>
          <w:insideV w:val="single" w:sz="4" w:color="888888"/>
        </w:tblBorders>
      </w:tblPr>
      <w:tblGrid>
        <w:gridCol w:w="2160"/>
        <w:gridCol w:w="2160"/>
        <w:gridCol w:w="2160"/>
        <w:gridCol w:w="2160"/>
      </w:tblGrid>
      <w:tr>
        <w:trPr>
          <w:cantSplit/>
          <w:tblHeader/>
        </w:trPr>
        <w:tc>
          <w:tcPr>
            <w:tcW w:type="dxa" w:w="3312"/>
          </w:tcPr>
          <w:p>
            <w:r/>
            <w:r>
              <w:rPr>
                <w:b/>
                <w:sz w:val="18"/>
              </w:rPr>
              <w:t>Model</w:t>
            </w:r>
          </w:p>
        </w:tc>
        <w:tc>
          <w:tcPr>
            <w:tcW w:type="dxa" w:w="2160"/>
          </w:tcPr>
          <w:p>
            <w:r/>
            <w:r>
              <w:rPr>
                <w:b/>
                <w:sz w:val="18"/>
              </w:rPr>
              <w:t>Baseline C-index</w:t>
            </w:r>
          </w:p>
        </w:tc>
        <w:tc>
          <w:tcPr>
            <w:tcW w:type="dxa" w:w="2448"/>
          </w:tcPr>
          <w:p>
            <w:r/>
            <w:r>
              <w:rPr>
                <w:b/>
                <w:sz w:val="18"/>
              </w:rPr>
              <w:t>C-index with four items</w:t>
            </w:r>
          </w:p>
        </w:tc>
        <w:tc>
          <w:tcPr>
            <w:tcW w:type="dxa" w:w="1296"/>
          </w:tcPr>
          <w:p>
            <w:r/>
            <w:r>
              <w:rPr>
                <w:b/>
                <w:sz w:val="18"/>
              </w:rPr>
              <w:t>ΔC</w:t>
            </w:r>
          </w:p>
        </w:tc>
      </w:tr>
      <w:tr>
        <w:tc>
          <w:tcPr>
            <w:tcW w:type="dxa" w:w="3312"/>
          </w:tcPr>
          <w:p>
            <w:r/>
            <w:r>
              <w:rPr>
                <w:sz w:val="18"/>
              </w:rPr>
              <w:t>Baseline including CDR stage</w:t>
            </w:r>
          </w:p>
        </w:tc>
        <w:tc>
          <w:tcPr>
            <w:tcW w:type="dxa" w:w="2160"/>
          </w:tcPr>
          <w:p>
            <w:r/>
            <w:r>
              <w:rPr>
                <w:sz w:val="18"/>
              </w:rPr>
              <w:t>0.6393</w:t>
            </w:r>
          </w:p>
        </w:tc>
        <w:tc>
          <w:tcPr>
            <w:tcW w:type="dxa" w:w="2448"/>
          </w:tcPr>
          <w:p>
            <w:r/>
            <w:r>
              <w:rPr>
                <w:sz w:val="18"/>
              </w:rPr>
              <w:t>0.6624</w:t>
            </w:r>
          </w:p>
        </w:tc>
        <w:tc>
          <w:tcPr>
            <w:tcW w:type="dxa" w:w="1296"/>
          </w:tcPr>
          <w:p>
            <w:r/>
            <w:r>
              <w:rPr>
                <w:sz w:val="18"/>
              </w:rPr>
              <w:t>+0.0231</w:t>
            </w:r>
          </w:p>
        </w:tc>
      </w:tr>
      <w:tr>
        <w:tc>
          <w:tcPr>
            <w:tcW w:type="dxa" w:w="3312"/>
          </w:tcPr>
          <w:p>
            <w:r/>
            <w:r>
              <w:rPr>
                <w:sz w:val="18"/>
              </w:rPr>
              <w:t>Baseline omitting CDR stage</w:t>
            </w:r>
          </w:p>
        </w:tc>
        <w:tc>
          <w:tcPr>
            <w:tcW w:type="dxa" w:w="2160"/>
          </w:tcPr>
          <w:p>
            <w:r/>
            <w:r>
              <w:rPr>
                <w:sz w:val="18"/>
              </w:rPr>
              <w:t>0.6082</w:t>
            </w:r>
          </w:p>
        </w:tc>
        <w:tc>
          <w:tcPr>
            <w:tcW w:type="dxa" w:w="2448"/>
          </w:tcPr>
          <w:p>
            <w:r/>
            <w:r>
              <w:rPr>
                <w:sz w:val="18"/>
              </w:rPr>
              <w:t>0.6589</w:t>
            </w:r>
          </w:p>
        </w:tc>
        <w:tc>
          <w:tcPr>
            <w:tcW w:type="dxa" w:w="1296"/>
          </w:tcPr>
          <w:p>
            <w:r/>
            <w:r>
              <w:rPr>
                <w:sz w:val="18"/>
              </w:rPr>
              <w:t>+0.0507</w:t>
            </w:r>
          </w:p>
        </w:tc>
      </w:tr>
    </w:tbl>
    <w:p>
      <w:pPr>
        <w:spacing w:after="160"/>
      </w:pPr>
      <w:r>
        <w:rPr>
          <w:color w:val="444444"/>
          <w:sz w:val="18"/>
        </w:rPr>
        <w:t>Both models are fitted and evaluated in the same participants, so the two increments are directly comparable.</w:t>
      </w:r>
    </w:p>
    <w:p>
      <w:pPr>
        <w:keepNext/>
        <w:spacing w:before="160" w:after="60"/>
      </w:pPr>
      <w:r>
        <w:rPr>
          <w:b/>
          <w:sz w:val="22"/>
        </w:rPr>
        <w:t>Table S6.2. Discrimination within each CDR stage</w:t>
      </w:r>
    </w:p>
    <w:tbl>
      <w:tblPr>
        <w:tblW w:type="auto" w:w="0"/>
        <w:tblLook w:firstColumn="1" w:firstRow="1" w:lastColumn="0" w:lastRow="0" w:noHBand="0" w:noVBand="1" w:val="04A0"/>
        <w:tblBorders>
          <w:top w:val="single" w:sz="4" w:color="888888"/>
          <w:left w:val="single" w:sz="4" w:color="888888"/>
          <w:bottom w:val="single" w:sz="4" w:color="888888"/>
          <w:right w:val="single" w:sz="4" w:color="888888"/>
          <w:insideH w:val="single" w:sz="4" w:color="888888"/>
          <w:insideV w:val="single" w:sz="4" w:color="888888"/>
        </w:tblBorders>
      </w:tblPr>
      <w:tblGrid>
        <w:gridCol w:w="1728"/>
        <w:gridCol w:w="1728"/>
        <w:gridCol w:w="1728"/>
        <w:gridCol w:w="1728"/>
        <w:gridCol w:w="1728"/>
      </w:tblGrid>
      <w:tr>
        <w:trPr>
          <w:cantSplit/>
          <w:tblHeader/>
        </w:trPr>
        <w:tc>
          <w:tcPr>
            <w:tcW w:type="dxa" w:w="1440"/>
          </w:tcPr>
          <w:p>
            <w:r/>
            <w:r>
              <w:rPr>
                <w:b/>
                <w:sz w:val="18"/>
              </w:rPr>
              <w:t>CDR stage</w:t>
            </w:r>
          </w:p>
        </w:tc>
        <w:tc>
          <w:tcPr>
            <w:tcW w:type="dxa" w:w="1872"/>
          </w:tcPr>
          <w:p>
            <w:r/>
            <w:r>
              <w:rPr>
                <w:b/>
                <w:sz w:val="18"/>
              </w:rPr>
              <w:t>n (validation)</w:t>
            </w:r>
          </w:p>
        </w:tc>
        <w:tc>
          <w:tcPr>
            <w:tcW w:type="dxa" w:w="2160"/>
          </w:tcPr>
          <w:p>
            <w:r/>
            <w:r>
              <w:rPr>
                <w:b/>
                <w:sz w:val="18"/>
              </w:rPr>
              <w:t>Baseline C-index</w:t>
            </w:r>
          </w:p>
        </w:tc>
        <w:tc>
          <w:tcPr>
            <w:tcW w:type="dxa" w:w="2016"/>
          </w:tcPr>
          <w:p>
            <w:r/>
            <w:r>
              <w:rPr>
                <w:b/>
                <w:sz w:val="18"/>
              </w:rPr>
              <w:t>With four items</w:t>
            </w:r>
          </w:p>
        </w:tc>
        <w:tc>
          <w:tcPr>
            <w:tcW w:type="dxa" w:w="1296"/>
          </w:tcPr>
          <w:p>
            <w:r/>
            <w:r>
              <w:rPr>
                <w:b/>
                <w:sz w:val="18"/>
              </w:rPr>
              <w:t>ΔC</w:t>
            </w:r>
          </w:p>
        </w:tc>
      </w:tr>
      <w:tr>
        <w:tc>
          <w:tcPr>
            <w:tcW w:type="dxa" w:w="1440"/>
          </w:tcPr>
          <w:p>
            <w:r/>
            <w:r>
              <w:rPr>
                <w:sz w:val="18"/>
              </w:rPr>
              <w:t>CDR 1</w:t>
            </w:r>
          </w:p>
        </w:tc>
        <w:tc>
          <w:tcPr>
            <w:tcW w:type="dxa" w:w="1872"/>
          </w:tcPr>
          <w:p>
            <w:r/>
            <w:r>
              <w:rPr>
                <w:sz w:val="18"/>
              </w:rPr>
              <w:t>21,422</w:t>
            </w:r>
          </w:p>
        </w:tc>
        <w:tc>
          <w:tcPr>
            <w:tcW w:type="dxa" w:w="2160"/>
          </w:tcPr>
          <w:p>
            <w:r/>
            <w:r>
              <w:rPr>
                <w:sz w:val="18"/>
              </w:rPr>
              <w:t>0.6058</w:t>
            </w:r>
          </w:p>
        </w:tc>
        <w:tc>
          <w:tcPr>
            <w:tcW w:type="dxa" w:w="2016"/>
          </w:tcPr>
          <w:p>
            <w:r/>
            <w:r>
              <w:rPr>
                <w:sz w:val="18"/>
              </w:rPr>
              <w:t>0.6368</w:t>
            </w:r>
          </w:p>
        </w:tc>
        <w:tc>
          <w:tcPr>
            <w:tcW w:type="dxa" w:w="1296"/>
          </w:tcPr>
          <w:p>
            <w:r/>
            <w:r>
              <w:rPr>
                <w:sz w:val="18"/>
              </w:rPr>
              <w:t>+0.0309</w:t>
            </w:r>
          </w:p>
        </w:tc>
      </w:tr>
      <w:tr>
        <w:tc>
          <w:tcPr>
            <w:tcW w:type="dxa" w:w="1440"/>
          </w:tcPr>
          <w:p>
            <w:r/>
            <w:r>
              <w:rPr>
                <w:sz w:val="18"/>
              </w:rPr>
              <w:t>CDR 2</w:t>
            </w:r>
          </w:p>
        </w:tc>
        <w:tc>
          <w:tcPr>
            <w:tcW w:type="dxa" w:w="1872"/>
          </w:tcPr>
          <w:p>
            <w:r/>
            <w:r>
              <w:rPr>
                <w:sz w:val="18"/>
              </w:rPr>
              <w:t>21,622</w:t>
            </w:r>
          </w:p>
        </w:tc>
        <w:tc>
          <w:tcPr>
            <w:tcW w:type="dxa" w:w="2160"/>
          </w:tcPr>
          <w:p>
            <w:r/>
            <w:r>
              <w:rPr>
                <w:sz w:val="18"/>
              </w:rPr>
              <w:t>0.5965</w:t>
            </w:r>
          </w:p>
        </w:tc>
        <w:tc>
          <w:tcPr>
            <w:tcW w:type="dxa" w:w="2016"/>
          </w:tcPr>
          <w:p>
            <w:r/>
            <w:r>
              <w:rPr>
                <w:sz w:val="18"/>
              </w:rPr>
              <w:t>0.6244</w:t>
            </w:r>
          </w:p>
        </w:tc>
        <w:tc>
          <w:tcPr>
            <w:tcW w:type="dxa" w:w="1296"/>
          </w:tcPr>
          <w:p>
            <w:r/>
            <w:r>
              <w:rPr>
                <w:sz w:val="18"/>
              </w:rPr>
              <w:t>+0.0278</w:t>
            </w:r>
          </w:p>
        </w:tc>
      </w:tr>
      <w:tr>
        <w:tc>
          <w:tcPr>
            <w:tcW w:type="dxa" w:w="1440"/>
          </w:tcPr>
          <w:p>
            <w:r/>
            <w:r>
              <w:rPr>
                <w:sz w:val="18"/>
              </w:rPr>
              <w:t>CDR 3</w:t>
            </w:r>
          </w:p>
        </w:tc>
        <w:tc>
          <w:tcPr>
            <w:tcW w:type="dxa" w:w="1872"/>
          </w:tcPr>
          <w:p>
            <w:r/>
            <w:r>
              <w:rPr>
                <w:sz w:val="18"/>
              </w:rPr>
              <w:t>15,375</w:t>
            </w:r>
          </w:p>
        </w:tc>
        <w:tc>
          <w:tcPr>
            <w:tcW w:type="dxa" w:w="2160"/>
          </w:tcPr>
          <w:p>
            <w:r/>
            <w:r>
              <w:rPr>
                <w:sz w:val="18"/>
              </w:rPr>
              <w:t>0.5825</w:t>
            </w:r>
          </w:p>
        </w:tc>
        <w:tc>
          <w:tcPr>
            <w:tcW w:type="dxa" w:w="2016"/>
          </w:tcPr>
          <w:p>
            <w:r/>
            <w:r>
              <w:rPr>
                <w:sz w:val="18"/>
              </w:rPr>
              <w:t>0.6235</w:t>
            </w:r>
          </w:p>
        </w:tc>
        <w:tc>
          <w:tcPr>
            <w:tcW w:type="dxa" w:w="1296"/>
          </w:tcPr>
          <w:p>
            <w:r/>
            <w:r>
              <w:rPr>
                <w:sz w:val="18"/>
              </w:rPr>
              <w:t>+0.0410</w:t>
            </w:r>
          </w:p>
        </w:tc>
      </w:tr>
    </w:tbl>
    <w:p>
      <w:pPr>
        <w:spacing w:after="160"/>
      </w:pPr>
      <w:r>
        <w:rPr>
          <w:color w:val="444444"/>
          <w:sz w:val="18"/>
        </w:rPr>
        <w:t>Baseline here contains age, sex, education and urbanicity; CDR is constant within each stratum. The four items add discrimination at every stage. Differences are computed before rounding, so they may differ in the last digit from the difference of the rounded C-indices.</w:t>
      </w:r>
    </w:p>
    <w:p>
      <w:pPr>
        <w:keepNext/>
        <w:spacing w:before="160" w:after="60"/>
      </w:pPr>
      <w:r>
        <w:rPr>
          <w:b/>
          <w:sz w:val="22"/>
        </w:rPr>
        <w:t>Table S6.3. Subgroups</w:t>
      </w:r>
    </w:p>
    <w:tbl>
      <w:tblPr>
        <w:tblW w:type="auto" w:w="0"/>
        <w:tblLook w:firstColumn="1" w:firstRow="1" w:lastColumn="0" w:lastRow="0" w:noHBand="0" w:noVBand="1" w:val="04A0"/>
        <w:tblBorders>
          <w:top w:val="single" w:sz="4" w:color="888888"/>
          <w:left w:val="single" w:sz="4" w:color="888888"/>
          <w:bottom w:val="single" w:sz="4" w:color="888888"/>
          <w:right w:val="single" w:sz="4" w:color="888888"/>
          <w:insideH w:val="single" w:sz="4" w:color="888888"/>
          <w:insideV w:val="single" w:sz="4" w:color="888888"/>
        </w:tblBorders>
      </w:tblPr>
      <w:tblGrid>
        <w:gridCol w:w="1728"/>
        <w:gridCol w:w="1728"/>
        <w:gridCol w:w="1728"/>
        <w:gridCol w:w="1728"/>
        <w:gridCol w:w="1728"/>
      </w:tblGrid>
      <w:tr>
        <w:trPr>
          <w:cantSplit/>
          <w:tblHeader/>
        </w:trPr>
        <w:tc>
          <w:tcPr>
            <w:tcW w:type="dxa" w:w="2304"/>
          </w:tcPr>
          <w:p>
            <w:r/>
            <w:r>
              <w:rPr>
                <w:b/>
                <w:sz w:val="18"/>
              </w:rPr>
              <w:t>Subgroup</w:t>
            </w:r>
          </w:p>
        </w:tc>
        <w:tc>
          <w:tcPr>
            <w:tcW w:type="dxa" w:w="1728"/>
          </w:tcPr>
          <w:p>
            <w:r/>
            <w:r>
              <w:rPr>
                <w:b/>
                <w:sz w:val="18"/>
              </w:rPr>
              <w:t>n (validation)</w:t>
            </w:r>
          </w:p>
        </w:tc>
        <w:tc>
          <w:tcPr>
            <w:tcW w:type="dxa" w:w="2016"/>
          </w:tcPr>
          <w:p>
            <w:r/>
            <w:r>
              <w:rPr>
                <w:b/>
                <w:sz w:val="18"/>
              </w:rPr>
              <w:t>Baseline C-index</w:t>
            </w:r>
          </w:p>
        </w:tc>
        <w:tc>
          <w:tcPr>
            <w:tcW w:type="dxa" w:w="1872"/>
          </w:tcPr>
          <w:p>
            <w:r/>
            <w:r>
              <w:rPr>
                <w:b/>
                <w:sz w:val="18"/>
              </w:rPr>
              <w:t>With four items</w:t>
            </w:r>
          </w:p>
        </w:tc>
        <w:tc>
          <w:tcPr>
            <w:tcW w:type="dxa" w:w="1296"/>
          </w:tcPr>
          <w:p>
            <w:r/>
            <w:r>
              <w:rPr>
                <w:b/>
                <w:sz w:val="18"/>
              </w:rPr>
              <w:t>ΔC</w:t>
            </w:r>
          </w:p>
        </w:tc>
      </w:tr>
      <w:tr>
        <w:tc>
          <w:tcPr>
            <w:tcW w:type="dxa" w:w="2304"/>
          </w:tcPr>
          <w:p>
            <w:r/>
            <w:r>
              <w:rPr>
                <w:sz w:val="18"/>
              </w:rPr>
              <w:t>Community-dwelling</w:t>
            </w:r>
          </w:p>
        </w:tc>
        <w:tc>
          <w:tcPr>
            <w:tcW w:type="dxa" w:w="1728"/>
          </w:tcPr>
          <w:p>
            <w:r/>
            <w:r>
              <w:rPr>
                <w:sz w:val="18"/>
              </w:rPr>
              <w:t>46,408</w:t>
            </w:r>
          </w:p>
        </w:tc>
        <w:tc>
          <w:tcPr>
            <w:tcW w:type="dxa" w:w="2016"/>
          </w:tcPr>
          <w:p>
            <w:r/>
            <w:r>
              <w:rPr>
                <w:sz w:val="18"/>
              </w:rPr>
              <w:t>0.6355</w:t>
            </w:r>
          </w:p>
        </w:tc>
        <w:tc>
          <w:tcPr>
            <w:tcW w:type="dxa" w:w="1872"/>
          </w:tcPr>
          <w:p>
            <w:r/>
            <w:r>
              <w:rPr>
                <w:sz w:val="18"/>
              </w:rPr>
              <w:t>0.6590</w:t>
            </w:r>
          </w:p>
        </w:tc>
        <w:tc>
          <w:tcPr>
            <w:tcW w:type="dxa" w:w="1296"/>
          </w:tcPr>
          <w:p>
            <w:r/>
            <w:r>
              <w:rPr>
                <w:sz w:val="18"/>
              </w:rPr>
              <w:t>+0.0235</w:t>
            </w:r>
          </w:p>
        </w:tc>
      </w:tr>
      <w:tr>
        <w:tc>
          <w:tcPr>
            <w:tcW w:type="dxa" w:w="2304"/>
          </w:tcPr>
          <w:p>
            <w:r/>
            <w:r>
              <w:rPr>
                <w:sz w:val="18"/>
              </w:rPr>
              <w:t>Institutional residence</w:t>
            </w:r>
          </w:p>
        </w:tc>
        <w:tc>
          <w:tcPr>
            <w:tcW w:type="dxa" w:w="1728"/>
          </w:tcPr>
          <w:p>
            <w:r/>
            <w:r>
              <w:rPr>
                <w:sz w:val="18"/>
              </w:rPr>
              <w:t>12,011</w:t>
            </w:r>
          </w:p>
        </w:tc>
        <w:tc>
          <w:tcPr>
            <w:tcW w:type="dxa" w:w="2016"/>
          </w:tcPr>
          <w:p>
            <w:r/>
            <w:r>
              <w:rPr>
                <w:sz w:val="18"/>
              </w:rPr>
              <w:t>0.6154</w:t>
            </w:r>
          </w:p>
        </w:tc>
        <w:tc>
          <w:tcPr>
            <w:tcW w:type="dxa" w:w="1872"/>
          </w:tcPr>
          <w:p>
            <w:r/>
            <w:r>
              <w:rPr>
                <w:sz w:val="18"/>
              </w:rPr>
              <w:t>0.6290</w:t>
            </w:r>
          </w:p>
        </w:tc>
        <w:tc>
          <w:tcPr>
            <w:tcW w:type="dxa" w:w="1296"/>
          </w:tcPr>
          <w:p>
            <w:r/>
            <w:r>
              <w:rPr>
                <w:sz w:val="18"/>
              </w:rPr>
              <w:t>+0.0136</w:t>
            </w:r>
          </w:p>
        </w:tc>
      </w:tr>
      <w:tr>
        <w:tc>
          <w:tcPr>
            <w:tcW w:type="dxa" w:w="2304"/>
          </w:tcPr>
          <w:p>
            <w:r/>
            <w:r>
              <w:rPr>
                <w:sz w:val="18"/>
              </w:rPr>
              <w:t>Women</w:t>
            </w:r>
          </w:p>
        </w:tc>
        <w:tc>
          <w:tcPr>
            <w:tcW w:type="dxa" w:w="1728"/>
          </w:tcPr>
          <w:p>
            <w:r/>
            <w:r>
              <w:rPr>
                <w:sz w:val="18"/>
              </w:rPr>
              <w:t>35,734</w:t>
            </w:r>
          </w:p>
        </w:tc>
        <w:tc>
          <w:tcPr>
            <w:tcW w:type="dxa" w:w="2016"/>
          </w:tcPr>
          <w:p>
            <w:r/>
            <w:r>
              <w:rPr>
                <w:sz w:val="18"/>
              </w:rPr>
              <w:t>0.6358</w:t>
            </w:r>
          </w:p>
        </w:tc>
        <w:tc>
          <w:tcPr>
            <w:tcW w:type="dxa" w:w="1872"/>
          </w:tcPr>
          <w:p>
            <w:r/>
            <w:r>
              <w:rPr>
                <w:sz w:val="18"/>
              </w:rPr>
              <w:t>0.6601</w:t>
            </w:r>
          </w:p>
        </w:tc>
        <w:tc>
          <w:tcPr>
            <w:tcW w:type="dxa" w:w="1296"/>
          </w:tcPr>
          <w:p>
            <w:r/>
            <w:r>
              <w:rPr>
                <w:sz w:val="18"/>
              </w:rPr>
              <w:t>+0.0243</w:t>
            </w:r>
          </w:p>
        </w:tc>
      </w:tr>
      <w:tr>
        <w:tc>
          <w:tcPr>
            <w:tcW w:type="dxa" w:w="2304"/>
          </w:tcPr>
          <w:p>
            <w:r/>
            <w:r>
              <w:rPr>
                <w:sz w:val="18"/>
              </w:rPr>
              <w:t>Men</w:t>
            </w:r>
          </w:p>
        </w:tc>
        <w:tc>
          <w:tcPr>
            <w:tcW w:type="dxa" w:w="1728"/>
          </w:tcPr>
          <w:p>
            <w:r/>
            <w:r>
              <w:rPr>
                <w:sz w:val="18"/>
              </w:rPr>
              <w:t>22,685</w:t>
            </w:r>
          </w:p>
        </w:tc>
        <w:tc>
          <w:tcPr>
            <w:tcW w:type="dxa" w:w="2016"/>
          </w:tcPr>
          <w:p>
            <w:r/>
            <w:r>
              <w:rPr>
                <w:sz w:val="18"/>
              </w:rPr>
              <w:t>0.6233</w:t>
            </w:r>
          </w:p>
        </w:tc>
        <w:tc>
          <w:tcPr>
            <w:tcW w:type="dxa" w:w="1872"/>
          </w:tcPr>
          <w:p>
            <w:r/>
            <w:r>
              <w:rPr>
                <w:sz w:val="18"/>
              </w:rPr>
              <w:t>0.6494</w:t>
            </w:r>
          </w:p>
        </w:tc>
        <w:tc>
          <w:tcPr>
            <w:tcW w:type="dxa" w:w="1296"/>
          </w:tcPr>
          <w:p>
            <w:r/>
            <w:r>
              <w:rPr>
                <w:sz w:val="18"/>
              </w:rPr>
              <w:t>+0.0261</w:t>
            </w:r>
          </w:p>
        </w:tc>
      </w:tr>
      <w:tr>
        <w:tc>
          <w:tcPr>
            <w:tcW w:type="dxa" w:w="2304"/>
          </w:tcPr>
          <w:p>
            <w:r/>
            <w:r>
              <w:rPr>
                <w:sz w:val="18"/>
              </w:rPr>
              <w:t>Age &lt;80 years</w:t>
            </w:r>
          </w:p>
        </w:tc>
        <w:tc>
          <w:tcPr>
            <w:tcW w:type="dxa" w:w="1728"/>
          </w:tcPr>
          <w:p>
            <w:r/>
            <w:r>
              <w:rPr>
                <w:sz w:val="18"/>
              </w:rPr>
              <w:t>23,195</w:t>
            </w:r>
          </w:p>
        </w:tc>
        <w:tc>
          <w:tcPr>
            <w:tcW w:type="dxa" w:w="2016"/>
          </w:tcPr>
          <w:p>
            <w:r/>
            <w:r>
              <w:rPr>
                <w:sz w:val="18"/>
              </w:rPr>
              <w:t>0.6206</w:t>
            </w:r>
          </w:p>
        </w:tc>
        <w:tc>
          <w:tcPr>
            <w:tcW w:type="dxa" w:w="1872"/>
          </w:tcPr>
          <w:p>
            <w:r/>
            <w:r>
              <w:rPr>
                <w:sz w:val="18"/>
              </w:rPr>
              <w:t>0.6480</w:t>
            </w:r>
          </w:p>
        </w:tc>
        <w:tc>
          <w:tcPr>
            <w:tcW w:type="dxa" w:w="1296"/>
          </w:tcPr>
          <w:p>
            <w:r/>
            <w:r>
              <w:rPr>
                <w:sz w:val="18"/>
              </w:rPr>
              <w:t>+0.0274</w:t>
            </w:r>
          </w:p>
        </w:tc>
      </w:tr>
      <w:tr>
        <w:tc>
          <w:tcPr>
            <w:tcW w:type="dxa" w:w="2304"/>
          </w:tcPr>
          <w:p>
            <w:r/>
            <w:r>
              <w:rPr>
                <w:sz w:val="18"/>
              </w:rPr>
              <w:t>Age ≥80 years</w:t>
            </w:r>
          </w:p>
        </w:tc>
        <w:tc>
          <w:tcPr>
            <w:tcW w:type="dxa" w:w="1728"/>
          </w:tcPr>
          <w:p>
            <w:r/>
            <w:r>
              <w:rPr>
                <w:sz w:val="18"/>
              </w:rPr>
              <w:t>35,224</w:t>
            </w:r>
          </w:p>
        </w:tc>
        <w:tc>
          <w:tcPr>
            <w:tcW w:type="dxa" w:w="2016"/>
          </w:tcPr>
          <w:p>
            <w:r/>
            <w:r>
              <w:rPr>
                <w:sz w:val="18"/>
              </w:rPr>
              <w:t>0.6256</w:t>
            </w:r>
          </w:p>
        </w:tc>
        <w:tc>
          <w:tcPr>
            <w:tcW w:type="dxa" w:w="1872"/>
          </w:tcPr>
          <w:p>
            <w:r/>
            <w:r>
              <w:rPr>
                <w:sz w:val="18"/>
              </w:rPr>
              <w:t>0.6512</w:t>
            </w:r>
          </w:p>
        </w:tc>
        <w:tc>
          <w:tcPr>
            <w:tcW w:type="dxa" w:w="1296"/>
          </w:tcPr>
          <w:p>
            <w:r/>
            <w:r>
              <w:rPr>
                <w:sz w:val="18"/>
              </w:rPr>
              <w:t>+0.0255</w:t>
            </w:r>
          </w:p>
        </w:tc>
      </w:tr>
    </w:tbl>
    <w:p>
      <w:pPr>
        <w:spacing w:after="160"/>
      </w:pPr>
      <w:r>
        <w:rPr>
          <w:color w:val="444444"/>
          <w:sz w:val="18"/>
        </w:rPr>
        <w:t>The six rows form three two-way partitions of the same random validation set. Differences are computed before rounding, so they may differ in the last digit from the difference of the rounded C-indices.</w:t>
      </w:r>
    </w:p>
    <w:p>
      <w:pPr>
        <w:keepNext/>
        <w:spacing w:before="160" w:after="60"/>
      </w:pPr>
      <w:r>
        <w:rPr>
          <w:b/>
          <w:sz w:val="22"/>
        </w:rPr>
        <w:t>Table S6.4. Collinearity between CDR stage and the selected items</w:t>
      </w:r>
    </w:p>
    <w:tbl>
      <w:tblPr>
        <w:tblW w:type="auto" w:w="0"/>
        <w:tblLook w:firstColumn="1" w:firstRow="1" w:lastColumn="0" w:lastRow="0" w:noHBand="0" w:noVBand="1" w:val="04A0"/>
        <w:tblBorders>
          <w:top w:val="single" w:sz="4" w:color="888888"/>
          <w:left w:val="single" w:sz="4" w:color="888888"/>
          <w:bottom w:val="single" w:sz="4" w:color="888888"/>
          <w:right w:val="single" w:sz="4" w:color="888888"/>
          <w:insideH w:val="single" w:sz="4" w:color="888888"/>
          <w:insideV w:val="single" w:sz="4" w:color="888888"/>
        </w:tblBorders>
      </w:tblPr>
      <w:tblGrid>
        <w:gridCol w:w="4320"/>
        <w:gridCol w:w="4320"/>
      </w:tblGrid>
      <w:tr>
        <w:trPr>
          <w:cantSplit/>
          <w:tblHeader/>
        </w:trPr>
        <w:tc>
          <w:tcPr>
            <w:tcW w:type="dxa" w:w="4608"/>
          </w:tcPr>
          <w:p>
            <w:r/>
            <w:r>
              <w:rPr>
                <w:b/>
                <w:sz w:val="18"/>
              </w:rPr>
              <w:t>Term</w:t>
            </w:r>
          </w:p>
        </w:tc>
        <w:tc>
          <w:tcPr>
            <w:tcW w:type="dxa" w:w="2592"/>
          </w:tcPr>
          <w:p>
            <w:r/>
            <w:r>
              <w:rPr>
                <w:b/>
                <w:sz w:val="18"/>
              </w:rPr>
              <w:t>Spearman ρ with CDR stage</w:t>
            </w:r>
          </w:p>
        </w:tc>
      </w:tr>
      <w:tr>
        <w:tc>
          <w:tcPr>
            <w:tcW w:type="dxa" w:w="4608"/>
          </w:tcPr>
          <w:p>
            <w:r/>
            <w:r>
              <w:rPr>
                <w:sz w:val="18"/>
              </w:rPr>
              <w:t>D2.2 Rising from sitting</w:t>
            </w:r>
          </w:p>
        </w:tc>
        <w:tc>
          <w:tcPr>
            <w:tcW w:type="dxa" w:w="2592"/>
          </w:tcPr>
          <w:p>
            <w:r/>
            <w:r>
              <w:rPr>
                <w:sz w:val="18"/>
              </w:rPr>
              <w:t>0.43</w:t>
            </w:r>
          </w:p>
        </w:tc>
      </w:tr>
      <w:tr>
        <w:tc>
          <w:tcPr>
            <w:tcW w:type="dxa" w:w="4608"/>
          </w:tcPr>
          <w:p>
            <w:r/>
            <w:r>
              <w:rPr>
                <w:sz w:val="18"/>
              </w:rPr>
              <w:t>D1.1 Concentrating for 10 minutes</w:t>
            </w:r>
          </w:p>
        </w:tc>
        <w:tc>
          <w:tcPr>
            <w:tcW w:type="dxa" w:w="2592"/>
          </w:tcPr>
          <w:p>
            <w:r/>
            <w:r>
              <w:rPr>
                <w:sz w:val="18"/>
              </w:rPr>
              <w:t>0.46</w:t>
            </w:r>
          </w:p>
        </w:tc>
      </w:tr>
      <w:tr>
        <w:tc>
          <w:tcPr>
            <w:tcW w:type="dxa" w:w="4608"/>
          </w:tcPr>
          <w:p>
            <w:r/>
            <w:r>
              <w:rPr>
                <w:sz w:val="18"/>
              </w:rPr>
              <w:t>D1.5 Understanding what people say</w:t>
            </w:r>
          </w:p>
        </w:tc>
        <w:tc>
          <w:tcPr>
            <w:tcW w:type="dxa" w:w="2592"/>
          </w:tcPr>
          <w:p>
            <w:r/>
            <w:r>
              <w:rPr>
                <w:sz w:val="18"/>
              </w:rPr>
              <w:t>0.47</w:t>
            </w:r>
          </w:p>
        </w:tc>
      </w:tr>
      <w:tr>
        <w:tc>
          <w:tcPr>
            <w:tcW w:type="dxa" w:w="4608"/>
          </w:tcPr>
          <w:p>
            <w:r/>
            <w:r>
              <w:rPr>
                <w:sz w:val="18"/>
              </w:rPr>
              <w:t>D2.1 Standing for 30 minutes</w:t>
            </w:r>
          </w:p>
        </w:tc>
        <w:tc>
          <w:tcPr>
            <w:tcW w:type="dxa" w:w="2592"/>
          </w:tcPr>
          <w:p>
            <w:r/>
            <w:r>
              <w:rPr>
                <w:sz w:val="18"/>
              </w:rPr>
              <w:t>0.36</w:t>
            </w:r>
          </w:p>
        </w:tc>
      </w:tr>
      <w:tr>
        <w:tc>
          <w:tcPr>
            <w:tcW w:type="dxa" w:w="4608"/>
          </w:tcPr>
          <w:p>
            <w:r/>
            <w:r>
              <w:rPr>
                <w:sz w:val="18"/>
              </w:rPr>
              <w:t>Cognition domain score</w:t>
            </w:r>
          </w:p>
        </w:tc>
        <w:tc>
          <w:tcPr>
            <w:tcW w:type="dxa" w:w="2592"/>
          </w:tcPr>
          <w:p>
            <w:r/>
            <w:r>
              <w:rPr>
                <w:sz w:val="18"/>
              </w:rPr>
              <w:t>0.50</w:t>
            </w:r>
          </w:p>
        </w:tc>
      </w:tr>
      <w:tr>
        <w:tc>
          <w:tcPr>
            <w:tcW w:type="dxa" w:w="4608"/>
          </w:tcPr>
          <w:p>
            <w:r/>
            <w:r>
              <w:rPr>
                <w:sz w:val="18"/>
              </w:rPr>
              <w:t>Mobility domain score</w:t>
            </w:r>
          </w:p>
        </w:tc>
        <w:tc>
          <w:tcPr>
            <w:tcW w:type="dxa" w:w="2592"/>
          </w:tcPr>
          <w:p>
            <w:r/>
            <w:r>
              <w:rPr>
                <w:sz w:val="18"/>
              </w:rPr>
              <w:t>0.42</w:t>
            </w:r>
          </w:p>
        </w:tc>
      </w:tr>
    </w:tbl>
    <w:p>
      <w:pPr>
        <w:spacing w:after="160"/>
      </w:pPr>
      <w:r>
        <w:rPr>
          <w:color w:val="444444"/>
          <w:sz w:val="18"/>
        </w:rPr>
        <w:t>CDR stage is moderately correlated with the selected items and with the Cognition domain score, and the two most strongly correlated item pairs are D1.1 with D1.5 (ρ = 0.74) and D2.1 with D2.2 (ρ = 0.73), both above any item’s correlation with CDR stage. In the four-item model the variance inflation factors are 2.34–2.54 for the items and 1.43 for CDR stage, with a condition number of 3.7; in the number-of-difficulties model no factor exceeds 1.65. These are below the levels at which estimates become unstable.</w:t>
      </w:r>
    </w:p>
    <w:p>
      <w:pPr>
        <w:keepNext/>
        <w:spacing w:before="160" w:after="60"/>
      </w:pPr>
      <w:r>
        <w:rPr>
          <w:b/>
          <w:sz w:val="22"/>
        </w:rPr>
        <w:t>Table S6.5. Mobility–mortality association by residence</w:t>
      </w:r>
    </w:p>
    <w:tbl>
      <w:tblPr>
        <w:tblW w:type="auto" w:w="0"/>
        <w:tblLook w:firstColumn="1" w:firstRow="1" w:lastColumn="0" w:lastRow="0" w:noHBand="0" w:noVBand="1" w:val="04A0"/>
        <w:tblBorders>
          <w:top w:val="single" w:sz="4" w:color="888888"/>
          <w:left w:val="single" w:sz="4" w:color="888888"/>
          <w:bottom w:val="single" w:sz="4" w:color="888888"/>
          <w:right w:val="single" w:sz="4" w:color="888888"/>
          <w:insideH w:val="single" w:sz="4" w:color="888888"/>
          <w:insideV w:val="single" w:sz="4" w:color="888888"/>
        </w:tblBorders>
      </w:tblPr>
      <w:tblGrid>
        <w:gridCol w:w="2880"/>
        <w:gridCol w:w="2880"/>
        <w:gridCol w:w="2880"/>
      </w:tblGrid>
      <w:tr>
        <w:trPr>
          <w:cantSplit/>
          <w:tblHeader/>
        </w:trPr>
        <w:tc>
          <w:tcPr>
            <w:tcW w:type="dxa" w:w="2592"/>
          </w:tcPr>
          <w:p>
            <w:r/>
            <w:r>
              <w:rPr>
                <w:b/>
                <w:sz w:val="18"/>
              </w:rPr>
              <w:t>Setting</w:t>
            </w:r>
          </w:p>
        </w:tc>
        <w:tc>
          <w:tcPr>
            <w:tcW w:type="dxa" w:w="1728"/>
          </w:tcPr>
          <w:p>
            <w:r/>
            <w:r>
              <w:rPr>
                <w:b/>
                <w:sz w:val="18"/>
              </w:rPr>
              <w:t>n</w:t>
            </w:r>
          </w:p>
        </w:tc>
        <w:tc>
          <w:tcPr>
            <w:tcW w:type="dxa" w:w="3600"/>
          </w:tcPr>
          <w:p>
            <w:r/>
            <w:r>
              <w:rPr>
                <w:b/>
                <w:sz w:val="18"/>
              </w:rPr>
              <w:t>HR per 1 SD of Mobility score (95% CI)</w:t>
            </w:r>
          </w:p>
        </w:tc>
      </w:tr>
      <w:tr>
        <w:tc>
          <w:tcPr>
            <w:tcW w:type="dxa" w:w="2592"/>
          </w:tcPr>
          <w:p>
            <w:r/>
            <w:r>
              <w:rPr>
                <w:sz w:val="18"/>
              </w:rPr>
              <w:t>Community-dwelling</w:t>
            </w:r>
          </w:p>
        </w:tc>
        <w:tc>
          <w:tcPr>
            <w:tcW w:type="dxa" w:w="1728"/>
          </w:tcPr>
          <w:p>
            <w:r/>
            <w:r>
              <w:rPr>
                <w:sz w:val="18"/>
              </w:rPr>
              <w:t>159,105</w:t>
            </w:r>
          </w:p>
        </w:tc>
        <w:tc>
          <w:tcPr>
            <w:tcW w:type="dxa" w:w="3600"/>
          </w:tcPr>
          <w:p>
            <w:r>
              <w:t>1.336 (1.326–1.346)</w:t>
            </w:r>
          </w:p>
        </w:tc>
      </w:tr>
      <w:tr>
        <w:tc>
          <w:tcPr>
            <w:tcW w:type="dxa" w:w="2592"/>
          </w:tcPr>
          <w:p>
            <w:r/>
            <w:r>
              <w:rPr>
                <w:sz w:val="18"/>
              </w:rPr>
              <w:t>Institutional residence</w:t>
            </w:r>
          </w:p>
        </w:tc>
        <w:tc>
          <w:tcPr>
            <w:tcW w:type="dxa" w:w="1728"/>
          </w:tcPr>
          <w:p>
            <w:r/>
            <w:r>
              <w:rPr>
                <w:sz w:val="18"/>
              </w:rPr>
              <w:t>41,750</w:t>
            </w:r>
          </w:p>
        </w:tc>
        <w:tc>
          <w:tcPr>
            <w:tcW w:type="dxa" w:w="3600"/>
          </w:tcPr>
          <w:p>
            <w:r>
              <w:t>1.178 (1.162–1.194)</w:t>
            </w:r>
          </w:p>
        </w:tc>
      </w:tr>
    </w:tbl>
    <w:p>
      <w:pPr>
        <w:spacing w:after="160"/>
      </w:pPr>
      <w:r>
        <w:rPr>
          <w:color w:val="444444"/>
          <w:sz w:val="18"/>
        </w:rPr>
        <w:t>Analyzed n is the number with a complete Mobility score and covariates in each setting; the two do not sum to the full cohort because records without a Mobility score are excluded. The standard deviation is the whole-cohort one (30.9 points), so the two settings are expressed on the same scale. Adjusted for age, sex, education, urbanicity and CDR stage.</w:t>
      </w:r>
    </w:p>
    <w:p>
      <w:pPr>
        <w:keepNext/>
        <w:spacing w:before="160" w:after="60"/>
      </w:pPr>
      <w:r>
        <w:rPr>
          <w:b/>
          <w:sz w:val="22"/>
        </w:rPr>
        <w:t>Table S6.6. Proportional-hazards assumption</w:t>
      </w:r>
    </w:p>
    <w:tbl>
      <w:tblPr>
        <w:tblW w:type="auto" w:w="0"/>
        <w:tblLook w:firstColumn="1" w:firstRow="1" w:lastColumn="0" w:lastRow="0" w:noHBand="0" w:noVBand="1" w:val="04A0"/>
        <w:tblBorders>
          <w:top w:val="single" w:sz="4" w:color="888888"/>
          <w:left w:val="single" w:sz="4" w:color="888888"/>
          <w:bottom w:val="single" w:sz="4" w:color="888888"/>
          <w:right w:val="single" w:sz="4" w:color="888888"/>
          <w:insideH w:val="single" w:sz="4" w:color="888888"/>
          <w:insideV w:val="single" w:sz="4" w:color="888888"/>
        </w:tblBorders>
      </w:tblPr>
      <w:tblGrid>
        <w:gridCol w:w="2880"/>
        <w:gridCol w:w="2880"/>
        <w:gridCol w:w="2880"/>
      </w:tblGrid>
      <w:tr>
        <w:trPr>
          <w:cantSplit/>
          <w:tblHeader/>
        </w:trPr>
        <w:tc>
          <w:tcPr>
            <w:tcW w:type="dxa" w:w="2880"/>
          </w:tcPr>
          <w:p>
            <w:r>
              <w:rPr>
                <w:b/>
              </w:rPr>
              <w:t>Term</w:t>
            </w:r>
          </w:p>
        </w:tc>
        <w:tc>
          <w:tcPr>
            <w:tcW w:type="dxa" w:w="4320"/>
          </w:tcPr>
          <w:p>
            <w:r>
              <w:rPr>
                <w:b/>
              </w:rPr>
              <w:t>Correlation of residual with ranked event time</w:t>
            </w:r>
          </w:p>
        </w:tc>
        <w:tc>
          <w:tcPr>
            <w:tcW w:type="dxa" w:w="1440"/>
          </w:tcPr>
          <w:p>
            <w:r>
              <w:rPr>
                <w:b/>
              </w:rPr>
              <w:t>Grambsch–Therneau χ² (1 df); p</w:t>
            </w:r>
          </w:p>
        </w:tc>
      </w:tr>
      <w:tr>
        <w:tc>
          <w:tcPr>
            <w:tcW w:type="dxa" w:w="2880"/>
          </w:tcPr>
          <w:p>
            <w:r>
              <w:rPr>
                <w:b w:val="0"/>
              </w:rPr>
              <w:t>Age</w:t>
            </w:r>
          </w:p>
        </w:tc>
        <w:tc>
          <w:tcPr>
            <w:tcW w:type="dxa" w:w="4320"/>
          </w:tcPr>
          <w:p>
            <w:r>
              <w:rPr>
                <w:b w:val="0"/>
              </w:rPr>
              <w:t>−0.0124</w:t>
            </w:r>
          </w:p>
        </w:tc>
        <w:tc>
          <w:tcPr>
            <w:tcW w:type="dxa" w:w="1440"/>
          </w:tcPr>
          <w:p>
            <w:r>
              <w:rPr>
                <w:b w:val="0"/>
              </w:rPr>
              <w:t>14.6; &lt;0.001</w:t>
            </w:r>
          </w:p>
        </w:tc>
      </w:tr>
      <w:tr>
        <w:tc>
          <w:tcPr>
            <w:tcW w:type="dxa" w:w="2880"/>
          </w:tcPr>
          <w:p>
            <w:r>
              <w:rPr>
                <w:b w:val="0"/>
              </w:rPr>
              <w:t>Female sex</w:t>
            </w:r>
          </w:p>
        </w:tc>
        <w:tc>
          <w:tcPr>
            <w:tcW w:type="dxa" w:w="4320"/>
          </w:tcPr>
          <w:p>
            <w:r>
              <w:rPr>
                <w:b w:val="0"/>
              </w:rPr>
              <w:t>+0.0378</w:t>
            </w:r>
          </w:p>
        </w:tc>
        <w:tc>
          <w:tcPr>
            <w:tcW w:type="dxa" w:w="1440"/>
          </w:tcPr>
          <w:p>
            <w:r>
              <w:rPr>
                <w:b w:val="0"/>
              </w:rPr>
              <w:t>130.7; &lt;0.001</w:t>
            </w:r>
          </w:p>
        </w:tc>
      </w:tr>
      <w:tr>
        <w:tc>
          <w:tcPr>
            <w:tcW w:type="dxa" w:w="2880"/>
          </w:tcPr>
          <w:p>
            <w:r>
              <w:rPr>
                <w:b w:val="0"/>
              </w:rPr>
              <w:t>Education &gt;6 years</w:t>
            </w:r>
          </w:p>
        </w:tc>
        <w:tc>
          <w:tcPr>
            <w:tcW w:type="dxa" w:w="4320"/>
          </w:tcPr>
          <w:p>
            <w:r>
              <w:rPr>
                <w:b w:val="0"/>
              </w:rPr>
              <w:t>−0.0146</w:t>
            </w:r>
          </w:p>
        </w:tc>
        <w:tc>
          <w:tcPr>
            <w:tcW w:type="dxa" w:w="1440"/>
          </w:tcPr>
          <w:p>
            <w:r>
              <w:rPr>
                <w:b w:val="0"/>
              </w:rPr>
              <w:t>19.7; &lt;0.001</w:t>
            </w:r>
          </w:p>
        </w:tc>
      </w:tr>
      <w:tr>
        <w:tc>
          <w:tcPr>
            <w:tcW w:type="dxa" w:w="2880"/>
          </w:tcPr>
          <w:p>
            <w:r>
              <w:rPr>
                <w:b w:val="0"/>
              </w:rPr>
              <w:t>Rural residence</w:t>
            </w:r>
          </w:p>
        </w:tc>
        <w:tc>
          <w:tcPr>
            <w:tcW w:type="dxa" w:w="4320"/>
          </w:tcPr>
          <w:p>
            <w:r>
              <w:rPr>
                <w:b w:val="0"/>
              </w:rPr>
              <w:t>+0.0040</w:t>
            </w:r>
          </w:p>
        </w:tc>
        <w:tc>
          <w:tcPr>
            <w:tcW w:type="dxa" w:w="1440"/>
          </w:tcPr>
          <w:p>
            <w:r>
              <w:rPr>
                <w:b w:val="0"/>
              </w:rPr>
              <w:t>1.5; 0.219</w:t>
            </w:r>
          </w:p>
        </w:tc>
      </w:tr>
      <w:tr>
        <w:tc>
          <w:tcPr>
            <w:tcW w:type="dxa" w:w="2880"/>
          </w:tcPr>
          <w:p>
            <w:r>
              <w:rPr>
                <w:b w:val="0"/>
              </w:rPr>
              <w:t>CDR 2 (vs 1)</w:t>
            </w:r>
          </w:p>
        </w:tc>
        <w:tc>
          <w:tcPr>
            <w:tcW w:type="dxa" w:w="4320"/>
          </w:tcPr>
          <w:p>
            <w:r>
              <w:rPr>
                <w:b w:val="0"/>
              </w:rPr>
              <w:t>−0.0084</w:t>
            </w:r>
          </w:p>
        </w:tc>
        <w:tc>
          <w:tcPr>
            <w:tcW w:type="dxa" w:w="1440"/>
          </w:tcPr>
          <w:p>
            <w:r>
              <w:rPr>
                <w:b w:val="0"/>
              </w:rPr>
              <w:t>6.5; 0.011</w:t>
            </w:r>
          </w:p>
        </w:tc>
      </w:tr>
      <w:tr>
        <w:tc>
          <w:tcPr>
            <w:tcW w:type="dxa" w:w="2880"/>
          </w:tcPr>
          <w:p>
            <w:r>
              <w:rPr>
                <w:b w:val="0"/>
              </w:rPr>
              <w:t>CDR 3 (vs 1)</w:t>
            </w:r>
          </w:p>
        </w:tc>
        <w:tc>
          <w:tcPr>
            <w:tcW w:type="dxa" w:w="4320"/>
          </w:tcPr>
          <w:p>
            <w:r>
              <w:rPr>
                <w:b w:val="0"/>
              </w:rPr>
              <w:t>−0.0424</w:t>
            </w:r>
          </w:p>
        </w:tc>
        <w:tc>
          <w:tcPr>
            <w:tcW w:type="dxa" w:w="1440"/>
          </w:tcPr>
          <w:p>
            <w:r>
              <w:rPr>
                <w:b w:val="0"/>
              </w:rPr>
              <w:t>160.6; &lt;0.001</w:t>
            </w:r>
          </w:p>
        </w:tc>
      </w:tr>
      <w:tr>
        <w:tc>
          <w:tcPr>
            <w:tcW w:type="dxa" w:w="2880"/>
          </w:tcPr>
          <w:p>
            <w:r>
              <w:rPr>
                <w:b w:val="0"/>
              </w:rPr>
              <w:t>Number of difficulties (0–4)</w:t>
            </w:r>
          </w:p>
        </w:tc>
        <w:tc>
          <w:tcPr>
            <w:tcW w:type="dxa" w:w="4320"/>
          </w:tcPr>
          <w:p>
            <w:r>
              <w:rPr>
                <w:b w:val="0"/>
              </w:rPr>
              <w:t>−0.0297</w:t>
            </w:r>
          </w:p>
        </w:tc>
        <w:tc>
          <w:tcPr>
            <w:tcW w:type="dxa" w:w="1440"/>
          </w:tcPr>
          <w:p>
            <w:r>
              <w:rPr>
                <w:b w:val="0"/>
              </w:rPr>
              <w:t>79.6; &lt;0.001</w:t>
            </w:r>
          </w:p>
        </w:tc>
      </w:tr>
    </w:tbl>
    <w:p>
      <w:pPr>
        <w:spacing w:after="160"/>
      </w:pPr>
      <w:r>
        <w:rPr>
          <w:color w:val="444444"/>
          <w:sz w:val="18"/>
        </w:rPr>
        <w:t>Model: age, sex, education, urbanicity, CDR stage and the number of difficulties, fitted in the 194,728 participants with complete data on all four items (92,330 deaths). Residuals are aligned to the event time of the death they belong to. The Grambsch–Therneau statistic uses the rank transform and is the formal test; the correlation column gives the size of the same trend. For the number of difficulties the correlation is −0.030 and the statistic 79.6 (p &lt; 0.001). Table S6.7 expresses the departure on an interpretable scale.</w:t>
      </w:r>
    </w:p>
    <w:p>
      <w:pPr>
        <w:keepNext/>
        <w:spacing w:after="160"/>
      </w:pPr>
      <w:r>
        <w:rPr>
          <w:b/>
          <w:color w:val="444444"/>
          <w:sz w:val="18"/>
        </w:rPr>
        <w:t>Table S6.7. Hazard ratio per additional difficulty within follow-up intervals</w:t>
      </w:r>
    </w:p>
    <w:tbl>
      <w:tblPr>
        <w:tblW w:type="auto" w:w="0"/>
        <w:tblLook w:firstColumn="1" w:firstRow="1" w:lastColumn="0" w:lastRow="0" w:noHBand="0" w:noVBand="1" w:val="04A0"/>
        <w:tblBorders>
          <w:top w:val="single" w:sz="4" w:color="888888"/>
          <w:left w:val="single" w:sz="4" w:color="888888"/>
          <w:bottom w:val="single" w:sz="4" w:color="888888"/>
          <w:right w:val="single" w:sz="4" w:color="888888"/>
          <w:insideH w:val="single" w:sz="4" w:color="888888"/>
          <w:insideV w:val="single" w:sz="4" w:color="888888"/>
        </w:tblBorders>
      </w:tblPr>
      <w:tblGrid>
        <w:gridCol w:w="2880"/>
        <w:gridCol w:w="2880"/>
        <w:gridCol w:w="2880"/>
      </w:tblGrid>
      <w:tr>
        <w:trPr>
          <w:cantSplit/>
          <w:tblHeader/>
        </w:trPr>
        <w:tc>
          <w:tcPr>
            <w:tcW w:type="dxa" w:w="2880"/>
          </w:tcPr>
          <w:p>
            <w:r>
              <w:rPr>
                <w:b/>
              </w:rPr>
              <w:t>Follow-up interval</w:t>
            </w:r>
          </w:p>
        </w:tc>
        <w:tc>
          <w:tcPr>
            <w:tcW w:type="dxa" w:w="4320"/>
          </w:tcPr>
          <w:p>
            <w:r>
              <w:rPr>
                <w:b/>
              </w:rPr>
              <w:t>Participants at risk; deaths in interval</w:t>
            </w:r>
          </w:p>
        </w:tc>
        <w:tc>
          <w:tcPr>
            <w:tcW w:type="dxa" w:w="1440"/>
          </w:tcPr>
          <w:p>
            <w:r>
              <w:rPr>
                <w:b/>
              </w:rPr>
              <w:t>Adjusted HR per additional difficulty (95% CI)</w:t>
            </w:r>
          </w:p>
        </w:tc>
      </w:tr>
      <w:tr>
        <w:tc>
          <w:tcPr>
            <w:tcW w:type="dxa" w:w="2880"/>
          </w:tcPr>
          <w:p>
            <w:r>
              <w:rPr>
                <w:b w:val="0"/>
              </w:rPr>
              <w:t>0–1 year</w:t>
            </w:r>
          </w:p>
        </w:tc>
        <w:tc>
          <w:tcPr>
            <w:tcW w:type="dxa" w:w="4320"/>
          </w:tcPr>
          <w:p>
            <w:r>
              <w:rPr>
                <w:b w:val="0"/>
              </w:rPr>
              <w:t>194,728; 25,558</w:t>
            </w:r>
          </w:p>
        </w:tc>
        <w:tc>
          <w:tcPr>
            <w:tcW w:type="dxa" w:w="1440"/>
          </w:tcPr>
          <w:p>
            <w:r>
              <w:rPr>
                <w:b w:val="0"/>
              </w:rPr>
              <w:t>1.34 (1.32–1.35)</w:t>
            </w:r>
          </w:p>
        </w:tc>
      </w:tr>
      <w:tr>
        <w:tc>
          <w:tcPr>
            <w:tcW w:type="dxa" w:w="2880"/>
          </w:tcPr>
          <w:p>
            <w:r>
              <w:rPr>
                <w:b w:val="0"/>
              </w:rPr>
              <w:t>1–3 years</w:t>
            </w:r>
          </w:p>
        </w:tc>
        <w:tc>
          <w:tcPr>
            <w:tcW w:type="dxa" w:w="4320"/>
          </w:tcPr>
          <w:p>
            <w:r>
              <w:rPr>
                <w:b w:val="0"/>
              </w:rPr>
              <w:t>149,127; 38,136</w:t>
            </w:r>
          </w:p>
        </w:tc>
        <w:tc>
          <w:tcPr>
            <w:tcW w:type="dxa" w:w="1440"/>
          </w:tcPr>
          <w:p>
            <w:r>
              <w:rPr>
                <w:b w:val="0"/>
              </w:rPr>
              <w:t>1.18 (1.17–1.19)</w:t>
            </w:r>
          </w:p>
        </w:tc>
      </w:tr>
      <w:tr>
        <w:tc>
          <w:tcPr>
            <w:tcW w:type="dxa" w:w="2880"/>
          </w:tcPr>
          <w:p>
            <w:r>
              <w:rPr>
                <w:b w:val="0"/>
              </w:rPr>
              <w:t>After 3 years</w:t>
            </w:r>
          </w:p>
        </w:tc>
        <w:tc>
          <w:tcPr>
            <w:tcW w:type="dxa" w:w="4320"/>
          </w:tcPr>
          <w:p>
            <w:r>
              <w:rPr>
                <w:b w:val="0"/>
              </w:rPr>
              <w:t>83,629; 28,636</w:t>
            </w:r>
          </w:p>
        </w:tc>
        <w:tc>
          <w:tcPr>
            <w:tcW w:type="dxa" w:w="1440"/>
          </w:tcPr>
          <w:p>
            <w:r>
              <w:rPr>
                <w:b w:val="0"/>
              </w:rPr>
              <w:t>1.22 (1.21–1.23)</w:t>
            </w:r>
          </w:p>
        </w:tc>
      </w:tr>
    </w:tbl>
    <w:p>
      <w:pPr>
        <w:spacing w:after="160"/>
      </w:pPr>
      <w:r>
        <w:rPr>
          <w:color w:val="444444"/>
          <w:sz w:val="18"/>
        </w:rPr>
        <w:t>Cox models with delayed entry at the start of each interval and administrative censoring at its end, with the same adjustment. The association is strongest in the first year and lower afterwards, though not monotonically so.</w:t>
      </w:r>
    </w:p>
    <w:p>
      <w:pPr>
        <w:keepNext/>
        <w:spacing w:after="160"/>
      </w:pPr>
      <w:r>
        <w:rPr>
          <w:b/>
          <w:sz w:val="20"/>
        </w:rPr>
        <w:t>Table S6.8. Adding type of residence to the covariates (n = 194,728; 92,330 deaths)</w:t>
      </w:r>
    </w:p>
    <w:tbl>
      <w:tblPr>
        <w:tblW w:type="auto" w:w="0"/>
        <w:tblLook w:firstColumn="1" w:firstRow="1" w:lastColumn="0" w:lastRow="0" w:noHBand="0" w:noVBand="1" w:val="04A0"/>
        <w:tblBorders>
          <w:top w:val="single" w:sz="4" w:color="888888"/>
          <w:left w:val="single" w:sz="4" w:color="888888"/>
          <w:bottom w:val="single" w:sz="4" w:color="888888"/>
          <w:right w:val="single" w:sz="4" w:color="888888"/>
          <w:insideH w:val="single" w:sz="4" w:color="888888"/>
          <w:insideV w:val="single" w:sz="4" w:color="888888"/>
        </w:tblBorders>
      </w:tblPr>
      <w:tblGrid>
        <w:gridCol w:w="2160"/>
        <w:gridCol w:w="2160"/>
        <w:gridCol w:w="2160"/>
        <w:gridCol w:w="2160"/>
      </w:tblGrid>
      <w:tr>
        <w:trPr>
          <w:cantSplit/>
          <w:tblHeader/>
        </w:trPr>
        <w:tc>
          <w:tcPr>
            <w:tcW w:type="dxa" w:w="2736"/>
          </w:tcPr>
          <w:p>
            <w:r>
              <w:rPr>
                <w:b/>
                <w:sz w:val="18"/>
              </w:rPr>
              <w:t>Model</w:t>
            </w:r>
          </w:p>
        </w:tc>
        <w:tc>
          <w:tcPr>
            <w:tcW w:type="dxa" w:w="3168"/>
          </w:tcPr>
          <w:p>
            <w:r>
              <w:rPr>
                <w:b/>
                <w:sz w:val="18"/>
              </w:rPr>
              <w:t>HR per additional difficulty (95% CI)</w:t>
            </w:r>
          </w:p>
        </w:tc>
      </w:tr>
      <w:tr>
        <w:tc>
          <w:tcPr>
            <w:tcW w:type="dxa" w:w="2736"/>
          </w:tcPr>
          <w:p>
            <w:r>
              <w:rPr>
                <w:b w:val="0"/>
                <w:sz w:val="18"/>
              </w:rPr>
              <w:t>Age, sex, education, urbanicity, CDR stage</w:t>
            </w:r>
          </w:p>
        </w:tc>
        <w:tc>
          <w:tcPr>
            <w:tcW w:type="dxa" w:w="3168"/>
          </w:tcPr>
          <w:p>
            <w:r>
              <w:rPr>
                <w:b w:val="0"/>
                <w:sz w:val="18"/>
              </w:rPr>
              <w:t>1.229 (1.223–1.236)</w:t>
            </w:r>
          </w:p>
        </w:tc>
      </w:tr>
      <w:tr>
        <w:tc>
          <w:tcPr>
            <w:tcW w:type="dxa" w:w="2736"/>
          </w:tcPr>
          <w:p>
            <w:r>
              <w:rPr>
                <w:b w:val="0"/>
                <w:sz w:val="18"/>
              </w:rPr>
              <w:t xml:space="preserve"> + institutional versus community residence</w:t>
            </w:r>
          </w:p>
        </w:tc>
        <w:tc>
          <w:tcPr>
            <w:tcW w:type="dxa" w:w="3168"/>
          </w:tcPr>
          <w:p>
            <w:r>
              <w:rPr>
                <w:b w:val="0"/>
                <w:sz w:val="18"/>
              </w:rPr>
              <w:t>1.215 (1.209–1.222)</w:t>
            </w:r>
          </w:p>
        </w:tc>
      </w:tr>
    </w:tbl>
    <w:p>
      <w:pPr>
        <w:spacing w:after="160"/>
      </w:pPr>
      <w:r>
        <w:rPr>
          <w:b w:val="0"/>
          <w:sz w:val="19"/>
        </w:rPr>
        <w:t>Urbanicity (rural versus urban) is in both models; this analysis adds type of residence (institutional versus community-dwelling), for which the hazard ratio is 1.204 (1.186–1.223). The gradient in the number of difficulties is essentially unchanged.</w:t>
      </w:r>
    </w:p>
    <w:p>
      <w:pPr>
        <w:spacing w:before="200" w:after="60"/>
      </w:pPr>
      <w:r>
        <w:rPr>
          <w:b/>
          <w:sz w:val="26"/>
        </w:rPr>
        <w:t>S7. Comparison with alternative WHODAS-based summaries and with all 30 items</w:t>
      </w:r>
    </w:p>
    <w:p>
      <w:pPr>
        <w:keepNext/>
        <w:spacing w:before="160" w:after="60"/>
      </w:pPr>
      <w:r>
        <w:rPr>
          <w:b/>
          <w:sz w:val="22"/>
        </w:rPr>
        <w:t>Table S7.1. Alternative summaries in the random validation subset with a complete summary score (n = 55,502)</w:t>
      </w:r>
    </w:p>
    <w:tbl>
      <w:tblPr>
        <w:tblW w:type="auto" w:w="0"/>
        <w:tblLook w:firstColumn="1" w:firstRow="1" w:lastColumn="0" w:lastRow="0" w:noHBand="0" w:noVBand="1" w:val="04A0"/>
        <w:tblBorders>
          <w:top w:val="single" w:sz="4" w:color="888888"/>
          <w:left w:val="single" w:sz="4" w:color="888888"/>
          <w:bottom w:val="single" w:sz="4" w:color="888888"/>
          <w:right w:val="single" w:sz="4" w:color="888888"/>
          <w:insideH w:val="single" w:sz="4" w:color="888888"/>
          <w:insideV w:val="single" w:sz="4" w:color="888888"/>
        </w:tblBorders>
      </w:tblPr>
      <w:tblGrid>
        <w:gridCol w:w="2880"/>
        <w:gridCol w:w="2880"/>
        <w:gridCol w:w="2880"/>
      </w:tblGrid>
      <w:tr>
        <w:trPr>
          <w:cantSplit/>
          <w:tblHeader/>
        </w:trPr>
        <w:tc>
          <w:tcPr>
            <w:tcW w:type="dxa" w:w="3744"/>
          </w:tcPr>
          <w:p>
            <w:r>
              <w:rPr>
                <w:b/>
              </w:rPr>
              <w:t>Model</w:t>
            </w:r>
          </w:p>
        </w:tc>
        <w:tc>
          <w:tcPr>
            <w:tcW w:type="dxa" w:w="2016"/>
          </w:tcPr>
          <w:p>
            <w:r>
              <w:rPr>
                <w:b/>
              </w:rPr>
              <w:t>C-index (95% CI)</w:t>
            </w:r>
          </w:p>
        </w:tc>
        <w:tc>
          <w:tcPr>
            <w:tcW w:type="dxa" w:w="2160"/>
          </w:tcPr>
          <w:p>
            <w:r>
              <w:rPr>
                <w:b/>
              </w:rPr>
              <w:t>Difference vs the four items (95% CI)</w:t>
            </w:r>
          </w:p>
        </w:tc>
      </w:tr>
      <w:tr>
        <w:tc>
          <w:tcPr>
            <w:tcW w:type="dxa" w:w="3744"/>
          </w:tcPr>
          <w:p>
            <w:r>
              <w:rPr>
                <w:b w:val="0"/>
              </w:rPr>
              <w:t>Covariate model</w:t>
            </w:r>
          </w:p>
        </w:tc>
        <w:tc>
          <w:tcPr>
            <w:tcW w:type="dxa" w:w="2016"/>
          </w:tcPr>
          <w:p>
            <w:r>
              <w:rPr>
                <w:b w:val="0"/>
              </w:rPr>
              <w:t>0.6399 (0.6364–0.6437)</w:t>
            </w:r>
          </w:p>
        </w:tc>
        <w:tc>
          <w:tcPr>
            <w:tcW w:type="dxa" w:w="2160"/>
          </w:tcPr>
          <w:p>
            <w:r>
              <w:rPr>
                <w:b w:val="0"/>
              </w:rPr>
              <w:t>−0.0241 (−0.0262 to −0.0219)</w:t>
            </w:r>
          </w:p>
        </w:tc>
      </w:tr>
      <w:tr>
        <w:tc>
          <w:tcPr>
            <w:tcW w:type="dxa" w:w="3744"/>
          </w:tcPr>
          <w:p>
            <w:r>
              <w:rPr>
                <w:b w:val="0"/>
              </w:rPr>
              <w:t>Registry summary score</w:t>
            </w:r>
          </w:p>
        </w:tc>
        <w:tc>
          <w:tcPr>
            <w:tcW w:type="dxa" w:w="2016"/>
          </w:tcPr>
          <w:p>
            <w:r>
              <w:rPr>
                <w:b w:val="0"/>
              </w:rPr>
              <w:t>0.6580 (0.6545–0.6616)</w:t>
            </w:r>
          </w:p>
        </w:tc>
        <w:tc>
          <w:tcPr>
            <w:tcW w:type="dxa" w:w="2160"/>
          </w:tcPr>
          <w:p>
            <w:r>
              <w:rPr>
                <w:b w:val="0"/>
              </w:rPr>
              <w:t>−0.0060 (−0.0071 to −0.0049)</w:t>
            </w:r>
          </w:p>
        </w:tc>
      </w:tr>
      <w:tr>
        <w:tc>
          <w:tcPr>
            <w:tcW w:type="dxa" w:w="3744"/>
          </w:tcPr>
          <w:p>
            <w:r>
              <w:rPr>
                <w:b w:val="0"/>
              </w:rPr>
              <w:t>Six domain scores</w:t>
            </w:r>
          </w:p>
        </w:tc>
        <w:tc>
          <w:tcPr>
            <w:tcW w:type="dxa" w:w="2016"/>
          </w:tcPr>
          <w:p>
            <w:r>
              <w:rPr>
                <w:b w:val="0"/>
              </w:rPr>
              <w:t>0.6617 (0.6582–0.6652)</w:t>
            </w:r>
          </w:p>
        </w:tc>
        <w:tc>
          <w:tcPr>
            <w:tcW w:type="dxa" w:w="2160"/>
          </w:tcPr>
          <w:p>
            <w:r>
              <w:rPr>
                <w:b w:val="0"/>
              </w:rPr>
              <w:t>−0.0023 (−0.0030 to −0.0017)</w:t>
            </w:r>
          </w:p>
        </w:tc>
      </w:tr>
      <w:tr>
        <w:tc>
          <w:tcPr>
            <w:tcW w:type="dxa" w:w="3744"/>
          </w:tcPr>
          <w:p>
            <w:r>
              <w:rPr>
                <w:b w:val="0"/>
              </w:rPr>
              <w:t>Two items (D2.2, D1.1)</w:t>
            </w:r>
          </w:p>
        </w:tc>
        <w:tc>
          <w:tcPr>
            <w:tcW w:type="dxa" w:w="2016"/>
          </w:tcPr>
          <w:p>
            <w:r>
              <w:rPr>
                <w:b w:val="0"/>
              </w:rPr>
              <w:t>0.6628 (0.6592–0.6665)</w:t>
            </w:r>
          </w:p>
        </w:tc>
        <w:tc>
          <w:tcPr>
            <w:tcW w:type="dxa" w:w="2160"/>
          </w:tcPr>
          <w:p>
            <w:r>
              <w:rPr>
                <w:b w:val="0"/>
              </w:rPr>
              <w:t>−0.0011 (−0.0016 to −0.0007)</w:t>
            </w:r>
          </w:p>
        </w:tc>
      </w:tr>
      <w:tr>
        <w:tc>
          <w:tcPr>
            <w:tcW w:type="dxa" w:w="3744"/>
          </w:tcPr>
          <w:p>
            <w:r>
              <w:rPr>
                <w:b w:val="0"/>
              </w:rPr>
              <w:t>Four items (D2.2, D1.1, D1.5, D2.1)</w:t>
            </w:r>
          </w:p>
        </w:tc>
        <w:tc>
          <w:tcPr>
            <w:tcW w:type="dxa" w:w="2016"/>
          </w:tcPr>
          <w:p>
            <w:r>
              <w:rPr>
                <w:b w:val="0"/>
              </w:rPr>
              <w:t>0.6640 (0.6605–0.6676)</w:t>
            </w:r>
          </w:p>
        </w:tc>
        <w:tc>
          <w:tcPr>
            <w:tcW w:type="dxa" w:w="2160"/>
          </w:tcPr>
          <w:p>
            <w:r>
              <w:rPr>
                <w:b w:val="0"/>
              </w:rPr>
              <w:t>—</w:t>
            </w:r>
          </w:p>
        </w:tc>
      </w:tr>
    </w:tbl>
    <w:p>
      <w:pPr>
        <w:spacing w:after="160"/>
      </w:pPr>
      <w:r>
        <w:rPr>
          <w:color w:val="444444"/>
          <w:sz w:val="18"/>
        </w:rPr>
        <w:t>All models share the same clinical baseline (age, sex, education, urbanicity, CDR stage) and are evaluated in the same random validation participants (n = 55,502) — those with a complete summary score, which requires all six domains. Confidence intervals are the bootstrap percentile intervals described in the Methods. These comparisons are plotted in Supplementary Fig. S1. Differences are computed before rounding, so they may differ in the last digit from the difference of the rounded C-indices.</w:t>
      </w:r>
    </w:p>
    <w:p>
      <w:pPr>
        <w:keepNext/>
        <w:spacing w:before="160" w:after="60"/>
      </w:pPr>
      <w:r>
        <w:rPr>
          <w:b/>
          <w:sz w:val="22"/>
        </w:rPr>
        <w:t>Table S7.2. What the remaining four domains would have added (n = 55,502)</w:t>
      </w:r>
    </w:p>
    <w:tbl>
      <w:tblPr>
        <w:tblW w:type="auto" w:w="0"/>
        <w:tblLook w:firstColumn="1" w:firstRow="1" w:lastColumn="0" w:lastRow="0" w:noHBand="0" w:noVBand="1" w:val="04A0"/>
        <w:tblBorders>
          <w:top w:val="single" w:sz="4" w:color="888888"/>
          <w:left w:val="single" w:sz="4" w:color="888888"/>
          <w:bottom w:val="single" w:sz="4" w:color="888888"/>
          <w:right w:val="single" w:sz="4" w:color="888888"/>
          <w:insideH w:val="single" w:sz="4" w:color="888888"/>
          <w:insideV w:val="single" w:sz="4" w:color="888888"/>
        </w:tblBorders>
      </w:tblPr>
      <w:tblGrid>
        <w:gridCol w:w="2880"/>
        <w:gridCol w:w="2880"/>
        <w:gridCol w:w="2880"/>
      </w:tblGrid>
      <w:tr>
        <w:trPr>
          <w:cantSplit/>
          <w:tblHeader/>
        </w:trPr>
        <w:tc>
          <w:tcPr>
            <w:tcW w:type="dxa" w:w="4896"/>
          </w:tcPr>
          <w:p>
            <w:r/>
            <w:r>
              <w:rPr>
                <w:b/>
                <w:sz w:val="18"/>
              </w:rPr>
              <w:t>Model</w:t>
            </w:r>
          </w:p>
        </w:tc>
        <w:tc>
          <w:tcPr>
            <w:tcW w:type="dxa" w:w="1728"/>
          </w:tcPr>
          <w:p>
            <w:r/>
            <w:r>
              <w:rPr>
                <w:b/>
                <w:sz w:val="18"/>
              </w:rPr>
              <w:t>C-index</w:t>
            </w:r>
          </w:p>
        </w:tc>
        <w:tc>
          <w:tcPr>
            <w:tcW w:type="dxa" w:w="2304"/>
          </w:tcPr>
          <w:p>
            <w:r/>
            <w:r>
              <w:rPr>
                <w:b/>
                <w:sz w:val="18"/>
              </w:rPr>
              <w:t>ΔC vs the four items</w:t>
            </w:r>
          </w:p>
        </w:tc>
      </w:tr>
      <w:tr>
        <w:tc>
          <w:tcPr>
            <w:tcW w:type="dxa" w:w="4896"/>
          </w:tcPr>
          <w:p>
            <w:r>
              <w:t>Covariate model</w:t>
            </w:r>
          </w:p>
        </w:tc>
        <w:tc>
          <w:tcPr>
            <w:tcW w:type="dxa" w:w="1728"/>
          </w:tcPr>
          <w:p>
            <w:r/>
            <w:r>
              <w:rPr>
                <w:sz w:val="18"/>
              </w:rPr>
              <w:t>0.6399</w:t>
            </w:r>
          </w:p>
        </w:tc>
        <w:tc>
          <w:tcPr>
            <w:tcW w:type="dxa" w:w="2304"/>
          </w:tcPr>
          <w:p>
            <w:r>
              <w:rPr>
                <w:b w:val="0"/>
              </w:rPr>
              <w:t>−0.0241</w:t>
            </w:r>
          </w:p>
        </w:tc>
      </w:tr>
      <w:tr>
        <w:tc>
          <w:tcPr>
            <w:tcW w:type="dxa" w:w="4896"/>
          </w:tcPr>
          <w:p>
            <w:r>
              <w:rPr>
                <w:b w:val="0"/>
              </w:rPr>
              <w:t>Covariate model + four items</w:t>
            </w:r>
          </w:p>
        </w:tc>
        <w:tc>
          <w:tcPr>
            <w:tcW w:type="dxa" w:w="1728"/>
          </w:tcPr>
          <w:p>
            <w:r/>
            <w:r>
              <w:rPr>
                <w:sz w:val="18"/>
              </w:rPr>
              <w:t>0.6640</w:t>
            </w:r>
          </w:p>
        </w:tc>
        <w:tc>
          <w:tcPr>
            <w:tcW w:type="dxa" w:w="2304"/>
          </w:tcPr>
          <w:p>
            <w:r/>
            <w:r>
              <w:rPr>
                <w:sz w:val="18"/>
              </w:rPr>
              <w:t>—</w:t>
            </w:r>
          </w:p>
        </w:tc>
      </w:tr>
      <w:tr>
        <w:tc>
          <w:tcPr>
            <w:tcW w:type="dxa" w:w="4896"/>
          </w:tcPr>
          <w:p>
            <w:r>
              <w:rPr>
                <w:b w:val="0"/>
              </w:rPr>
              <w:t>Covariate model + four items + Getting Along</w:t>
            </w:r>
          </w:p>
        </w:tc>
        <w:tc>
          <w:tcPr>
            <w:tcW w:type="dxa" w:w="1728"/>
          </w:tcPr>
          <w:p>
            <w:r/>
            <w:r>
              <w:rPr>
                <w:sz w:val="18"/>
              </w:rPr>
              <w:t>0.6641</w:t>
            </w:r>
          </w:p>
        </w:tc>
        <w:tc>
          <w:tcPr>
            <w:tcW w:type="dxa" w:w="2304"/>
          </w:tcPr>
          <w:p>
            <w:r/>
            <w:r>
              <w:rPr>
                <w:sz w:val="18"/>
              </w:rPr>
              <w:t>+0.0001</w:t>
            </w:r>
          </w:p>
        </w:tc>
      </w:tr>
      <w:tr>
        <w:tc>
          <w:tcPr>
            <w:tcW w:type="dxa" w:w="4896"/>
          </w:tcPr>
          <w:p>
            <w:r>
              <w:rPr>
                <w:b w:val="0"/>
              </w:rPr>
              <w:t>Covariate model + four items + all four other domains</w:t>
            </w:r>
          </w:p>
        </w:tc>
        <w:tc>
          <w:tcPr>
            <w:tcW w:type="dxa" w:w="1728"/>
          </w:tcPr>
          <w:p>
            <w:r/>
            <w:r>
              <w:rPr>
                <w:sz w:val="18"/>
              </w:rPr>
              <w:t>0.6641</w:t>
            </w:r>
          </w:p>
        </w:tc>
        <w:tc>
          <w:tcPr>
            <w:tcW w:type="dxa" w:w="2304"/>
          </w:tcPr>
          <w:p>
            <w:r/>
            <w:r>
              <w:rPr>
                <w:sz w:val="18"/>
              </w:rPr>
              <w:t>+0.0001</w:t>
            </w:r>
          </w:p>
        </w:tc>
      </w:tr>
    </w:tbl>
    <w:p>
      <w:pPr>
        <w:spacing w:after="160"/>
      </w:pPr>
      <w:r>
        <w:rPr>
          <w:color w:val="444444"/>
          <w:sz w:val="18"/>
        </w:rPr>
        <w:t>Here the other four domains enter as domain scores; Table S7.4 repeats the comparison at item level. Added to the four items they change discrimination by 0.0001 or less. Getting Along remains statistically associated when added to the four items (HR 1.017 per 10 points, 1.013–1.021; χ² = 59), but contributes no discrimination.</w:t>
      </w:r>
    </w:p>
    <w:p>
      <w:pPr>
        <w:keepNext/>
        <w:spacing w:before="160" w:after="60"/>
      </w:pPr>
      <w:r>
        <w:rPr>
          <w:b/>
          <w:sz w:val="22"/>
        </w:rPr>
        <w:t>Table S7.3. All 30 items entered together (n = 90,083; 51,990 deaths)</w:t>
      </w:r>
    </w:p>
    <w:tbl>
      <w:tblPr>
        <w:tblW w:type="auto" w:w="0"/>
        <w:tblLook w:firstColumn="1" w:firstRow="1" w:lastColumn="0" w:lastRow="0" w:noHBand="0" w:noVBand="1" w:val="04A0"/>
        <w:tblBorders>
          <w:top w:val="single" w:sz="4" w:color="888888"/>
          <w:left w:val="single" w:sz="4" w:color="888888"/>
          <w:bottom w:val="single" w:sz="4" w:color="888888"/>
          <w:right w:val="single" w:sz="4" w:color="888888"/>
          <w:insideH w:val="single" w:sz="4" w:color="888888"/>
          <w:insideV w:val="single" w:sz="4" w:color="888888"/>
        </w:tblBorders>
      </w:tblPr>
      <w:tblGrid>
        <w:gridCol w:w="1728"/>
        <w:gridCol w:w="1728"/>
        <w:gridCol w:w="1728"/>
        <w:gridCol w:w="1728"/>
        <w:gridCol w:w="1728"/>
      </w:tblGrid>
      <w:tr>
        <w:trPr>
          <w:cantSplit/>
          <w:tblHeader/>
        </w:trPr>
        <w:tc>
          <w:tcPr>
            <w:tcW w:type="dxa" w:w="3312"/>
          </w:tcPr>
          <w:p>
            <w:r>
              <w:rPr>
                <w:b/>
              </w:rPr>
              <w:t>Rank</w:t>
            </w:r>
          </w:p>
        </w:tc>
        <w:tc>
          <w:tcPr>
            <w:tcW w:type="dxa" w:w="2736"/>
          </w:tcPr>
          <w:p>
            <w:r>
              <w:rPr>
                <w:b/>
              </w:rPr>
              <w:t>Item</w:t>
            </w:r>
          </w:p>
        </w:tc>
        <w:tc>
          <w:tcPr>
            <w:tcW w:type="dxa" w:w="1728"/>
          </w:tcPr>
          <w:p>
            <w:r>
              <w:rPr>
                <w:b/>
              </w:rPr>
              <w:t>Domain</w:t>
            </w:r>
          </w:p>
        </w:tc>
        <w:tc>
          <w:tcPr>
            <w:tcW w:type="dxa" w:w="1296"/>
          </w:tcPr>
          <w:p>
            <w:r>
              <w:rPr>
                <w:b/>
              </w:rPr>
              <w:t>HR per 10 points (95% CI)</w:t>
            </w:r>
          </w:p>
        </w:tc>
        <w:tc>
          <w:tcPr>
            <w:tcW w:type="dxa" w:w="1008"/>
          </w:tcPr>
          <w:p>
            <w:r>
              <w:rPr>
                <w:b/>
              </w:rPr>
              <w:t>Wald χ²</w:t>
            </w:r>
          </w:p>
        </w:tc>
      </w:tr>
      <w:tr>
        <w:tc>
          <w:tcPr>
            <w:tcW w:type="dxa" w:w="3312"/>
          </w:tcPr>
          <w:p>
            <w:r>
              <w:rPr>
                <w:b w:val="0"/>
              </w:rPr>
              <w:t>1</w:t>
            </w:r>
          </w:p>
        </w:tc>
        <w:tc>
          <w:tcPr>
            <w:tcW w:type="dxa" w:w="2736"/>
          </w:tcPr>
          <w:p>
            <w:r>
              <w:rPr>
                <w:b w:val="0"/>
              </w:rPr>
              <w:t>D2.2 Rising from sitting †</w:t>
            </w:r>
          </w:p>
        </w:tc>
        <w:tc>
          <w:tcPr>
            <w:tcW w:type="dxa" w:w="1728"/>
          </w:tcPr>
          <w:p>
            <w:r>
              <w:rPr>
                <w:b w:val="0"/>
              </w:rPr>
              <w:t>Mobility</w:t>
            </w:r>
          </w:p>
        </w:tc>
        <w:tc>
          <w:tcPr>
            <w:tcW w:type="dxa" w:w="1296"/>
          </w:tcPr>
          <w:p>
            <w:r>
              <w:rPr>
                <w:b w:val="0"/>
              </w:rPr>
              <w:t>1.0358 (1.0306–1.0410)</w:t>
            </w:r>
          </w:p>
        </w:tc>
        <w:tc>
          <w:tcPr>
            <w:tcW w:type="dxa" w:w="1008"/>
          </w:tcPr>
          <w:p>
            <w:r>
              <w:rPr>
                <w:b w:val="0"/>
              </w:rPr>
              <w:t>187.1</w:t>
            </w:r>
          </w:p>
        </w:tc>
      </w:tr>
      <w:tr>
        <w:tc>
          <w:tcPr>
            <w:tcW w:type="dxa" w:w="3312"/>
          </w:tcPr>
          <w:p>
            <w:r>
              <w:rPr>
                <w:b w:val="0"/>
              </w:rPr>
              <w:t>2</w:t>
            </w:r>
          </w:p>
        </w:tc>
        <w:tc>
          <w:tcPr>
            <w:tcW w:type="dxa" w:w="2736"/>
          </w:tcPr>
          <w:p>
            <w:r>
              <w:rPr>
                <w:b w:val="0"/>
              </w:rPr>
              <w:t>D4.3 Getting along with people who are close</w:t>
            </w:r>
          </w:p>
        </w:tc>
        <w:tc>
          <w:tcPr>
            <w:tcW w:type="dxa" w:w="1728"/>
          </w:tcPr>
          <w:p>
            <w:r>
              <w:rPr>
                <w:b w:val="0"/>
              </w:rPr>
              <w:t>Getting Along</w:t>
            </w:r>
          </w:p>
        </w:tc>
        <w:tc>
          <w:tcPr>
            <w:tcW w:type="dxa" w:w="1296"/>
          </w:tcPr>
          <w:p>
            <w:r>
              <w:rPr>
                <w:b w:val="0"/>
              </w:rPr>
              <w:t>1.0198 (1.0150–1.0246)</w:t>
            </w:r>
          </w:p>
        </w:tc>
        <w:tc>
          <w:tcPr>
            <w:tcW w:type="dxa" w:w="1008"/>
          </w:tcPr>
          <w:p>
            <w:r>
              <w:rPr>
                <w:b w:val="0"/>
              </w:rPr>
              <w:t>67.5</w:t>
            </w:r>
          </w:p>
        </w:tc>
      </w:tr>
      <w:tr>
        <w:tc>
          <w:tcPr>
            <w:tcW w:type="dxa" w:w="3312"/>
          </w:tcPr>
          <w:p>
            <w:r>
              <w:rPr>
                <w:b w:val="0"/>
              </w:rPr>
              <w:t>3</w:t>
            </w:r>
          </w:p>
        </w:tc>
        <w:tc>
          <w:tcPr>
            <w:tcW w:type="dxa" w:w="2736"/>
          </w:tcPr>
          <w:p>
            <w:r>
              <w:rPr>
                <w:b w:val="0"/>
              </w:rPr>
              <w:t>D1.1 Concentrating for 10 minutes †</w:t>
            </w:r>
          </w:p>
        </w:tc>
        <w:tc>
          <w:tcPr>
            <w:tcW w:type="dxa" w:w="1728"/>
          </w:tcPr>
          <w:p>
            <w:r>
              <w:rPr>
                <w:b w:val="0"/>
              </w:rPr>
              <w:t>Cognition</w:t>
            </w:r>
          </w:p>
        </w:tc>
        <w:tc>
          <w:tcPr>
            <w:tcW w:type="dxa" w:w="1296"/>
          </w:tcPr>
          <w:p>
            <w:r>
              <w:rPr>
                <w:b w:val="0"/>
              </w:rPr>
              <w:t>1.0177 (1.0124–1.0230)</w:t>
            </w:r>
          </w:p>
        </w:tc>
        <w:tc>
          <w:tcPr>
            <w:tcW w:type="dxa" w:w="1008"/>
          </w:tcPr>
          <w:p>
            <w:r>
              <w:rPr>
                <w:b w:val="0"/>
              </w:rPr>
              <w:t>43.2</w:t>
            </w:r>
          </w:p>
        </w:tc>
      </w:tr>
      <w:tr>
        <w:tc>
          <w:tcPr>
            <w:tcW w:type="dxa" w:w="3312"/>
          </w:tcPr>
          <w:p>
            <w:r>
              <w:rPr>
                <w:b w:val="0"/>
              </w:rPr>
              <w:t>4</w:t>
            </w:r>
          </w:p>
        </w:tc>
        <w:tc>
          <w:tcPr>
            <w:tcW w:type="dxa" w:w="2736"/>
          </w:tcPr>
          <w:p>
            <w:r>
              <w:rPr>
                <w:b w:val="0"/>
              </w:rPr>
              <w:t>D6.5 Emotional effect of the health condition</w:t>
            </w:r>
          </w:p>
        </w:tc>
        <w:tc>
          <w:tcPr>
            <w:tcW w:type="dxa" w:w="1728"/>
          </w:tcPr>
          <w:p>
            <w:r>
              <w:rPr>
                <w:b w:val="0"/>
              </w:rPr>
              <w:t>Participation</w:t>
            </w:r>
          </w:p>
        </w:tc>
        <w:tc>
          <w:tcPr>
            <w:tcW w:type="dxa" w:w="1296"/>
          </w:tcPr>
          <w:p>
            <w:r>
              <w:rPr>
                <w:b w:val="0"/>
              </w:rPr>
              <w:t>0.9869 (0.9830–0.9908)</w:t>
            </w:r>
          </w:p>
        </w:tc>
        <w:tc>
          <w:tcPr>
            <w:tcW w:type="dxa" w:w="1008"/>
          </w:tcPr>
          <w:p>
            <w:r>
              <w:rPr>
                <w:b w:val="0"/>
              </w:rPr>
              <w:t>42.3</w:t>
            </w:r>
          </w:p>
        </w:tc>
      </w:tr>
      <w:tr>
        <w:tc>
          <w:tcPr>
            <w:tcW w:type="dxa" w:w="3312"/>
          </w:tcPr>
          <w:p>
            <w:r>
              <w:rPr>
                <w:b w:val="0"/>
              </w:rPr>
              <w:t>5</w:t>
            </w:r>
          </w:p>
        </w:tc>
        <w:tc>
          <w:tcPr>
            <w:tcW w:type="dxa" w:w="2736"/>
          </w:tcPr>
          <w:p>
            <w:r>
              <w:rPr>
                <w:b w:val="0"/>
              </w:rPr>
              <w:t>D3.3 Eating</w:t>
            </w:r>
          </w:p>
        </w:tc>
        <w:tc>
          <w:tcPr>
            <w:tcW w:type="dxa" w:w="1728"/>
          </w:tcPr>
          <w:p>
            <w:r>
              <w:rPr>
                <w:b w:val="0"/>
              </w:rPr>
              <w:t>Self-Care</w:t>
            </w:r>
          </w:p>
        </w:tc>
        <w:tc>
          <w:tcPr>
            <w:tcW w:type="dxa" w:w="1296"/>
          </w:tcPr>
          <w:p>
            <w:r>
              <w:rPr>
                <w:b w:val="0"/>
              </w:rPr>
              <w:t>1.0158 (1.0108–1.0209)</w:t>
            </w:r>
          </w:p>
        </w:tc>
        <w:tc>
          <w:tcPr>
            <w:tcW w:type="dxa" w:w="1008"/>
          </w:tcPr>
          <w:p>
            <w:r>
              <w:rPr>
                <w:b w:val="0"/>
              </w:rPr>
              <w:t>38.1</w:t>
            </w:r>
          </w:p>
        </w:tc>
      </w:tr>
      <w:tr>
        <w:tc>
          <w:tcPr>
            <w:tcW w:type="dxa" w:w="3312"/>
          </w:tcPr>
          <w:p>
            <w:r>
              <w:rPr>
                <w:b w:val="0"/>
              </w:rPr>
              <w:t>6</w:t>
            </w:r>
          </w:p>
        </w:tc>
        <w:tc>
          <w:tcPr>
            <w:tcW w:type="dxa" w:w="2736"/>
          </w:tcPr>
          <w:p>
            <w:r>
              <w:rPr>
                <w:b w:val="0"/>
              </w:rPr>
              <w:t>D5.4 Household work done as quickly as needed</w:t>
            </w:r>
          </w:p>
        </w:tc>
        <w:tc>
          <w:tcPr>
            <w:tcW w:type="dxa" w:w="1728"/>
          </w:tcPr>
          <w:p>
            <w:r>
              <w:rPr>
                <w:b w:val="0"/>
              </w:rPr>
              <w:t>Life Activities</w:t>
            </w:r>
          </w:p>
        </w:tc>
        <w:tc>
          <w:tcPr>
            <w:tcW w:type="dxa" w:w="1296"/>
          </w:tcPr>
          <w:p>
            <w:r>
              <w:rPr>
                <w:b w:val="0"/>
              </w:rPr>
              <w:t>0.9618 (0.9499–0.9739)</w:t>
            </w:r>
          </w:p>
        </w:tc>
        <w:tc>
          <w:tcPr>
            <w:tcW w:type="dxa" w:w="1008"/>
          </w:tcPr>
          <w:p>
            <w:r>
              <w:rPr>
                <w:b w:val="0"/>
              </w:rPr>
              <w:t>37.6</w:t>
            </w:r>
          </w:p>
        </w:tc>
      </w:tr>
      <w:tr>
        <w:tc>
          <w:tcPr>
            <w:tcW w:type="dxa" w:w="3312"/>
          </w:tcPr>
          <w:p>
            <w:r>
              <w:rPr>
                <w:b w:val="0"/>
              </w:rPr>
              <w:t>7</w:t>
            </w:r>
          </w:p>
        </w:tc>
        <w:tc>
          <w:tcPr>
            <w:tcW w:type="dxa" w:w="2736"/>
          </w:tcPr>
          <w:p>
            <w:r>
              <w:rPr>
                <w:b w:val="0"/>
              </w:rPr>
              <w:t>D5.3 Getting all household work done</w:t>
            </w:r>
          </w:p>
        </w:tc>
        <w:tc>
          <w:tcPr>
            <w:tcW w:type="dxa" w:w="1728"/>
          </w:tcPr>
          <w:p>
            <w:r>
              <w:rPr>
                <w:b w:val="0"/>
              </w:rPr>
              <w:t>Life Activities</w:t>
            </w:r>
          </w:p>
        </w:tc>
        <w:tc>
          <w:tcPr>
            <w:tcW w:type="dxa" w:w="1296"/>
          </w:tcPr>
          <w:p>
            <w:r>
              <w:rPr>
                <w:b w:val="0"/>
              </w:rPr>
              <w:t>1.0449 (1.0302–1.0597)</w:t>
            </w:r>
          </w:p>
        </w:tc>
        <w:tc>
          <w:tcPr>
            <w:tcW w:type="dxa" w:w="1008"/>
          </w:tcPr>
          <w:p>
            <w:r>
              <w:rPr>
                <w:b w:val="0"/>
              </w:rPr>
              <w:t>37.1</w:t>
            </w:r>
          </w:p>
        </w:tc>
      </w:tr>
      <w:tr>
        <w:tc>
          <w:tcPr>
            <w:tcW w:type="dxa" w:w="3312"/>
          </w:tcPr>
          <w:p>
            <w:r>
              <w:rPr>
                <w:b w:val="0"/>
              </w:rPr>
              <w:t>8</w:t>
            </w:r>
          </w:p>
        </w:tc>
        <w:tc>
          <w:tcPr>
            <w:tcW w:type="dxa" w:w="2736"/>
          </w:tcPr>
          <w:p>
            <w:r>
              <w:rPr>
                <w:b w:val="0"/>
              </w:rPr>
              <w:t>D2.1 Standing for 30 minutes †</w:t>
            </w:r>
          </w:p>
        </w:tc>
        <w:tc>
          <w:tcPr>
            <w:tcW w:type="dxa" w:w="1728"/>
          </w:tcPr>
          <w:p>
            <w:r>
              <w:rPr>
                <w:b w:val="0"/>
              </w:rPr>
              <w:t>Mobility</w:t>
            </w:r>
          </w:p>
        </w:tc>
        <w:tc>
          <w:tcPr>
            <w:tcW w:type="dxa" w:w="1296"/>
          </w:tcPr>
          <w:p>
            <w:r>
              <w:rPr>
                <w:b w:val="0"/>
              </w:rPr>
              <w:t>1.0183 (1.0123–1.0243)</w:t>
            </w:r>
          </w:p>
        </w:tc>
        <w:tc>
          <w:tcPr>
            <w:tcW w:type="dxa" w:w="1008"/>
          </w:tcPr>
          <w:p>
            <w:r>
              <w:rPr>
                <w:b w:val="0"/>
              </w:rPr>
              <w:t>36.2</w:t>
            </w:r>
          </w:p>
        </w:tc>
      </w:tr>
      <w:tr>
        <w:tc>
          <w:tcPr>
            <w:tcW w:type="dxa" w:w="3312"/>
          </w:tcPr>
          <w:p>
            <w:r>
              <w:rPr>
                <w:b w:val="0"/>
              </w:rPr>
              <w:t>9</w:t>
            </w:r>
          </w:p>
        </w:tc>
        <w:tc>
          <w:tcPr>
            <w:tcW w:type="dxa" w:w="2736"/>
          </w:tcPr>
          <w:p>
            <w:r>
              <w:rPr>
                <w:b w:val="0"/>
              </w:rPr>
              <w:t>D6.7 Effect on the family</w:t>
            </w:r>
          </w:p>
        </w:tc>
        <w:tc>
          <w:tcPr>
            <w:tcW w:type="dxa" w:w="1728"/>
          </w:tcPr>
          <w:p>
            <w:r>
              <w:rPr>
                <w:b w:val="0"/>
              </w:rPr>
              <w:t>Participation</w:t>
            </w:r>
          </w:p>
        </w:tc>
        <w:tc>
          <w:tcPr>
            <w:tcW w:type="dxa" w:w="1296"/>
          </w:tcPr>
          <w:p>
            <w:r>
              <w:rPr>
                <w:b w:val="0"/>
              </w:rPr>
              <w:t>0.9909 (0.9868–0.9950)</w:t>
            </w:r>
          </w:p>
        </w:tc>
        <w:tc>
          <w:tcPr>
            <w:tcW w:type="dxa" w:w="1008"/>
          </w:tcPr>
          <w:p>
            <w:r>
              <w:rPr>
                <w:b w:val="0"/>
              </w:rPr>
              <w:t>18.7</w:t>
            </w:r>
          </w:p>
        </w:tc>
      </w:tr>
      <w:tr>
        <w:tc>
          <w:tcPr>
            <w:tcW w:type="dxa" w:w="3312"/>
          </w:tcPr>
          <w:p>
            <w:r>
              <w:rPr>
                <w:b w:val="0"/>
              </w:rPr>
              <w:t>10</w:t>
            </w:r>
          </w:p>
        </w:tc>
        <w:tc>
          <w:tcPr>
            <w:tcW w:type="dxa" w:w="2736"/>
          </w:tcPr>
          <w:p>
            <w:r>
              <w:rPr>
                <w:b w:val="0"/>
              </w:rPr>
              <w:t>D1.5 Understanding what people say †</w:t>
            </w:r>
          </w:p>
        </w:tc>
        <w:tc>
          <w:tcPr>
            <w:tcW w:type="dxa" w:w="1728"/>
          </w:tcPr>
          <w:p>
            <w:r>
              <w:rPr>
                <w:b w:val="0"/>
              </w:rPr>
              <w:t>Cognition</w:t>
            </w:r>
          </w:p>
        </w:tc>
        <w:tc>
          <w:tcPr>
            <w:tcW w:type="dxa" w:w="1296"/>
          </w:tcPr>
          <w:p>
            <w:r>
              <w:rPr>
                <w:b w:val="0"/>
              </w:rPr>
              <w:t>1.0121 (1.0064–1.0179)</w:t>
            </w:r>
          </w:p>
        </w:tc>
        <w:tc>
          <w:tcPr>
            <w:tcW w:type="dxa" w:w="1008"/>
          </w:tcPr>
          <w:p>
            <w:r>
              <w:rPr>
                <w:b w:val="0"/>
              </w:rPr>
              <w:t>17.4</w:t>
            </w:r>
          </w:p>
        </w:tc>
      </w:tr>
      <w:tr>
        <w:tc>
          <w:tcPr>
            <w:tcW w:type="dxa" w:w="3312"/>
          </w:tcPr>
          <w:p>
            <w:r>
              <w:rPr>
                <w:b w:val="0"/>
              </w:rPr>
              <w:t>11</w:t>
            </w:r>
          </w:p>
        </w:tc>
        <w:tc>
          <w:tcPr>
            <w:tcW w:type="dxa" w:w="2736"/>
          </w:tcPr>
          <w:p>
            <w:r>
              <w:rPr>
                <w:b w:val="0"/>
              </w:rPr>
              <w:t>D2.3 Moving around inside the home</w:t>
            </w:r>
          </w:p>
        </w:tc>
        <w:tc>
          <w:tcPr>
            <w:tcW w:type="dxa" w:w="1728"/>
          </w:tcPr>
          <w:p>
            <w:r>
              <w:rPr>
                <w:b w:val="0"/>
              </w:rPr>
              <w:t>Mobility</w:t>
            </w:r>
          </w:p>
        </w:tc>
        <w:tc>
          <w:tcPr>
            <w:tcW w:type="dxa" w:w="1296"/>
          </w:tcPr>
          <w:p>
            <w:r>
              <w:rPr>
                <w:b w:val="0"/>
              </w:rPr>
              <w:t>1.0109 (1.0049–1.0170)</w:t>
            </w:r>
          </w:p>
        </w:tc>
        <w:tc>
          <w:tcPr>
            <w:tcW w:type="dxa" w:w="1008"/>
          </w:tcPr>
          <w:p>
            <w:r>
              <w:rPr>
                <w:b w:val="0"/>
              </w:rPr>
              <w:t>12.5</w:t>
            </w:r>
          </w:p>
        </w:tc>
      </w:tr>
      <w:tr>
        <w:tc>
          <w:tcPr>
            <w:tcW w:type="dxa" w:w="3312"/>
          </w:tcPr>
          <w:p>
            <w:r>
              <w:rPr>
                <w:b w:val="0"/>
              </w:rPr>
              <w:t>12</w:t>
            </w:r>
          </w:p>
        </w:tc>
        <w:tc>
          <w:tcPr>
            <w:tcW w:type="dxa" w:w="2736"/>
          </w:tcPr>
          <w:p>
            <w:r>
              <w:rPr>
                <w:b w:val="0"/>
              </w:rPr>
              <w:t>D6.2 Barriers in the world around</w:t>
            </w:r>
          </w:p>
        </w:tc>
        <w:tc>
          <w:tcPr>
            <w:tcW w:type="dxa" w:w="1728"/>
          </w:tcPr>
          <w:p>
            <w:r>
              <w:rPr>
                <w:b w:val="0"/>
              </w:rPr>
              <w:t>Participation</w:t>
            </w:r>
          </w:p>
        </w:tc>
        <w:tc>
          <w:tcPr>
            <w:tcW w:type="dxa" w:w="1296"/>
          </w:tcPr>
          <w:p>
            <w:r>
              <w:rPr>
                <w:b w:val="0"/>
              </w:rPr>
              <w:t>1.0058 (1.0025–1.0091)</w:t>
            </w:r>
          </w:p>
        </w:tc>
        <w:tc>
          <w:tcPr>
            <w:tcW w:type="dxa" w:w="1008"/>
          </w:tcPr>
          <w:p>
            <w:r>
              <w:rPr>
                <w:b w:val="0"/>
              </w:rPr>
              <w:t>12.0</w:t>
            </w:r>
          </w:p>
        </w:tc>
      </w:tr>
      <w:tr>
        <w:tc>
          <w:tcPr>
            <w:tcW w:type="dxa" w:w="3312"/>
          </w:tcPr>
          <w:p>
            <w:r>
              <w:rPr>
                <w:b w:val="0"/>
              </w:rPr>
              <w:t>13</w:t>
            </w:r>
          </w:p>
        </w:tc>
        <w:tc>
          <w:tcPr>
            <w:tcW w:type="dxa" w:w="2736"/>
          </w:tcPr>
          <w:p>
            <w:r>
              <w:rPr>
                <w:b w:val="0"/>
              </w:rPr>
              <w:t>D2.4 Getting out of the home</w:t>
            </w:r>
          </w:p>
        </w:tc>
        <w:tc>
          <w:tcPr>
            <w:tcW w:type="dxa" w:w="1728"/>
          </w:tcPr>
          <w:p>
            <w:r>
              <w:rPr>
                <w:b w:val="0"/>
              </w:rPr>
              <w:t>Mobility</w:t>
            </w:r>
          </w:p>
        </w:tc>
        <w:tc>
          <w:tcPr>
            <w:tcW w:type="dxa" w:w="1296"/>
          </w:tcPr>
          <w:p>
            <w:r>
              <w:rPr>
                <w:b w:val="0"/>
              </w:rPr>
              <w:t>0.9913 (0.9861–0.9966)</w:t>
            </w:r>
          </w:p>
        </w:tc>
        <w:tc>
          <w:tcPr>
            <w:tcW w:type="dxa" w:w="1008"/>
          </w:tcPr>
          <w:p>
            <w:r>
              <w:rPr>
                <w:b w:val="0"/>
              </w:rPr>
              <w:t>10.5</w:t>
            </w:r>
          </w:p>
        </w:tc>
      </w:tr>
      <w:tr>
        <w:tc>
          <w:tcPr>
            <w:tcW w:type="dxa" w:w="3312"/>
          </w:tcPr>
          <w:p>
            <w:r>
              <w:rPr>
                <w:b w:val="0"/>
              </w:rPr>
              <w:t>14</w:t>
            </w:r>
          </w:p>
        </w:tc>
        <w:tc>
          <w:tcPr>
            <w:tcW w:type="dxa" w:w="2736"/>
          </w:tcPr>
          <w:p>
            <w:r>
              <w:rPr>
                <w:b w:val="0"/>
              </w:rPr>
              <w:t>D6.6 Financial drain</w:t>
            </w:r>
          </w:p>
        </w:tc>
        <w:tc>
          <w:tcPr>
            <w:tcW w:type="dxa" w:w="1728"/>
          </w:tcPr>
          <w:p>
            <w:r>
              <w:rPr>
                <w:b w:val="0"/>
              </w:rPr>
              <w:t>Participation</w:t>
            </w:r>
          </w:p>
        </w:tc>
        <w:tc>
          <w:tcPr>
            <w:tcW w:type="dxa" w:w="1296"/>
          </w:tcPr>
          <w:p>
            <w:r>
              <w:rPr>
                <w:b w:val="0"/>
              </w:rPr>
              <w:t>1.0062 (1.0020–1.0103)</w:t>
            </w:r>
          </w:p>
        </w:tc>
        <w:tc>
          <w:tcPr>
            <w:tcW w:type="dxa" w:w="1008"/>
          </w:tcPr>
          <w:p>
            <w:r>
              <w:rPr>
                <w:b w:val="0"/>
              </w:rPr>
              <w:t>8.5</w:t>
            </w:r>
          </w:p>
        </w:tc>
      </w:tr>
      <w:tr>
        <w:tc>
          <w:tcPr>
            <w:tcW w:type="dxa" w:w="3312"/>
          </w:tcPr>
          <w:p>
            <w:r>
              <w:rPr>
                <w:b w:val="0"/>
              </w:rPr>
              <w:t>15</w:t>
            </w:r>
          </w:p>
        </w:tc>
        <w:tc>
          <w:tcPr>
            <w:tcW w:type="dxa" w:w="2736"/>
          </w:tcPr>
          <w:p>
            <w:r>
              <w:rPr>
                <w:b w:val="0"/>
              </w:rPr>
              <w:t>D2.5 Walking a long distance</w:t>
            </w:r>
          </w:p>
        </w:tc>
        <w:tc>
          <w:tcPr>
            <w:tcW w:type="dxa" w:w="1728"/>
          </w:tcPr>
          <w:p>
            <w:r>
              <w:rPr>
                <w:b w:val="0"/>
              </w:rPr>
              <w:t>Mobility</w:t>
            </w:r>
          </w:p>
        </w:tc>
        <w:tc>
          <w:tcPr>
            <w:tcW w:type="dxa" w:w="1296"/>
          </w:tcPr>
          <w:p>
            <w:r>
              <w:rPr>
                <w:b w:val="0"/>
              </w:rPr>
              <w:t>1.0073 (1.0017–1.0128)</w:t>
            </w:r>
          </w:p>
        </w:tc>
        <w:tc>
          <w:tcPr>
            <w:tcW w:type="dxa" w:w="1008"/>
          </w:tcPr>
          <w:p>
            <w:r>
              <w:rPr>
                <w:b w:val="0"/>
              </w:rPr>
              <w:t>6.6</w:t>
            </w:r>
          </w:p>
        </w:tc>
      </w:tr>
      <w:tr>
        <w:tc>
          <w:tcPr>
            <w:tcW w:type="dxa" w:w="3312"/>
          </w:tcPr>
          <w:p>
            <w:r>
              <w:rPr>
                <w:b w:val="0"/>
              </w:rPr>
              <w:t>16</w:t>
            </w:r>
          </w:p>
        </w:tc>
        <w:tc>
          <w:tcPr>
            <w:tcW w:type="dxa" w:w="2736"/>
          </w:tcPr>
          <w:p>
            <w:r>
              <w:rPr>
                <w:b w:val="0"/>
              </w:rPr>
              <w:t>D1.6 Starting and maintaining a conversation</w:t>
            </w:r>
          </w:p>
        </w:tc>
        <w:tc>
          <w:tcPr>
            <w:tcW w:type="dxa" w:w="1728"/>
          </w:tcPr>
          <w:p>
            <w:r>
              <w:rPr>
                <w:b w:val="0"/>
              </w:rPr>
              <w:t>Cognition</w:t>
            </w:r>
          </w:p>
        </w:tc>
        <w:tc>
          <w:tcPr>
            <w:tcW w:type="dxa" w:w="1296"/>
          </w:tcPr>
          <w:p>
            <w:r>
              <w:rPr>
                <w:b w:val="0"/>
              </w:rPr>
              <w:t>1.0056 (0.9997–1.0114)</w:t>
            </w:r>
          </w:p>
        </w:tc>
        <w:tc>
          <w:tcPr>
            <w:tcW w:type="dxa" w:w="1008"/>
          </w:tcPr>
          <w:p>
            <w:r>
              <w:rPr>
                <w:b w:val="0"/>
              </w:rPr>
              <w:t>3.5</w:t>
            </w:r>
          </w:p>
        </w:tc>
      </w:tr>
      <w:tr>
        <w:tc>
          <w:tcPr>
            <w:tcW w:type="dxa" w:w="3312"/>
          </w:tcPr>
          <w:p>
            <w:r>
              <w:rPr>
                <w:b w:val="0"/>
              </w:rPr>
              <w:t>17</w:t>
            </w:r>
          </w:p>
        </w:tc>
        <w:tc>
          <w:tcPr>
            <w:tcW w:type="dxa" w:w="2736"/>
          </w:tcPr>
          <w:p>
            <w:r>
              <w:rPr>
                <w:b w:val="0"/>
              </w:rPr>
              <w:t>D4.1 Dealing with people not known</w:t>
            </w:r>
          </w:p>
        </w:tc>
        <w:tc>
          <w:tcPr>
            <w:tcW w:type="dxa" w:w="1728"/>
          </w:tcPr>
          <w:p>
            <w:r>
              <w:rPr>
                <w:b w:val="0"/>
              </w:rPr>
              <w:t>Getting Along</w:t>
            </w:r>
          </w:p>
        </w:tc>
        <w:tc>
          <w:tcPr>
            <w:tcW w:type="dxa" w:w="1296"/>
          </w:tcPr>
          <w:p>
            <w:r>
              <w:rPr>
                <w:b w:val="0"/>
              </w:rPr>
              <w:t>1.0050 (0.9997–1.0103)</w:t>
            </w:r>
          </w:p>
        </w:tc>
        <w:tc>
          <w:tcPr>
            <w:tcW w:type="dxa" w:w="1008"/>
          </w:tcPr>
          <w:p>
            <w:r>
              <w:rPr>
                <w:b w:val="0"/>
              </w:rPr>
              <w:t>3.4</w:t>
            </w:r>
          </w:p>
        </w:tc>
      </w:tr>
      <w:tr>
        <w:tc>
          <w:tcPr>
            <w:tcW w:type="dxa" w:w="3312"/>
          </w:tcPr>
          <w:p>
            <w:r>
              <w:rPr>
                <w:b w:val="0"/>
              </w:rPr>
              <w:t>18</w:t>
            </w:r>
          </w:p>
        </w:tc>
        <w:tc>
          <w:tcPr>
            <w:tcW w:type="dxa" w:w="2736"/>
          </w:tcPr>
          <w:p>
            <w:r>
              <w:rPr>
                <w:b w:val="0"/>
              </w:rPr>
              <w:t>D3.2 Getting dressed</w:t>
            </w:r>
          </w:p>
        </w:tc>
        <w:tc>
          <w:tcPr>
            <w:tcW w:type="dxa" w:w="1728"/>
          </w:tcPr>
          <w:p>
            <w:r>
              <w:rPr>
                <w:b w:val="0"/>
              </w:rPr>
              <w:t>Self-Care</w:t>
            </w:r>
          </w:p>
        </w:tc>
        <w:tc>
          <w:tcPr>
            <w:tcW w:type="dxa" w:w="1296"/>
          </w:tcPr>
          <w:p>
            <w:r>
              <w:rPr>
                <w:b w:val="0"/>
              </w:rPr>
              <w:t>0.9926 (0.9843–1.0009)</w:t>
            </w:r>
          </w:p>
        </w:tc>
        <w:tc>
          <w:tcPr>
            <w:tcW w:type="dxa" w:w="1008"/>
          </w:tcPr>
          <w:p>
            <w:r>
              <w:rPr>
                <w:b w:val="0"/>
              </w:rPr>
              <w:t>3.0</w:t>
            </w:r>
          </w:p>
        </w:tc>
      </w:tr>
      <w:tr>
        <w:tc>
          <w:tcPr>
            <w:tcW w:type="dxa" w:w="3312"/>
          </w:tcPr>
          <w:p>
            <w:r>
              <w:rPr>
                <w:b w:val="0"/>
              </w:rPr>
              <w:t>19</w:t>
            </w:r>
          </w:p>
        </w:tc>
        <w:tc>
          <w:tcPr>
            <w:tcW w:type="dxa" w:w="2736"/>
          </w:tcPr>
          <w:p>
            <w:r>
              <w:rPr>
                <w:b w:val="0"/>
              </w:rPr>
              <w:t>D1.4 Learning a new task</w:t>
            </w:r>
          </w:p>
        </w:tc>
        <w:tc>
          <w:tcPr>
            <w:tcW w:type="dxa" w:w="1728"/>
          </w:tcPr>
          <w:p>
            <w:r>
              <w:rPr>
                <w:b w:val="0"/>
              </w:rPr>
              <w:t>Cognition</w:t>
            </w:r>
          </w:p>
        </w:tc>
        <w:tc>
          <w:tcPr>
            <w:tcW w:type="dxa" w:w="1296"/>
          </w:tcPr>
          <w:p>
            <w:r>
              <w:rPr>
                <w:b w:val="0"/>
              </w:rPr>
              <w:t>1.0055 (0.9990–1.0121)</w:t>
            </w:r>
          </w:p>
        </w:tc>
        <w:tc>
          <w:tcPr>
            <w:tcW w:type="dxa" w:w="1008"/>
          </w:tcPr>
          <w:p>
            <w:r>
              <w:rPr>
                <w:b w:val="0"/>
              </w:rPr>
              <w:t>2.7</w:t>
            </w:r>
          </w:p>
        </w:tc>
      </w:tr>
      <w:tr>
        <w:tc>
          <w:tcPr>
            <w:tcW w:type="dxa" w:w="3312"/>
          </w:tcPr>
          <w:p>
            <w:r>
              <w:rPr>
                <w:b w:val="0"/>
              </w:rPr>
              <w:t>20</w:t>
            </w:r>
          </w:p>
        </w:tc>
        <w:tc>
          <w:tcPr>
            <w:tcW w:type="dxa" w:w="2736"/>
          </w:tcPr>
          <w:p>
            <w:r>
              <w:rPr>
                <w:b w:val="0"/>
              </w:rPr>
              <w:t>D1.2 Remembering</w:t>
            </w:r>
          </w:p>
        </w:tc>
        <w:tc>
          <w:tcPr>
            <w:tcW w:type="dxa" w:w="1728"/>
          </w:tcPr>
          <w:p>
            <w:r>
              <w:rPr>
                <w:b w:val="0"/>
              </w:rPr>
              <w:t>Cognition</w:t>
            </w:r>
          </w:p>
        </w:tc>
        <w:tc>
          <w:tcPr>
            <w:tcW w:type="dxa" w:w="1296"/>
          </w:tcPr>
          <w:p>
            <w:r>
              <w:rPr>
                <w:b w:val="0"/>
              </w:rPr>
              <w:t>0.9957 (0.9902–1.0013)</w:t>
            </w:r>
          </w:p>
        </w:tc>
        <w:tc>
          <w:tcPr>
            <w:tcW w:type="dxa" w:w="1008"/>
          </w:tcPr>
          <w:p>
            <w:r>
              <w:rPr>
                <w:b w:val="0"/>
              </w:rPr>
              <w:t>2.2</w:t>
            </w:r>
          </w:p>
        </w:tc>
      </w:tr>
      <w:tr>
        <w:tc>
          <w:tcPr>
            <w:tcW w:type="dxa" w:w="3312"/>
          </w:tcPr>
          <w:p>
            <w:r>
              <w:rPr>
                <w:b w:val="0"/>
              </w:rPr>
              <w:t>21</w:t>
            </w:r>
          </w:p>
        </w:tc>
        <w:tc>
          <w:tcPr>
            <w:tcW w:type="dxa" w:w="2736"/>
          </w:tcPr>
          <w:p>
            <w:r>
              <w:rPr>
                <w:b w:val="0"/>
              </w:rPr>
              <w:t>D6.1 Community activities</w:t>
            </w:r>
          </w:p>
        </w:tc>
        <w:tc>
          <w:tcPr>
            <w:tcW w:type="dxa" w:w="1728"/>
          </w:tcPr>
          <w:p>
            <w:r>
              <w:rPr>
                <w:b w:val="0"/>
              </w:rPr>
              <w:t>Participation</w:t>
            </w:r>
          </w:p>
        </w:tc>
        <w:tc>
          <w:tcPr>
            <w:tcW w:type="dxa" w:w="1296"/>
          </w:tcPr>
          <w:p>
            <w:r>
              <w:rPr>
                <w:b w:val="0"/>
              </w:rPr>
              <w:t>0.9973 (0.9932–1.0015)</w:t>
            </w:r>
          </w:p>
        </w:tc>
        <w:tc>
          <w:tcPr>
            <w:tcW w:type="dxa" w:w="1008"/>
          </w:tcPr>
          <w:p>
            <w:r>
              <w:rPr>
                <w:b w:val="0"/>
              </w:rPr>
              <w:t>1.6</w:t>
            </w:r>
          </w:p>
        </w:tc>
      </w:tr>
      <w:tr>
        <w:tc>
          <w:tcPr>
            <w:tcW w:type="dxa" w:w="3312"/>
          </w:tcPr>
          <w:p>
            <w:r>
              <w:rPr>
                <w:b w:val="0"/>
              </w:rPr>
              <w:t>22</w:t>
            </w:r>
          </w:p>
        </w:tc>
        <w:tc>
          <w:tcPr>
            <w:tcW w:type="dxa" w:w="2736"/>
          </w:tcPr>
          <w:p>
            <w:r>
              <w:rPr>
                <w:b w:val="0"/>
              </w:rPr>
              <w:t>D4.4 Making new friends</w:t>
            </w:r>
          </w:p>
        </w:tc>
        <w:tc>
          <w:tcPr>
            <w:tcW w:type="dxa" w:w="1728"/>
          </w:tcPr>
          <w:p>
            <w:r>
              <w:rPr>
                <w:b w:val="0"/>
              </w:rPr>
              <w:t>Getting Along</w:t>
            </w:r>
          </w:p>
        </w:tc>
        <w:tc>
          <w:tcPr>
            <w:tcW w:type="dxa" w:w="1296"/>
          </w:tcPr>
          <w:p>
            <w:r>
              <w:rPr>
                <w:b w:val="0"/>
              </w:rPr>
              <w:t>0.9963 (0.9903–1.0023)</w:t>
            </w:r>
          </w:p>
        </w:tc>
        <w:tc>
          <w:tcPr>
            <w:tcW w:type="dxa" w:w="1008"/>
          </w:tcPr>
          <w:p>
            <w:r>
              <w:rPr>
                <w:b w:val="0"/>
              </w:rPr>
              <w:t>1.5</w:t>
            </w:r>
          </w:p>
        </w:tc>
      </w:tr>
      <w:tr>
        <w:tc>
          <w:tcPr>
            <w:tcW w:type="dxa" w:w="3312"/>
          </w:tcPr>
          <w:p>
            <w:r>
              <w:rPr>
                <w:b w:val="0"/>
              </w:rPr>
              <w:t>23</w:t>
            </w:r>
          </w:p>
        </w:tc>
        <w:tc>
          <w:tcPr>
            <w:tcW w:type="dxa" w:w="2736"/>
          </w:tcPr>
          <w:p>
            <w:r>
              <w:rPr>
                <w:b w:val="0"/>
              </w:rPr>
              <w:t>D6.8 Relaxation and pleasure</w:t>
            </w:r>
          </w:p>
        </w:tc>
        <w:tc>
          <w:tcPr>
            <w:tcW w:type="dxa" w:w="1728"/>
          </w:tcPr>
          <w:p>
            <w:r>
              <w:rPr>
                <w:b w:val="0"/>
              </w:rPr>
              <w:t>Participation</w:t>
            </w:r>
          </w:p>
        </w:tc>
        <w:tc>
          <w:tcPr>
            <w:tcW w:type="dxa" w:w="1296"/>
          </w:tcPr>
          <w:p>
            <w:r>
              <w:rPr>
                <w:b w:val="0"/>
              </w:rPr>
              <w:t>1.0018 (0.9980–1.0057)</w:t>
            </w:r>
          </w:p>
        </w:tc>
        <w:tc>
          <w:tcPr>
            <w:tcW w:type="dxa" w:w="1008"/>
          </w:tcPr>
          <w:p>
            <w:r>
              <w:rPr>
                <w:b w:val="0"/>
              </w:rPr>
              <w:t>0.9</w:t>
            </w:r>
          </w:p>
        </w:tc>
      </w:tr>
      <w:tr>
        <w:tc>
          <w:tcPr>
            <w:tcW w:type="dxa" w:w="3312"/>
          </w:tcPr>
          <w:p>
            <w:r>
              <w:rPr>
                <w:b w:val="0"/>
              </w:rPr>
              <w:t>24</w:t>
            </w:r>
          </w:p>
        </w:tc>
        <w:tc>
          <w:tcPr>
            <w:tcW w:type="dxa" w:w="2736"/>
          </w:tcPr>
          <w:p>
            <w:r>
              <w:rPr>
                <w:b w:val="0"/>
              </w:rPr>
              <w:t>D6.4 Time spent on the health condition</w:t>
            </w:r>
          </w:p>
        </w:tc>
        <w:tc>
          <w:tcPr>
            <w:tcW w:type="dxa" w:w="1728"/>
          </w:tcPr>
          <w:p>
            <w:r>
              <w:rPr>
                <w:b w:val="0"/>
              </w:rPr>
              <w:t>Participation</w:t>
            </w:r>
          </w:p>
        </w:tc>
        <w:tc>
          <w:tcPr>
            <w:tcW w:type="dxa" w:w="1296"/>
          </w:tcPr>
          <w:p>
            <w:r>
              <w:rPr>
                <w:b w:val="0"/>
              </w:rPr>
              <w:t>0.9986 (0.9949–1.0023)</w:t>
            </w:r>
          </w:p>
        </w:tc>
        <w:tc>
          <w:tcPr>
            <w:tcW w:type="dxa" w:w="1008"/>
          </w:tcPr>
          <w:p>
            <w:r>
              <w:rPr>
                <w:b w:val="0"/>
              </w:rPr>
              <w:t>0.6</w:t>
            </w:r>
          </w:p>
        </w:tc>
      </w:tr>
      <w:tr>
        <w:tc>
          <w:tcPr>
            <w:tcW w:type="dxa" w:w="3312"/>
          </w:tcPr>
          <w:p>
            <w:r>
              <w:rPr>
                <w:b w:val="0"/>
              </w:rPr>
              <w:t>25</w:t>
            </w:r>
          </w:p>
        </w:tc>
        <w:tc>
          <w:tcPr>
            <w:tcW w:type="dxa" w:w="2736"/>
          </w:tcPr>
          <w:p>
            <w:r>
              <w:rPr>
                <w:b w:val="0"/>
              </w:rPr>
              <w:t>D5.2 Most important household tasks well</w:t>
            </w:r>
          </w:p>
        </w:tc>
        <w:tc>
          <w:tcPr>
            <w:tcW w:type="dxa" w:w="1728"/>
          </w:tcPr>
          <w:p>
            <w:r>
              <w:rPr>
                <w:b w:val="0"/>
              </w:rPr>
              <w:t>Life Activities</w:t>
            </w:r>
          </w:p>
        </w:tc>
        <w:tc>
          <w:tcPr>
            <w:tcW w:type="dxa" w:w="1296"/>
          </w:tcPr>
          <w:p>
            <w:r>
              <w:rPr>
                <w:b w:val="0"/>
              </w:rPr>
              <w:t>1.0046 (0.9904–1.0191)</w:t>
            </w:r>
          </w:p>
        </w:tc>
        <w:tc>
          <w:tcPr>
            <w:tcW w:type="dxa" w:w="1008"/>
          </w:tcPr>
          <w:p>
            <w:r>
              <w:rPr>
                <w:b w:val="0"/>
              </w:rPr>
              <w:t>0.4</w:t>
            </w:r>
          </w:p>
        </w:tc>
      </w:tr>
      <w:tr>
        <w:tc>
          <w:tcPr>
            <w:tcW w:type="dxa" w:w="3312"/>
          </w:tcPr>
          <w:p>
            <w:r>
              <w:rPr>
                <w:b w:val="0"/>
              </w:rPr>
              <w:t>26</w:t>
            </w:r>
          </w:p>
        </w:tc>
        <w:tc>
          <w:tcPr>
            <w:tcW w:type="dxa" w:w="2736"/>
          </w:tcPr>
          <w:p>
            <w:r>
              <w:rPr>
                <w:b w:val="0"/>
              </w:rPr>
              <w:t>D6.3 Living with dignity</w:t>
            </w:r>
          </w:p>
        </w:tc>
        <w:tc>
          <w:tcPr>
            <w:tcW w:type="dxa" w:w="1728"/>
          </w:tcPr>
          <w:p>
            <w:r>
              <w:rPr>
                <w:b w:val="0"/>
              </w:rPr>
              <w:t>Participation</w:t>
            </w:r>
          </w:p>
        </w:tc>
        <w:tc>
          <w:tcPr>
            <w:tcW w:type="dxa" w:w="1296"/>
          </w:tcPr>
          <w:p>
            <w:r>
              <w:rPr>
                <w:b w:val="0"/>
              </w:rPr>
              <w:t>0.9990 (0.9952–1.0028)</w:t>
            </w:r>
          </w:p>
        </w:tc>
        <w:tc>
          <w:tcPr>
            <w:tcW w:type="dxa" w:w="1008"/>
          </w:tcPr>
          <w:p>
            <w:r>
              <w:rPr>
                <w:b w:val="0"/>
              </w:rPr>
              <w:t>0.3</w:t>
            </w:r>
          </w:p>
        </w:tc>
      </w:tr>
      <w:tr>
        <w:tc>
          <w:tcPr>
            <w:tcW w:type="dxa" w:w="3312"/>
          </w:tcPr>
          <w:p>
            <w:r>
              <w:rPr>
                <w:b w:val="0"/>
              </w:rPr>
              <w:t>27</w:t>
            </w:r>
          </w:p>
        </w:tc>
        <w:tc>
          <w:tcPr>
            <w:tcW w:type="dxa" w:w="2736"/>
          </w:tcPr>
          <w:p>
            <w:r>
              <w:rPr>
                <w:b w:val="0"/>
              </w:rPr>
              <w:t>D3.1 Washing whole body</w:t>
            </w:r>
          </w:p>
        </w:tc>
        <w:tc>
          <w:tcPr>
            <w:tcW w:type="dxa" w:w="1728"/>
          </w:tcPr>
          <w:p>
            <w:r>
              <w:rPr>
                <w:b w:val="0"/>
              </w:rPr>
              <w:t>Self-Care</w:t>
            </w:r>
          </w:p>
        </w:tc>
        <w:tc>
          <w:tcPr>
            <w:tcW w:type="dxa" w:w="1296"/>
          </w:tcPr>
          <w:p>
            <w:r>
              <w:rPr>
                <w:b w:val="0"/>
              </w:rPr>
              <w:t>0.9987 (0.9911–1.0063)</w:t>
            </w:r>
          </w:p>
        </w:tc>
        <w:tc>
          <w:tcPr>
            <w:tcW w:type="dxa" w:w="1008"/>
          </w:tcPr>
          <w:p>
            <w:r>
              <w:rPr>
                <w:b w:val="0"/>
              </w:rPr>
              <w:t>0.1</w:t>
            </w:r>
          </w:p>
        </w:tc>
      </w:tr>
      <w:tr>
        <w:tc>
          <w:tcPr>
            <w:tcW w:type="dxa" w:w="3312"/>
          </w:tcPr>
          <w:p>
            <w:r>
              <w:rPr>
                <w:b w:val="0"/>
              </w:rPr>
              <w:t>28</w:t>
            </w:r>
          </w:p>
        </w:tc>
        <w:tc>
          <w:tcPr>
            <w:tcW w:type="dxa" w:w="2736"/>
          </w:tcPr>
          <w:p>
            <w:r>
              <w:rPr>
                <w:b w:val="0"/>
              </w:rPr>
              <w:t>D4.2 Maintaining a friendship</w:t>
            </w:r>
          </w:p>
        </w:tc>
        <w:tc>
          <w:tcPr>
            <w:tcW w:type="dxa" w:w="1728"/>
          </w:tcPr>
          <w:p>
            <w:r>
              <w:rPr>
                <w:b w:val="0"/>
              </w:rPr>
              <w:t>Getting Along</w:t>
            </w:r>
          </w:p>
        </w:tc>
        <w:tc>
          <w:tcPr>
            <w:tcW w:type="dxa" w:w="1296"/>
          </w:tcPr>
          <w:p>
            <w:r>
              <w:rPr>
                <w:b w:val="0"/>
              </w:rPr>
              <w:t>1.0009 (0.9951–1.0068)</w:t>
            </w:r>
          </w:p>
        </w:tc>
        <w:tc>
          <w:tcPr>
            <w:tcW w:type="dxa" w:w="1008"/>
          </w:tcPr>
          <w:p>
            <w:r>
              <w:rPr>
                <w:b w:val="0"/>
              </w:rPr>
              <w:t>0.1</w:t>
            </w:r>
          </w:p>
        </w:tc>
      </w:tr>
      <w:tr>
        <w:tc>
          <w:tcPr>
            <w:tcW w:type="dxa" w:w="3312"/>
          </w:tcPr>
          <w:p>
            <w:r>
              <w:rPr>
                <w:b w:val="0"/>
              </w:rPr>
              <w:t>29</w:t>
            </w:r>
          </w:p>
        </w:tc>
        <w:tc>
          <w:tcPr>
            <w:tcW w:type="dxa" w:w="2736"/>
          </w:tcPr>
          <w:p>
            <w:r>
              <w:rPr>
                <w:b w:val="0"/>
              </w:rPr>
              <w:t>D5.1 Household responsibilities</w:t>
            </w:r>
          </w:p>
        </w:tc>
        <w:tc>
          <w:tcPr>
            <w:tcW w:type="dxa" w:w="1728"/>
          </w:tcPr>
          <w:p>
            <w:r>
              <w:rPr>
                <w:b w:val="0"/>
              </w:rPr>
              <w:t>Life Activities</w:t>
            </w:r>
          </w:p>
        </w:tc>
        <w:tc>
          <w:tcPr>
            <w:tcW w:type="dxa" w:w="1296"/>
          </w:tcPr>
          <w:p>
            <w:r>
              <w:rPr>
                <w:b w:val="0"/>
              </w:rPr>
              <w:t>0.9985 (0.9892–1.0080)</w:t>
            </w:r>
          </w:p>
        </w:tc>
        <w:tc>
          <w:tcPr>
            <w:tcW w:type="dxa" w:w="1008"/>
          </w:tcPr>
          <w:p>
            <w:r>
              <w:rPr>
                <w:b w:val="0"/>
              </w:rPr>
              <w:t>0.1</w:t>
            </w:r>
          </w:p>
        </w:tc>
      </w:tr>
      <w:tr>
        <w:tc>
          <w:tcPr>
            <w:tcW w:type="dxa" w:w="3312"/>
          </w:tcPr>
          <w:p>
            <w:r>
              <w:rPr>
                <w:b w:val="0"/>
              </w:rPr>
              <w:t>30</w:t>
            </w:r>
          </w:p>
        </w:tc>
        <w:tc>
          <w:tcPr>
            <w:tcW w:type="dxa" w:w="2736"/>
          </w:tcPr>
          <w:p>
            <w:r>
              <w:rPr>
                <w:b w:val="0"/>
              </w:rPr>
              <w:t>D1.3 Problem-solving</w:t>
            </w:r>
          </w:p>
        </w:tc>
        <w:tc>
          <w:tcPr>
            <w:tcW w:type="dxa" w:w="1728"/>
          </w:tcPr>
          <w:p>
            <w:r>
              <w:rPr>
                <w:b w:val="0"/>
              </w:rPr>
              <w:t>Cognition</w:t>
            </w:r>
          </w:p>
        </w:tc>
        <w:tc>
          <w:tcPr>
            <w:tcW w:type="dxa" w:w="1296"/>
          </w:tcPr>
          <w:p>
            <w:r>
              <w:rPr>
                <w:b w:val="0"/>
              </w:rPr>
              <w:t>1.0002 (0.9943–1.0062)</w:t>
            </w:r>
          </w:p>
        </w:tc>
        <w:tc>
          <w:tcPr>
            <w:tcW w:type="dxa" w:w="1008"/>
          </w:tcPr>
          <w:p>
            <w:r>
              <w:rPr>
                <w:b w:val="0"/>
              </w:rPr>
              <w:t>0.0</w:t>
            </w:r>
          </w:p>
        </w:tc>
      </w:tr>
    </w:tbl>
    <w:p>
      <w:pPr>
        <w:spacing w:after="160"/>
      </w:pPr>
      <w:r>
        <w:rPr>
          <w:color w:val="444444"/>
          <w:sz w:val="18"/>
        </w:rPr>
        <w:t>All 30 items on their recorded five-level responses, entered simultaneously with the same covariate adjustment, among participants with complete data on every item. † marks the four items carried forward in the main analysis. Wald χ² does not depend on item scaling. Several items return hazard ratios just below one, which should be read as in the main text.</w:t>
      </w:r>
    </w:p>
    <w:p>
      <w:pPr>
        <w:keepNext/>
        <w:spacing w:before="160" w:after="60"/>
      </w:pPr>
      <w:r>
        <w:rPr>
          <w:b/>
          <w:sz w:val="22"/>
        </w:rPr>
        <w:t>Table S7.4. What items outside Mobility and Cognition add (validation n = 27,040; 15,621 deaths)</w:t>
      </w:r>
    </w:p>
    <w:tbl>
      <w:tblPr>
        <w:tblW w:type="auto" w:w="0"/>
        <w:tblLook w:firstColumn="1" w:firstRow="1" w:lastColumn="0" w:lastRow="0" w:noHBand="0" w:noVBand="1" w:val="04A0"/>
        <w:tblBorders>
          <w:top w:val="single" w:sz="4" w:color="888888"/>
          <w:left w:val="single" w:sz="4" w:color="888888"/>
          <w:bottom w:val="single" w:sz="4" w:color="888888"/>
          <w:right w:val="single" w:sz="4" w:color="888888"/>
          <w:insideH w:val="single" w:sz="4" w:color="888888"/>
          <w:insideV w:val="single" w:sz="4" w:color="888888"/>
        </w:tblBorders>
      </w:tblPr>
      <w:tblGrid>
        <w:gridCol w:w="2880"/>
        <w:gridCol w:w="2880"/>
        <w:gridCol w:w="2880"/>
      </w:tblGrid>
      <w:tr>
        <w:trPr>
          <w:cantSplit/>
          <w:tblHeader/>
        </w:trPr>
        <w:tc>
          <w:tcPr>
            <w:tcW w:type="dxa" w:w="6192"/>
          </w:tcPr>
          <w:p>
            <w:r>
              <w:rPr>
                <w:b/>
              </w:rPr>
              <w:t>Model</w:t>
            </w:r>
          </w:p>
        </w:tc>
        <w:tc>
          <w:tcPr>
            <w:tcW w:type="dxa" w:w="1584"/>
          </w:tcPr>
          <w:p>
            <w:r>
              <w:rPr>
                <w:b/>
              </w:rPr>
              <w:t>C-index (95% CI)</w:t>
            </w:r>
          </w:p>
        </w:tc>
        <w:tc>
          <w:tcPr>
            <w:tcW w:type="dxa" w:w="1584"/>
          </w:tcPr>
          <w:p>
            <w:r>
              <w:rPr>
                <w:b/>
              </w:rPr>
              <w:t>Difference vs the four items (95% CI)</w:t>
            </w:r>
          </w:p>
        </w:tc>
      </w:tr>
      <w:tr>
        <w:tc>
          <w:tcPr>
            <w:tcW w:type="dxa" w:w="6192"/>
          </w:tcPr>
          <w:p>
            <w:r>
              <w:rPr>
                <w:b w:val="0"/>
              </w:rPr>
              <w:t>Covariate model</w:t>
            </w:r>
          </w:p>
        </w:tc>
        <w:tc>
          <w:tcPr>
            <w:tcW w:type="dxa" w:w="1584"/>
          </w:tcPr>
          <w:p>
            <w:r>
              <w:rPr>
                <w:b w:val="0"/>
              </w:rPr>
              <w:t>0.6310 (0.6262–0.6355)</w:t>
            </w:r>
          </w:p>
        </w:tc>
        <w:tc>
          <w:tcPr>
            <w:tcW w:type="dxa" w:w="1584"/>
          </w:tcPr>
          <w:p>
            <w:r>
              <w:rPr>
                <w:b w:val="0"/>
              </w:rPr>
              <w:t>−0.0281 (−0.0311 to −0.0251)</w:t>
            </w:r>
          </w:p>
        </w:tc>
      </w:tr>
      <w:tr>
        <w:tc>
          <w:tcPr>
            <w:tcW w:type="dxa" w:w="6192"/>
          </w:tcPr>
          <w:p>
            <w:r>
              <w:rPr>
                <w:b w:val="0"/>
              </w:rPr>
              <w:t>Covariate model + the four items</w:t>
            </w:r>
          </w:p>
        </w:tc>
        <w:tc>
          <w:tcPr>
            <w:tcW w:type="dxa" w:w="1584"/>
          </w:tcPr>
          <w:p>
            <w:r>
              <w:rPr>
                <w:b w:val="0"/>
              </w:rPr>
              <w:t>0.6591 (0.6544–0.6635)</w:t>
            </w:r>
          </w:p>
        </w:tc>
        <w:tc>
          <w:tcPr>
            <w:tcW w:type="dxa" w:w="1584"/>
          </w:tcPr>
          <w:p>
            <w:r>
              <w:rPr>
                <w:b w:val="0"/>
              </w:rPr>
              <w:t>—</w:t>
            </w:r>
          </w:p>
        </w:tc>
      </w:tr>
      <w:tr>
        <w:tc>
          <w:tcPr>
            <w:tcW w:type="dxa" w:w="6192"/>
          </w:tcPr>
          <w:p>
            <w:r>
              <w:rPr>
                <w:b w:val="0"/>
              </w:rPr>
              <w:t>Covariate model + the four items + D4.3</w:t>
            </w:r>
          </w:p>
        </w:tc>
        <w:tc>
          <w:tcPr>
            <w:tcW w:type="dxa" w:w="1584"/>
          </w:tcPr>
          <w:p>
            <w:r>
              <w:rPr>
                <w:b w:val="0"/>
              </w:rPr>
              <w:t>0.6594 (0.6548–0.6638)</w:t>
            </w:r>
          </w:p>
        </w:tc>
        <w:tc>
          <w:tcPr>
            <w:tcW w:type="dxa" w:w="1584"/>
          </w:tcPr>
          <w:p>
            <w:r>
              <w:rPr>
                <w:b w:val="0"/>
              </w:rPr>
              <w:t>+0.0003 (−0.0001 to +0.0007)</w:t>
            </w:r>
          </w:p>
        </w:tc>
      </w:tr>
      <w:tr>
        <w:tc>
          <w:tcPr>
            <w:tcW w:type="dxa" w:w="6192"/>
          </w:tcPr>
          <w:p>
            <w:r>
              <w:rPr>
                <w:b w:val="0"/>
              </w:rPr>
              <w:t>Covariate model + the four items + the other four domains’ 19 items</w:t>
            </w:r>
          </w:p>
        </w:tc>
        <w:tc>
          <w:tcPr>
            <w:tcW w:type="dxa" w:w="1584"/>
          </w:tcPr>
          <w:p>
            <w:r>
              <w:rPr>
                <w:b w:val="0"/>
              </w:rPr>
              <w:t>0.6607 (0.6562–0.6651)</w:t>
            </w:r>
          </w:p>
        </w:tc>
        <w:tc>
          <w:tcPr>
            <w:tcW w:type="dxa" w:w="1584"/>
          </w:tcPr>
          <w:p>
            <w:r>
              <w:rPr>
                <w:b w:val="0"/>
              </w:rPr>
              <w:t>+0.0016 (+0.0010 to +0.0023)</w:t>
            </w:r>
          </w:p>
        </w:tc>
      </w:tr>
      <w:tr>
        <w:tc>
          <w:tcPr>
            <w:tcW w:type="dxa" w:w="6192"/>
          </w:tcPr>
          <w:p>
            <w:r>
              <w:rPr>
                <w:b w:val="0"/>
              </w:rPr>
              <w:t>Covariate model + all 30 items</w:t>
            </w:r>
          </w:p>
        </w:tc>
        <w:tc>
          <w:tcPr>
            <w:tcW w:type="dxa" w:w="1584"/>
          </w:tcPr>
          <w:p>
            <w:r>
              <w:rPr>
                <w:b w:val="0"/>
              </w:rPr>
              <w:t>0.6607 (0.6563–0.6652)</w:t>
            </w:r>
          </w:p>
        </w:tc>
        <w:tc>
          <w:tcPr>
            <w:tcW w:type="dxa" w:w="1584"/>
          </w:tcPr>
          <w:p>
            <w:r>
              <w:rPr>
                <w:b w:val="0"/>
              </w:rPr>
              <w:t>+0.0016 (+0.0010 to +0.0023)</w:t>
            </w:r>
          </w:p>
        </w:tc>
      </w:tr>
    </w:tbl>
    <w:p>
      <w:pPr>
        <w:spacing w:after="160"/>
      </w:pPr>
      <w:r>
        <w:rPr>
          <w:color w:val="444444"/>
          <w:sz w:val="18"/>
        </w:rPr>
        <w:t>Same random 70/30 split by participant identifier, among the participants with complete data on all 30 items; confidence intervals as in the Methods. D4.3 is the item outside Mobility and Cognition most strongly associated with death, ranking second of 30, yet its increment over the four items is not distinguishable from zero. Complete data on all 30 items require the two Participation items D6.7 and D6.8 (Supplementary Table S1.2), which are seldom recorded after 2021, so this subset is almost entirely pre-2022: median follow-up in this subset is 3.73 years against 1.70 years in the participants it excludes, which is why its death fraction (57.7%) is higher than the cohort’s (47.5%). The comparison between models is internal to this subset and is unaffected.</w:t>
      </w:r>
    </w:p>
    <w:p>
      <w:pPr>
        <w:spacing w:before="200" w:after="60"/>
      </w:pPr>
      <w:r>
        <w:rPr>
          <w:b/>
          <w:sz w:val="26"/>
        </w:rPr>
        <w:t>S8. Map of analyses to results</w:t>
      </w:r>
    </w:p>
    <w:p>
      <w:pPr>
        <w:spacing w:after="80"/>
      </w:pPr>
      <w:r>
        <w:rPr>
          <w:i w:val="0"/>
          <w:sz w:val="21"/>
        </w:rPr>
      </w:r>
    </w:p>
    <w:p>
      <w:pPr>
        <w:keepNext/>
        <w:spacing w:before="200" w:after="60"/>
      </w:pPr>
      <w:r>
        <w:rPr>
          <w:b/>
          <w:sz w:val="20"/>
        </w:rPr>
        <w:t>Table S8.1. Analysis steps and the results each produced</w:t>
      </w:r>
    </w:p>
    <w:tbl>
      <w:tblPr>
        <w:tblW w:type="auto" w:w="0"/>
        <w:tblLook w:firstColumn="1" w:firstRow="1" w:lastColumn="0" w:lastRow="0" w:noHBand="0" w:noVBand="1" w:val="04A0"/>
        <w:tblBorders>
          <w:top w:val="single" w:sz="4" w:color="888888"/>
          <w:left w:val="single" w:sz="4" w:color="888888"/>
          <w:bottom w:val="single" w:sz="4" w:color="888888"/>
          <w:right w:val="single" w:sz="4" w:color="888888"/>
          <w:insideH w:val="single" w:sz="4" w:color="888888"/>
          <w:insideV w:val="single" w:sz="4" w:color="888888"/>
        </w:tblBorders>
      </w:tblPr>
      <w:tblGrid>
        <w:gridCol w:w="4320"/>
        <w:gridCol w:w="4320"/>
      </w:tblGrid>
      <w:tr>
        <w:trPr>
          <w:cantSplit/>
          <w:tblHeader/>
        </w:trPr>
        <w:tc>
          <w:tcPr>
            <w:tcW w:type="dxa" w:w="2736"/>
          </w:tcPr>
          <w:p>
            <w:r>
              <w:t>Analysis step</w:t>
            </w:r>
          </w:p>
        </w:tc>
        <w:tc>
          <w:tcPr>
            <w:tcW w:type="dxa" w:w="6624"/>
          </w:tcPr>
          <w:p>
            <w:r>
              <w:t>Results produced</w:t>
            </w:r>
          </w:p>
        </w:tc>
      </w:tr>
      <w:tr>
        <w:tc>
          <w:tcPr>
            <w:tcW w:type="dxa" w:w="2736"/>
          </w:tcPr>
          <w:p>
            <w:r>
              <w:t>Cohort construction, missing data and instrument scoring</w:t>
            </w:r>
          </w:p>
        </w:tc>
        <w:tc>
          <w:tcPr>
            <w:tcW w:type="dxa" w:w="6624"/>
          </w:tcPr>
          <w:p>
            <w:r>
              <w:t>Table 1; S1.1–S1.4</w:t>
            </w:r>
          </w:p>
        </w:tc>
      </w:tr>
      <w:tr>
        <w:tc>
          <w:tcPr>
            <w:tcW w:type="dxa" w:w="2736"/>
          </w:tcPr>
          <w:p>
            <w:r>
              <w:t>Domain and item Cox models, the tertile summary, and the random and temporal evaluations</w:t>
            </w:r>
          </w:p>
        </w:tc>
        <w:tc>
          <w:tcPr>
            <w:tcW w:type="dxa" w:w="6624"/>
          </w:tcPr>
          <w:p>
            <w:r>
              <w:t>S2.1, S3.1, S4.2, S5.1, S5.2, S6.1–S6.5</w:t>
            </w:r>
          </w:p>
        </w:tc>
      </w:tr>
      <w:tr>
        <w:tc>
          <w:tcPr>
            <w:tcW w:type="dxa" w:w="2736"/>
          </w:tcPr>
          <w:p>
            <w:r>
              <w:t>Selection of the four items and the counting rule</w:t>
            </w:r>
          </w:p>
        </w:tc>
        <w:tc>
          <w:tcPr>
            <w:tcW w:type="dxa" w:w="6624"/>
          </w:tcPr>
          <w:p>
            <w:r>
              <w:t>Table 2; S3.1–S3.3</w:t>
            </w:r>
          </w:p>
        </w:tc>
      </w:tr>
      <w:tr>
        <w:tc>
          <w:tcPr>
            <w:tcW w:type="dxa" w:w="2736"/>
          </w:tcPr>
          <w:p>
            <w:r>
              <w:t>Mortality by number of difficulties, overall and within CDR stage, with confidence intervals</w:t>
            </w:r>
          </w:p>
        </w:tc>
        <w:tc>
          <w:tcPr>
            <w:tcW w:type="dxa" w:w="6624"/>
          </w:tcPr>
          <w:p>
            <w:r>
              <w:t>Table 3; S4.1; Figs 1 and 2</w:t>
            </w:r>
          </w:p>
        </w:tc>
      </w:tr>
      <w:tr>
        <w:tc>
          <w:tcPr>
            <w:tcW w:type="dxa" w:w="2736"/>
          </w:tcPr>
          <w:p>
            <w:r>
              <w:t>Kaplan–Meier calibration and the effect of fixed-horizon restriction</w:t>
            </w:r>
          </w:p>
        </w:tc>
        <w:tc>
          <w:tcPr>
            <w:tcW w:type="dxa" w:w="6624"/>
          </w:tcPr>
          <w:p>
            <w:r>
              <w:t>S5.3; Fig. S2</w:t>
            </w:r>
          </w:p>
        </w:tc>
      </w:tr>
      <w:tr>
        <w:tc>
          <w:tcPr>
            <w:tcW w:type="dxa" w:w="2736"/>
          </w:tcPr>
          <w:p>
            <w:r>
              <w:t>Proportional-hazards check, hazard ratios within follow-up intervals, and the residence-adjusted model</w:t>
            </w:r>
          </w:p>
        </w:tc>
        <w:tc>
          <w:tcPr>
            <w:tcW w:type="dxa" w:w="6624"/>
          </w:tcPr>
          <w:p>
            <w:r>
              <w:t>S6.6–S6.8; Fig. S3</w:t>
            </w:r>
          </w:p>
        </w:tc>
      </w:tr>
      <w:tr>
        <w:tc>
          <w:tcPr>
            <w:tcW w:type="dxa" w:w="2736"/>
          </w:tcPr>
          <w:p>
            <w:r>
              <w:t>Domain-score comparison alongside the four items</w:t>
            </w:r>
          </w:p>
        </w:tc>
        <w:tc>
          <w:tcPr>
            <w:tcW w:type="dxa" w:w="6624"/>
          </w:tcPr>
          <w:p>
            <w:r>
              <w:t>S7.2</w:t>
            </w:r>
          </w:p>
        </w:tc>
      </w:tr>
      <w:tr>
        <w:tc>
          <w:tcPr>
            <w:tcW w:type="dxa" w:w="2736"/>
          </w:tcPr>
          <w:p>
            <w:r>
              <w:t>All 30 items entered together, and bootstrap comparison of discrimination</w:t>
            </w:r>
          </w:p>
        </w:tc>
        <w:tc>
          <w:tcPr>
            <w:tcW w:type="dxa" w:w="6624"/>
          </w:tcPr>
          <w:p>
            <w:r>
              <w:t>S7.1, S7.3, S7.4; Fig. S1</w:t>
            </w:r>
          </w:p>
        </w:tc>
      </w:tr>
    </w:tbl>
    <w:p>
      <w:pPr>
        <w:spacing w:after="160"/>
      </w:pPr>
      <w:r>
        <w:rPr>
          <w:color w:val="444444"/>
          <w:sz w:val="18"/>
        </w:rPr>
        <w:t>Random split seed: 42. Rows were sorted by participant identifier before assignment, so the split is reproducible. Software and data availability are stated in the main text.</w:t>
      </w:r>
    </w:p>
    <w:p>
      <w:r>
        <w:br w:type="page"/>
      </w:r>
    </w:p>
    <w:p>
      <w:pPr>
        <w:spacing w:before="200" w:after="60"/>
      </w:pPr>
      <w:r>
        <w:rPr>
          <w:b/>
          <w:sz w:val="26"/>
        </w:rPr>
        <w:t>Supplementary Figures</w:t>
      </w:r>
    </w:p>
    <w:p>
      <w:pPr>
        <w:keepNext/>
        <w:spacing w:before="160" w:after="60"/>
      </w:pPr>
      <w:r>
        <w:rPr>
          <w:b/>
          <w:sz w:val="22"/>
        </w:rPr>
        <w:t>Supplementary Figure S1. Alternative WHODAS-based summaries</w:t>
      </w:r>
    </w:p>
    <w:p>
      <w:pPr>
        <w:spacing w:after="80"/>
        <w:jc w:val="center"/>
      </w:pPr>
      <w:r>
        <w:rPr>
          <w:i w:val="0"/>
          <w:sz w:val="21"/>
        </w:rPr>
      </w:r>
      <w:r>
        <w:drawing>
          <wp:inline xmlns:a="http://schemas.openxmlformats.org/drawingml/2006/main" xmlns:pic="http://schemas.openxmlformats.org/drawingml/2006/picture">
            <wp:extent cx="5760720" cy="2181789"/>
            <wp:docPr id="1" name="Picture 1"/>
            <wp:cNvGraphicFramePr>
              <a:graphicFrameLocks noChangeAspect="1"/>
            </wp:cNvGraphicFramePr>
            <a:graphic>
              <a:graphicData uri="http://schemas.openxmlformats.org/drawingml/2006/picture">
                <pic:pic>
                  <pic:nvPicPr>
                    <pic:cNvPr id="0" name="FigS1_summary_comparison.png"/>
                    <pic:cNvPicPr/>
                  </pic:nvPicPr>
                  <pic:blipFill>
                    <a:blip r:embed="rId9"/>
                    <a:stretch>
                      <a:fillRect/>
                    </a:stretch>
                  </pic:blipFill>
                  <pic:spPr>
                    <a:xfrm>
                      <a:off x="0" y="0"/>
                      <a:ext cx="5760720" cy="2181789"/>
                    </a:xfrm>
                    <a:prstGeom prst="rect"/>
                  </pic:spPr>
                </pic:pic>
              </a:graphicData>
            </a:graphic>
          </wp:inline>
        </w:drawing>
      </w:r>
    </w:p>
    <w:p>
      <w:pPr>
        <w:spacing w:after="80"/>
      </w:pPr>
      <w:r>
        <w:rPr>
          <w:i w:val="0"/>
          <w:sz w:val="21"/>
        </w:rPr>
        <w:t>Panel (a) gives the validation C-index of the covariate model (age, sex, education, urbanicity and CDR stage) and of that model with, in turn, the registry summary score, the six domain scores, the two-item variant and the four items; panel (b) gives each increment over the covariate model. All are evaluated in the same random validation participants (n = 55,502; Supplementary Table S7.1).</w:t>
      </w:r>
    </w:p>
    <w:p>
      <w:pPr>
        <w:keepNext/>
        <w:spacing w:before="160" w:after="60"/>
      </w:pPr>
      <w:r>
        <w:rPr>
          <w:b/>
          <w:sz w:val="22"/>
        </w:rPr>
        <w:t>Supplementary Figure S2. Calibration and the effect of fixed-horizon restriction</w:t>
      </w:r>
    </w:p>
    <w:p>
      <w:pPr>
        <w:spacing w:after="80"/>
        <w:jc w:val="center"/>
      </w:pPr>
      <w:r>
        <w:rPr>
          <w:i w:val="0"/>
          <w:sz w:val="21"/>
        </w:rPr>
      </w:r>
      <w:r>
        <w:drawing>
          <wp:inline xmlns:a="http://schemas.openxmlformats.org/drawingml/2006/main" xmlns:pic="http://schemas.openxmlformats.org/drawingml/2006/picture">
            <wp:extent cx="5760720" cy="2576861"/>
            <wp:docPr id="2" name="Picture 2"/>
            <wp:cNvGraphicFramePr>
              <a:graphicFrameLocks noChangeAspect="1"/>
            </wp:cNvGraphicFramePr>
            <a:graphic>
              <a:graphicData uri="http://schemas.openxmlformats.org/drawingml/2006/picture">
                <pic:pic>
                  <pic:nvPicPr>
                    <pic:cNvPr id="0" name="FigS2_calibration_horizon.png"/>
                    <pic:cNvPicPr/>
                  </pic:nvPicPr>
                  <pic:blipFill>
                    <a:blip r:embed="rId10"/>
                    <a:stretch>
                      <a:fillRect/>
                    </a:stretch>
                  </pic:blipFill>
                  <pic:spPr>
                    <a:xfrm>
                      <a:off x="0" y="0"/>
                      <a:ext cx="5760720" cy="2576861"/>
                    </a:xfrm>
                    <a:prstGeom prst="rect"/>
                  </pic:spPr>
                </pic:pic>
              </a:graphicData>
            </a:graphic>
          </wp:inline>
        </w:drawing>
      </w:r>
    </w:p>
    <w:p>
      <w:pPr>
        <w:spacing w:after="80"/>
      </w:pPr>
      <w:r>
        <w:rPr>
          <w:i w:val="0"/>
          <w:sz w:val="21"/>
        </w:rPr>
        <w:t>Panel (a): observed (Kaplan–Meier) versus predicted three-year mortality by decile of predicted risk in the random validation set. Panel (b): observed mortality estimated by Kaplan–Meier over the full validation set compared with the complete-case estimate obtained after restricting to participants with a known outcome at the horizon, at one and three years, in both the random and the temporal evaluation. S5.3 gives the corresponding figures. Panel (b) prints, for each set and horizon, the percentage of participants retained by the fixed-horizon restriction.</w:t>
      </w:r>
    </w:p>
    <w:p>
      <w:pPr>
        <w:keepNext/>
        <w:spacing w:before="160" w:after="60"/>
      </w:pPr>
      <w:r>
        <w:rPr>
          <w:b/>
          <w:sz w:val="22"/>
        </w:rPr>
        <w:t>Supplementary Figure S3. Proportional-hazards check for the number of difficulties</w:t>
      </w:r>
    </w:p>
    <w:p>
      <w:pPr>
        <w:spacing w:after="80"/>
        <w:jc w:val="center"/>
      </w:pPr>
      <w:r>
        <w:rPr>
          <w:i w:val="0"/>
          <w:sz w:val="21"/>
        </w:rPr>
      </w:r>
      <w:r>
        <w:drawing>
          <wp:inline xmlns:a="http://schemas.openxmlformats.org/drawingml/2006/main" xmlns:pic="http://schemas.openxmlformats.org/drawingml/2006/picture">
            <wp:extent cx="5120640" cy="3091758"/>
            <wp:docPr id="3" name="Picture 3"/>
            <wp:cNvGraphicFramePr>
              <a:graphicFrameLocks noChangeAspect="1"/>
            </wp:cNvGraphicFramePr>
            <a:graphic>
              <a:graphicData uri="http://schemas.openxmlformats.org/drawingml/2006/picture">
                <pic:pic>
                  <pic:nvPicPr>
                    <pic:cNvPr id="0" name="FigS3_ph_residuals.png"/>
                    <pic:cNvPicPr/>
                  </pic:nvPicPr>
                  <pic:blipFill>
                    <a:blip r:embed="rId11"/>
                    <a:stretch>
                      <a:fillRect/>
                    </a:stretch>
                  </pic:blipFill>
                  <pic:spPr>
                    <a:xfrm>
                      <a:off x="0" y="0"/>
                      <a:ext cx="5120640" cy="3091758"/>
                    </a:xfrm>
                    <a:prstGeom prst="rect"/>
                  </pic:spPr>
                </pic:pic>
              </a:graphicData>
            </a:graphic>
          </wp:inline>
        </w:drawing>
      </w:r>
    </w:p>
    <w:p>
      <w:pPr>
        <w:spacing w:after="80"/>
      </w:pPr>
      <w:r>
        <w:rPr>
          <w:b w:val="0"/>
          <w:i w:val="0"/>
          <w:sz w:val="21"/>
        </w:rPr>
        <w:t>Scaled Schoenfeld residuals for the number of difficulties (0–4), on the log hazard ratio scale, with the fitted value (0.207) drawn as a horizontal line, against the event times of the 92,330 deaths (the statistic reported here uses the rank of that time); a random 6,000 residuals are shown as points and the red line joins the means of 40 equal-sized bins of event time with 95% confidence intervals. A flat line would indicate proportional hazards. The residuals decline slightly over follow-up (correlation with ranked event time r = −0.030; Grambsch–Therneau χ² = 79.6 on 1 df, p &lt; 0.001), consistent with the interval estimates in Table S6.7.</w:t>
      </w:r>
    </w:p>
    <w:p>
      <w:pPr>
        <w:spacing w:after="160"/>
      </w:pPr>
      <w:r>
        <w:rPr>
          <w:color w:val="444444"/>
          <w:sz w:val="18"/>
        </w:rPr>
        <w:t>Supplementary Figures S1–S3 are shown above. All five figures, main text and supplementary, are also supplied separately as EPS and as 600 dpi TIFF: Fig1_cdr_by_count and Fig2_KM_count (main text), and FigS1_summary_comparison, FigS2_calibration_horizon and FigS3_ph_residuals.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