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1FB468" w14:textId="77777777" w:rsidR="00E82346" w:rsidRPr="003A1DA4" w:rsidRDefault="007718EC">
      <w:pPr>
        <w:rPr>
          <w:sz w:val="24"/>
          <w:lang w:val="en-US"/>
        </w:rPr>
      </w:pPr>
      <w:r w:rsidRPr="003A1DA4">
        <w:rPr>
          <w:sz w:val="24"/>
          <w:lang w:val="en-US"/>
        </w:rPr>
        <w:t>Detailed Supplemental Methods and Materials</w:t>
      </w:r>
    </w:p>
    <w:p w14:paraId="0B58EAB4" w14:textId="77777777" w:rsidR="00287747" w:rsidRPr="003A1DA4" w:rsidRDefault="00287747">
      <w:pPr>
        <w:rPr>
          <w:sz w:val="24"/>
          <w:lang w:val="en-US"/>
        </w:rPr>
      </w:pPr>
    </w:p>
    <w:p w14:paraId="6D30A4AC" w14:textId="708F189E" w:rsidR="007718EC" w:rsidRPr="00016B63" w:rsidRDefault="00900BB2" w:rsidP="007718EC">
      <w:pPr>
        <w:spacing w:line="360" w:lineRule="auto"/>
        <w:jc w:val="both"/>
        <w:rPr>
          <w:rFonts w:cstheme="minorHAnsi"/>
          <w:i/>
          <w:lang w:val="en-US"/>
        </w:rPr>
      </w:pPr>
      <w:r>
        <w:rPr>
          <w:rFonts w:cstheme="minorHAnsi"/>
          <w:i/>
          <w:lang w:val="en-US"/>
        </w:rPr>
        <w:t>Animals</w:t>
      </w:r>
    </w:p>
    <w:p w14:paraId="7E2A5DE8" w14:textId="3855B4F7" w:rsidR="007718EC" w:rsidRPr="00DB5328" w:rsidRDefault="007718EC" w:rsidP="007718EC">
      <w:pPr>
        <w:autoSpaceDE w:val="0"/>
        <w:autoSpaceDN w:val="0"/>
        <w:adjustRightInd w:val="0"/>
        <w:spacing w:after="0" w:line="360" w:lineRule="auto"/>
        <w:jc w:val="both"/>
        <w:rPr>
          <w:rFonts w:cstheme="minorHAnsi"/>
          <w:lang w:val="en-US"/>
        </w:rPr>
      </w:pPr>
      <w:r w:rsidRPr="004F4513">
        <w:rPr>
          <w:rFonts w:cstheme="minorHAnsi"/>
          <w:lang w:val="en-US"/>
        </w:rPr>
        <w:t>In this study, we used 12-month-old mice (n=44</w:t>
      </w:r>
      <w:r>
        <w:rPr>
          <w:rFonts w:cstheme="minorHAnsi"/>
          <w:lang w:val="en-US"/>
        </w:rPr>
        <w:t xml:space="preserve">) </w:t>
      </w:r>
      <w:r w:rsidRPr="004F4513">
        <w:rPr>
          <w:rFonts w:cstheme="minorHAnsi"/>
          <w:lang w:val="en-US"/>
        </w:rPr>
        <w:t>of four genotypes. On the one hand, we used the Tg2576 (</w:t>
      </w:r>
      <w:proofErr w:type="spellStart"/>
      <w:r w:rsidRPr="004F4513">
        <w:rPr>
          <w:rFonts w:cstheme="minorHAnsi"/>
          <w:lang w:val="en-US"/>
        </w:rPr>
        <w:t>APP</w:t>
      </w:r>
      <w:r w:rsidRPr="004F4513">
        <w:rPr>
          <w:rFonts w:cstheme="minorHAnsi"/>
          <w:vertAlign w:val="subscript"/>
          <w:lang w:val="en-US"/>
        </w:rPr>
        <w:t>swe</w:t>
      </w:r>
      <w:proofErr w:type="spellEnd"/>
      <w:r w:rsidRPr="004F4513">
        <w:rPr>
          <w:rFonts w:cstheme="minorHAnsi"/>
          <w:lang w:val="en-US"/>
        </w:rPr>
        <w:t>) and the corresponding WT</w:t>
      </w:r>
      <w:r w:rsidRPr="0083786C">
        <w:rPr>
          <w:rFonts w:cstheme="minorHAnsi"/>
          <w:lang w:val="en-US"/>
        </w:rPr>
        <w:t xml:space="preserve">, all </w:t>
      </w:r>
      <w:r w:rsidRPr="00016B63">
        <w:rPr>
          <w:rFonts w:cstheme="minorHAnsi"/>
          <w:shd w:val="clear" w:color="auto" w:fill="FFFFFF"/>
          <w:lang w:val="en-US"/>
        </w:rPr>
        <w:t>on an inbred C57BL/6/SJL genetic background</w:t>
      </w:r>
      <w:r w:rsidRPr="004F4513">
        <w:rPr>
          <w:rFonts w:cstheme="minorHAnsi"/>
          <w:lang w:val="en-US"/>
        </w:rPr>
        <w:t xml:space="preserve">. </w:t>
      </w:r>
      <w:proofErr w:type="spellStart"/>
      <w:r w:rsidRPr="004F4513">
        <w:rPr>
          <w:rFonts w:cstheme="minorHAnsi"/>
          <w:lang w:val="en-US"/>
        </w:rPr>
        <w:t>APP</w:t>
      </w:r>
      <w:r w:rsidRPr="004F4513">
        <w:rPr>
          <w:rFonts w:cstheme="minorHAnsi"/>
          <w:vertAlign w:val="subscript"/>
          <w:lang w:val="en-US"/>
        </w:rPr>
        <w:t>swe</w:t>
      </w:r>
      <w:proofErr w:type="spellEnd"/>
      <w:r w:rsidRPr="004F4513">
        <w:rPr>
          <w:rFonts w:cstheme="minorHAnsi"/>
          <w:lang w:val="en-US"/>
        </w:rPr>
        <w:t xml:space="preserve"> mice express the human 695-aa isoform of the APP containing the Swedish double mutation in heterozygosity (</w:t>
      </w:r>
      <w:proofErr w:type="spellStart"/>
      <w:r w:rsidRPr="004F4513">
        <w:rPr>
          <w:rFonts w:cstheme="minorHAnsi"/>
          <w:lang w:val="en-US"/>
        </w:rPr>
        <w:t>APP</w:t>
      </w:r>
      <w:r w:rsidRPr="004F4513">
        <w:rPr>
          <w:rFonts w:cstheme="minorHAnsi"/>
          <w:vertAlign w:val="subscript"/>
          <w:lang w:val="en-US"/>
        </w:rPr>
        <w:t>swe</w:t>
      </w:r>
      <w:proofErr w:type="spellEnd"/>
      <w:r w:rsidRPr="004F4513">
        <w:rPr>
          <w:rFonts w:cstheme="minorHAnsi"/>
          <w:lang w:val="en-US"/>
        </w:rPr>
        <w:t xml:space="preserve">) [(APP695)Lys670→Asn, Met671→Leu] driven by a hamster prion promoter </w:t>
      </w:r>
      <w:r>
        <w:rPr>
          <w:rFonts w:cstheme="minorHAnsi"/>
          <w:lang w:val="en-US"/>
        </w:rPr>
        <w:fldChar w:fldCharType="begin" w:fldLock="1"/>
      </w:r>
      <w:r>
        <w:rPr>
          <w:rFonts w:cstheme="minorHAnsi"/>
          <w:lang w:val="en-US"/>
        </w:rPr>
        <w:instrText>ADDIN CSL_CITATION {"citationItems":[{"id":"ITEM-1","itemData":{"DOI":"10.1126/science.274.5284.99","ISSN":"00368075","PMID":"8810256","abstract":"Transgenic mice overexpressing the 695-amino acid isoform of human Alzheimer β-amyloid (Aβ) precursor protein containing a Lys670 → Asn, Met671 → Leu mutation had normal learning and memory in spatial reference and alternation tasks at 3 months of age but showed impairment by 9 to 10 months of age. A fivefold increase in Aβ(1-40) and a 14-fold increase in Aβ(1-42/43) accompanied the appearance of these behavioral deficits. Numerous Aβ plaques that stained with Congo red dye were present in cortical and limbic structures of mice with elevated amounts of Aβ. The correlative appearance of behavioral, biochemical, and pathological abnormalities reminiscent of Alzheimer's disease in these transgenic mice suggests new opportunities for exploring the pathophysiology and neurobiology of this disease.","author":[{"dropping-particle":"","family":"Hsiao","given":"Karen","non-dropping-particle":"","parse-names":false,"suffix":""},{"dropping-particle":"","family":"Chapman","given":"Paul","non-dropping-particle":"","parse-names":false,"suffix":""},{"dropping-particle":"","family":"Nilsen","given":"Steven","non-dropping-particle":"","parse-names":false,"suffix":""},{"dropping-particle":"","family":"Eckman","given":"Chris","non-dropping-particle":"","parse-names":false,"suffix":""},{"dropping-particle":"","family":"Harigaya","given":"Yasuo","non-dropping-particle":"","parse-names":false,"suffix":""},{"dropping-particle":"","family":"Younkin","given":"Steven","non-dropping-particle":"","parse-names":false,"suffix":""},{"dropping-particle":"","family":"Yang","given":"Fusheng","non-dropping-particle":"","parse-names":false,"suffix":""},{"dropping-particle":"","family":"Cole","given":"Greg","non-dropping-particle":"","parse-names":false,"suffix":""}],"container-title":"Science","id":"ITEM-1","issue":"5284","issued":{"date-parts":[["1996"]]},"page":"99-102","publisher":"Science","title":"Correlative memory deficits, Aβ elevation, and amyloid plaques in transgenic mice","type":"article-journal","volume":"274"},"uris":["http://www.mendeley.com/documents/?uuid=28618835-fab5-38a4-9720-63821fb01b16"]}],"mendeley":{"formattedCitation":"(47)","plainTextFormattedCitation":"(47)","previouslyFormattedCitation":"(47)"},"properties":{"noteIndex":0},"schema":"https://github.com/citation-style-language/schema/raw/master/csl-citation.json"}</w:instrText>
      </w:r>
      <w:r>
        <w:rPr>
          <w:rFonts w:cstheme="minorHAnsi"/>
          <w:lang w:val="en-US"/>
        </w:rPr>
        <w:fldChar w:fldCharType="separate"/>
      </w:r>
      <w:r w:rsidRPr="00114AA3">
        <w:rPr>
          <w:rFonts w:cstheme="minorHAnsi"/>
          <w:noProof/>
          <w:lang w:val="en-US"/>
        </w:rPr>
        <w:t>(47)</w:t>
      </w:r>
      <w:r>
        <w:rPr>
          <w:rFonts w:cstheme="minorHAnsi"/>
          <w:lang w:val="en-US"/>
        </w:rPr>
        <w:fldChar w:fldCharType="end"/>
      </w:r>
      <w:r>
        <w:rPr>
          <w:rFonts w:cstheme="minorHAnsi"/>
          <w:lang w:val="en-US"/>
        </w:rPr>
        <w:t xml:space="preserve">. </w:t>
      </w:r>
      <w:r w:rsidRPr="00DB5328">
        <w:rPr>
          <w:rFonts w:cstheme="minorHAnsi"/>
          <w:lang w:val="en-US"/>
        </w:rPr>
        <w:t>On the other hand, we used FFA3R</w:t>
      </w:r>
      <w:r w:rsidRPr="00DB5328">
        <w:rPr>
          <w:rFonts w:cstheme="minorHAnsi"/>
          <w:vertAlign w:val="superscript"/>
          <w:lang w:val="en-US"/>
        </w:rPr>
        <w:t>-/-</w:t>
      </w:r>
      <w:r w:rsidRPr="00DB5328">
        <w:rPr>
          <w:rFonts w:cstheme="minorHAnsi"/>
          <w:lang w:val="en-US"/>
        </w:rPr>
        <w:t xml:space="preserve"> </w:t>
      </w:r>
      <w:r w:rsidRPr="004F4513">
        <w:rPr>
          <w:rFonts w:cstheme="minorHAnsi"/>
          <w:lang w:val="en-US"/>
        </w:rPr>
        <w:t xml:space="preserve">mice </w:t>
      </w:r>
      <w:r>
        <w:rPr>
          <w:rFonts w:cstheme="minorHAnsi"/>
          <w:lang w:val="en-US"/>
        </w:rPr>
        <w:t xml:space="preserve">(see </w:t>
      </w:r>
      <w:r>
        <w:rPr>
          <w:rFonts w:cstheme="minorHAnsi"/>
          <w:lang w:val="en-US"/>
        </w:rPr>
        <w:fldChar w:fldCharType="begin" w:fldLock="1"/>
      </w:r>
      <w:r>
        <w:rPr>
          <w:rFonts w:cstheme="minorHAnsi"/>
          <w:lang w:val="en-US"/>
        </w:rPr>
        <w:instrText>ADDIN CSL_CITATION {"citationItems":[{"id":"ITEM-1","itemData":{"DOI":"10.1073/pnas.0808567105","ISSN":"00278424","PMID":"18931303","abstract":"The distal human intestine harbors trillions of microbes that allow us to extract calories from otherwise indigestible dietary polysaccharides. The products of polysaccharide fermentation include short-chain fatty acids that are ligands for Gpr41, a G protein-coupled receptor expressed by a subset of enteroendocrine cells in the gut epithelium. To examine the contribution of Gpr41 to energy balance, we compared Gpr41-/- and Gpr41+/+ mice that were either conventionally-raised with a complete gut microbiota or were reared germ-free and then cocolonized as young adults with two prominent members of the human distal gut microbial community: the saccharolytic bacterium, Bacteroides thetaiotaomicron and the methanogenic archaeon, Methanobrevibacter smithii. Both conventionally-raised and gnotobiotic Gpr41-/- mice colonized with the model fermentative community are significantly leaner and weigh less than their WT (+/+) littermates, despite similar levels of chow consumption. These differences are not evident when germ-free WT and germ-free Gpr41 knockout animals are compared. Functional genomic, biochemical, and physiologic studies of germ-free and cocolonized Gpr41-/- and +/+ littermates disclosed that Gpr41-deficiency is associated with reduced expression of PYY, an enteroendocrine cell-derived hormone that normally inhibits gut motility, increased intestinal transit rate, and reduced harvest of energy (short-chain fatty acids) from the diet. These results reveal that Gpr41 is a regulator of host energy balance through effects that are dependent upon the gut microbiota. © 2008 by The National Academy of Sciences of the USA.","author":[{"dropping-particle":"","family":"Samuel","given":"Buck S.","non-dropping-particle":"","parse-names":false,"suffix":""},{"dropping-particle":"","family":"Shaito","given":"Abdullah","non-dropping-particle":"","parse-names":false,"suffix":""},{"dropping-particle":"","family":"Motoike","given":"Toshiyuki","non-dropping-particle":"","parse-names":false,"suffix":""},{"dropping-particle":"","family":"Rey","given":"Federico E.","non-dropping-particle":"","parse-names":false,"suffix":""},{"dropping-particle":"","family":"Backhed","given":"Fredrik","non-dropping-particle":"","parse-names":false,"suffix":""},{"dropping-particle":"","family":"Manchester","given":"Jill K.","non-dropping-particle":"","parse-names":false,"suffix":""},{"dropping-particle":"","family":"Hammer","given":"Robert E.","non-dropping-particle":"","parse-names":false,"suffix":""},{"dropping-particle":"","family":"Williams","given":"S. Clay","non-dropping-particle":"","parse-names":false,"suffix":""},{"dropping-particle":"","family":"Crowley","given":"Jan","non-dropping-particle":"","parse-names":false,"suffix":""},{"dropping-particle":"","family":"Yanagisawa","given":"Masashi","non-dropping-particle":"","parse-names":false,"suffix":""},{"dropping-particle":"","family":"Gordon","given":"Jeffrey I.","non-dropping-particle":"","parse-names":false,"suffix":""}],"container-title":"Proceedings of the National Academy of Sciences of the United States of America","id":"ITEM-1","issue":"43","issued":{"date-parts":[["2008","10","28"]]},"page":"16767-16772","title":"Effects of the gut microbiota on host adiposity are modulated by the short-chain fatty-acid binding G protein-coupled receptor, Gpr41","type":"article-journal","volume":"105"},"uris":["http://www.mendeley.com/documents/?uuid=8255d052-7b10-3b0b-bb55-3870c08dd650"]}],"mendeley":{"formattedCitation":"(48)","plainTextFormattedCitation":"(48)"},"properties":{"noteIndex":0},"schema":"https://github.com/citation-style-language/schema/raw/master/csl-citation.json"}</w:instrText>
      </w:r>
      <w:r>
        <w:rPr>
          <w:rFonts w:cstheme="minorHAnsi"/>
          <w:lang w:val="en-US"/>
        </w:rPr>
        <w:fldChar w:fldCharType="separate"/>
      </w:r>
      <w:r w:rsidRPr="00114AA3">
        <w:rPr>
          <w:rFonts w:cstheme="minorHAnsi"/>
          <w:noProof/>
          <w:lang w:val="en-US"/>
        </w:rPr>
        <w:t>(48)</w:t>
      </w:r>
      <w:r>
        <w:rPr>
          <w:rFonts w:cstheme="minorHAnsi"/>
          <w:lang w:val="en-US"/>
        </w:rPr>
        <w:fldChar w:fldCharType="end"/>
      </w:r>
      <w:r>
        <w:rPr>
          <w:rFonts w:cstheme="minorHAnsi"/>
          <w:lang w:val="en-US"/>
        </w:rPr>
        <w:fldChar w:fldCharType="begin" w:fldLock="1"/>
      </w:r>
      <w:r>
        <w:rPr>
          <w:rFonts w:cstheme="minorHAnsi"/>
          <w:lang w:val="en-US"/>
        </w:rPr>
        <w:instrText>ADDIN CSL_CITATION {"citationItems":[{"id":"ITEM-1","itemData":{"DOI":"10.1073/pnas.0808567105","ISSN":"00278424","PMID":"18931303","abstract":"The distal human intestine harbors trillions of microbes that allow us to extract calories from otherwise indigestible dietary polysaccharides. The products of polysaccharide fermentation include short-chain fatty acids that are ligands for Gpr41, a G protein-coupled receptor expressed by a subset of enteroendocrine cells in the gut epithelium. To examine the contribution of Gpr41 to energy balance, we compared Gpr41-/- and Gpr41+/+ mice that were either conventionally-raised with a complete gut microbiota or were reared germ-free and then cocolonized as young adults with two prominent members of the human distal gut microbial community: the saccharolytic bacterium, Bacteroides thetaiotaomicron and the methanogenic archaeon, Methanobrevibacter smithii. Both conventionally-raised and gnotobiotic Gpr41-/- mice colonized with the model fermentative community are significantly leaner and weigh less than their WT (+/+) littermates, despite similar levels of chow consumption. These differences are not evident when germ-free WT and germ-free Gpr41 knockout animals are compared. Functional genomic, biochemical, and physiologic studies of germ-free and cocolonized Gpr41-/- and +/+ littermates disclosed that Gpr41-deficiency is associated with reduced expression of PYY, an enteroendocrine cell-derived hormone that normally inhibits gut motility, increased intestinal transit rate, and reduced harvest of energy (short-chain fatty acids) from the diet. These results reveal that Gpr41 is a regulator of host energy balance through effects that are dependent upon the gut microbiota. © 2008 by The National Academy of Sciences of the USA.","author":[{"dropping-particle":"","family":"Samuel","given":"Buck S.","non-dropping-particle":"","parse-names":false,"suffix":""},{"dropping-particle":"","family":"Shaito","given":"Abdullah","non-dropping-particle":"","parse-names":false,"suffix":""},{"dropping-particle":"","family":"Motoike","given":"Toshiyuki","non-dropping-particle":"","parse-names":false,"suffix":""},{"dropping-particle":"","family":"Rey","given":"Federico E.","non-dropping-particle":"","parse-names":false,"suffix":""},{"dropping-particle":"","family":"Backhed","given":"Fredrik","non-dropping-particle":"","parse-names":false,"suffix":""},{"dropping-particle":"","family":"Manchester","given":"Jill K.","non-dropping-particle":"","parse-names":false,"suffix":""},{"dropping-particle":"","family":"Hammer","given":"Robert E.","non-dropping-particle":"","parse-names":false,"suffix":""},{"dropping-particle":"","family":"Williams","given":"S. Clay","non-dropping-particle":"","parse-names":false,"suffix":""},{"dropping-particle":"","family":"Crowley","given":"Jan","non-dropping-particle":"","parse-names":false,"suffix":""},{"dropping-particle":"","family":"Yanagisawa","given":"Masashi","non-dropping-particle":"","parse-names":false,"suffix":""},{"dropping-particle":"","family":"Gordon","given":"Jeffrey I.","non-dropping-particle":"","parse-names":false,"suffix":""}],"container-title":"Proceedings of the National Academy of Sciences of the United States of America","id":"ITEM-1","issue":"43","issued":{"date-parts":[["2008","10","28"]]},"page":"16767-16772","title":"Effects of the gut microbiota on host adiposity are modulated by the short-chain fatty-acid binding G protein-coupled receptor, Gpr41","type":"article-journal","volume":"105"},"uris":["http://www.mendeley.com/documents/?uuid=8255d052-7b10-3b0b-bb55-3870c08dd650"]}],"mendeley":{"formattedCitation":"(48)","manualFormatting":"(","plainTextFormattedCitation":"(48)","previouslyFormattedCitation":"(48)"},"properties":{"noteIndex":0},"schema":"https://github.com/citation-style-language/schema/raw/master/csl-citation.json"}</w:instrText>
      </w:r>
      <w:r>
        <w:rPr>
          <w:rFonts w:cstheme="minorHAnsi"/>
          <w:lang w:val="en-US"/>
        </w:rPr>
        <w:fldChar w:fldCharType="end"/>
      </w:r>
      <w:r w:rsidRPr="004F4933">
        <w:rPr>
          <w:rFonts w:cstheme="minorHAnsi"/>
          <w:shd w:val="clear" w:color="auto" w:fill="FFFFFF"/>
          <w:lang w:val="en-US"/>
        </w:rPr>
        <w:t xml:space="preserve"> for details </w:t>
      </w:r>
      <w:r>
        <w:rPr>
          <w:rFonts w:cstheme="minorHAnsi"/>
          <w:shd w:val="clear" w:color="auto" w:fill="FFFFFF"/>
          <w:lang w:val="en-US"/>
        </w:rPr>
        <w:t>of genotype and phenotype</w:t>
      </w:r>
      <w:r w:rsidRPr="00016B63">
        <w:rPr>
          <w:rFonts w:cstheme="minorHAnsi"/>
          <w:shd w:val="clear" w:color="auto" w:fill="FFFFFF"/>
          <w:lang w:val="en-US"/>
        </w:rPr>
        <w:t>)</w:t>
      </w:r>
      <w:r w:rsidRPr="004F4513">
        <w:rPr>
          <w:rFonts w:cstheme="minorHAnsi"/>
          <w:lang w:val="en-US"/>
        </w:rPr>
        <w:t xml:space="preserve"> and the FFA3R</w:t>
      </w:r>
      <w:r w:rsidRPr="004F4513">
        <w:rPr>
          <w:rFonts w:cstheme="minorHAnsi"/>
          <w:vertAlign w:val="superscript"/>
          <w:lang w:val="en-US"/>
        </w:rPr>
        <w:t>-/-</w:t>
      </w:r>
      <w:r w:rsidRPr="004F4513">
        <w:rPr>
          <w:rFonts w:cstheme="minorHAnsi"/>
          <w:lang w:val="en-US"/>
        </w:rPr>
        <w:t>/</w:t>
      </w:r>
      <w:proofErr w:type="spellStart"/>
      <w:r w:rsidRPr="004F4513">
        <w:rPr>
          <w:rFonts w:cstheme="minorHAnsi"/>
          <w:lang w:val="en-US"/>
        </w:rPr>
        <w:t>APP</w:t>
      </w:r>
      <w:r w:rsidRPr="004F4513">
        <w:rPr>
          <w:rFonts w:cstheme="minorHAnsi"/>
          <w:vertAlign w:val="subscript"/>
          <w:lang w:val="en-US"/>
        </w:rPr>
        <w:t>swe</w:t>
      </w:r>
      <w:proofErr w:type="spellEnd"/>
      <w:r w:rsidRPr="00DB5328">
        <w:rPr>
          <w:rFonts w:cstheme="minorHAnsi"/>
          <w:lang w:val="en-US"/>
        </w:rPr>
        <w:t xml:space="preserve"> line that we generated by crossing the FFA3R</w:t>
      </w:r>
      <w:r w:rsidRPr="00DB5328">
        <w:rPr>
          <w:rFonts w:cstheme="minorHAnsi"/>
          <w:vertAlign w:val="superscript"/>
          <w:lang w:val="en-US"/>
        </w:rPr>
        <w:t>-/-</w:t>
      </w:r>
      <w:r w:rsidRPr="00DB5328">
        <w:rPr>
          <w:rFonts w:cstheme="minorHAnsi"/>
          <w:lang w:val="en-US"/>
        </w:rPr>
        <w:t xml:space="preserve"> and the </w:t>
      </w:r>
      <w:proofErr w:type="spellStart"/>
      <w:r w:rsidRPr="00DB5328">
        <w:rPr>
          <w:rFonts w:cstheme="minorHAnsi"/>
          <w:lang w:val="en-US"/>
        </w:rPr>
        <w:t>APP</w:t>
      </w:r>
      <w:r w:rsidRPr="00DB5328">
        <w:rPr>
          <w:rFonts w:cstheme="minorHAnsi"/>
          <w:vertAlign w:val="subscript"/>
          <w:lang w:val="en-US"/>
        </w:rPr>
        <w:t>swe</w:t>
      </w:r>
      <w:proofErr w:type="spellEnd"/>
      <w:r w:rsidRPr="00DB5328">
        <w:rPr>
          <w:rFonts w:cstheme="minorHAnsi"/>
          <w:lang w:val="en-US"/>
        </w:rPr>
        <w:t xml:space="preserve"> lines (FFA3R</w:t>
      </w:r>
      <w:r w:rsidRPr="00DB5328">
        <w:rPr>
          <w:rFonts w:cstheme="minorHAnsi"/>
          <w:vertAlign w:val="superscript"/>
          <w:lang w:val="en-US"/>
        </w:rPr>
        <w:t>-/-</w:t>
      </w:r>
      <w:r w:rsidRPr="00DB5328">
        <w:rPr>
          <w:rFonts w:cstheme="minorHAnsi"/>
          <w:lang w:val="en-US"/>
        </w:rPr>
        <w:t>/</w:t>
      </w:r>
      <w:proofErr w:type="spellStart"/>
      <w:r w:rsidRPr="00DB5328">
        <w:rPr>
          <w:rFonts w:cstheme="minorHAnsi"/>
          <w:lang w:val="en-US"/>
        </w:rPr>
        <w:t>APP</w:t>
      </w:r>
      <w:r w:rsidRPr="00DB5328">
        <w:rPr>
          <w:rFonts w:cstheme="minorHAnsi"/>
          <w:vertAlign w:val="subscript"/>
          <w:lang w:val="en-US"/>
        </w:rPr>
        <w:t>swe</w:t>
      </w:r>
      <w:proofErr w:type="spellEnd"/>
      <w:r w:rsidRPr="00DB5328">
        <w:rPr>
          <w:rFonts w:cstheme="minorHAnsi"/>
          <w:lang w:val="en-US"/>
        </w:rPr>
        <w:t>). The FFA3R</w:t>
      </w:r>
      <w:r w:rsidRPr="00DB5328">
        <w:rPr>
          <w:rFonts w:cstheme="minorHAnsi"/>
          <w:vertAlign w:val="superscript"/>
          <w:lang w:val="en-US"/>
        </w:rPr>
        <w:t>-/-</w:t>
      </w:r>
      <w:r w:rsidRPr="00DB5328">
        <w:rPr>
          <w:rFonts w:cstheme="minorHAnsi"/>
          <w:lang w:val="en-US"/>
        </w:rPr>
        <w:t>/</w:t>
      </w:r>
      <w:proofErr w:type="spellStart"/>
      <w:r w:rsidRPr="00DB5328">
        <w:rPr>
          <w:rFonts w:cstheme="minorHAnsi"/>
          <w:lang w:val="en-US"/>
        </w:rPr>
        <w:t>APP</w:t>
      </w:r>
      <w:r w:rsidRPr="00DB5328">
        <w:rPr>
          <w:rFonts w:cstheme="minorHAnsi"/>
          <w:vertAlign w:val="subscript"/>
          <w:lang w:val="en-US"/>
        </w:rPr>
        <w:t>swe</w:t>
      </w:r>
      <w:proofErr w:type="spellEnd"/>
      <w:r w:rsidRPr="00DB5328">
        <w:rPr>
          <w:rFonts w:cstheme="minorHAnsi"/>
          <w:lang w:val="en-US"/>
        </w:rPr>
        <w:t xml:space="preserve"> mice were generated in our laboratory by breeding FFA3R</w:t>
      </w:r>
      <w:r w:rsidRPr="00DB5328">
        <w:rPr>
          <w:rFonts w:cstheme="minorHAnsi"/>
          <w:vertAlign w:val="superscript"/>
          <w:lang w:val="en-US"/>
        </w:rPr>
        <w:t>-/-</w:t>
      </w:r>
      <w:r w:rsidRPr="00DB5328">
        <w:rPr>
          <w:rFonts w:cstheme="minorHAnsi"/>
          <w:lang w:val="en-US"/>
        </w:rPr>
        <w:t xml:space="preserve"> mice with </w:t>
      </w:r>
      <w:proofErr w:type="spellStart"/>
      <w:r w:rsidRPr="00DB5328">
        <w:rPr>
          <w:rFonts w:cstheme="minorHAnsi"/>
          <w:lang w:val="en-US"/>
        </w:rPr>
        <w:t>APP</w:t>
      </w:r>
      <w:r w:rsidRPr="00DB5328">
        <w:rPr>
          <w:rFonts w:cstheme="minorHAnsi"/>
          <w:vertAlign w:val="subscript"/>
          <w:lang w:val="en-US"/>
        </w:rPr>
        <w:t>swe</w:t>
      </w:r>
      <w:proofErr w:type="spellEnd"/>
      <w:r w:rsidRPr="00DB5328">
        <w:rPr>
          <w:rFonts w:cstheme="minorHAnsi"/>
          <w:lang w:val="en-US"/>
        </w:rPr>
        <w:t xml:space="preserve"> mice</w:t>
      </w:r>
      <w:r>
        <w:rPr>
          <w:rFonts w:cstheme="minorHAnsi"/>
          <w:lang w:val="en-US"/>
        </w:rPr>
        <w:t xml:space="preserve"> </w:t>
      </w:r>
      <w:r>
        <w:rPr>
          <w:rFonts w:cstheme="minorHAnsi"/>
          <w:lang w:val="en-US"/>
        </w:rPr>
        <w:fldChar w:fldCharType="begin" w:fldLock="1"/>
      </w:r>
      <w:r>
        <w:rPr>
          <w:rFonts w:cstheme="minorHAnsi"/>
          <w:lang w:val="en-US"/>
        </w:rPr>
        <w:instrText>ADDIN CSL_CITATION {"citationItems":[{"id":"ITEM-1","itemData":{"DOI":"10.1073/pnas.0808567105","ISSN":"00278424","PMID":"18931303","abstract":"The distal human intestine harbors trillions of microbes that allow us to extract calories from otherwise indigestible dietary polysaccharides. The products of polysaccharide fermentation include short-chain fatty acids that are ligands for Gpr41, a G protein-coupled receptor expressed by a subset of enteroendocrine cells in the gut epithelium. To examine the contribution of Gpr41 to energy balance, we compared Gpr41-/- and Gpr41+/+ mice that were either conventionally-raised with a complete gut microbiota or were reared germ-free and then cocolonized as young adults with two prominent members of the human distal gut microbial community: the saccharolytic bacterium, Bacteroides thetaiotaomicron and the methanogenic archaeon, Methanobrevibacter smithii. Both conventionally-raised and gnotobiotic Gpr41-/- mice colonized with the model fermentative community are significantly leaner and weigh less than their WT (+/+) littermates, despite similar levels of chow consumption. These differences are not evident when germ-free WT and germ-free Gpr41 knockout animals are compared. Functional genomic, biochemical, and physiologic studies of germ-free and cocolonized Gpr41-/- and +/+ littermates disclosed that Gpr41-deficiency is associated with reduced expression of PYY, an enteroendocrine cell-derived hormone that normally inhibits gut motility, increased intestinal transit rate, and reduced harvest of energy (short-chain fatty acids) from the diet. These results reveal that Gpr41 is a regulator of host energy balance through effects that are dependent upon the gut microbiota. © 2008 by The National Academy of Sciences of the USA.","author":[{"dropping-particle":"","family":"Samuel","given":"Buck S.","non-dropping-particle":"","parse-names":false,"suffix":""},{"dropping-particle":"","family":"Shaito","given":"Abdullah","non-dropping-particle":"","parse-names":false,"suffix":""},{"dropping-particle":"","family":"Motoike","given":"Toshiyuki","non-dropping-particle":"","parse-names":false,"suffix":""},{"dropping-particle":"","family":"Rey","given":"Federico E.","non-dropping-particle":"","parse-names":false,"suffix":""},{"dropping-particle":"","family":"Backhed","given":"Fredrik","non-dropping-particle":"","parse-names":false,"suffix":""},{"dropping-particle":"","family":"Manchester","given":"Jill K.","non-dropping-particle":"","parse-names":false,"suffix":""},{"dropping-particle":"","family":"Hammer","given":"Robert E.","non-dropping-particle":"","parse-names":false,"suffix":""},{"dropping-particle":"","family":"Williams","given":"S. Clay","non-dropping-particle":"","parse-names":false,"suffix":""},{"dropping-particle":"","family":"Crowley","given":"Jan","non-dropping-particle":"","parse-names":false,"suffix":""},{"dropping-particle":"","family":"Yanagisawa","given":"Masashi","non-dropping-particle":"","parse-names":false,"suffix":""},{"dropping-particle":"","family":"Gordon","given":"Jeffrey I.","non-dropping-particle":"","parse-names":false,"suffix":""}],"container-title":"Proceedings of the National Academy of Sciences of the United States of America","id":"ITEM-1","issue":"43","issued":{"date-parts":[["2008","10","28"]]},"page":"16767-16772","title":"Effects of the gut microbiota on host adiposity are modulated by the short-chain fatty-acid binding G protein-coupled receptor, Gpr41","type":"article-journal","volume":"105"},"uris":["http://www.mendeley.com/documents/?uuid=8255d052-7b10-3b0b-bb55-3870c08dd650"]}],"mendeley":{"formattedCitation":"(48)","plainTextFormattedCitation":"(48)","previouslyFormattedCitation":"(48)"},"properties":{"noteIndex":0},"schema":"https://github.com/citation-style-language/schema/raw/master/csl-citation.json"}</w:instrText>
      </w:r>
      <w:r>
        <w:rPr>
          <w:rFonts w:cstheme="minorHAnsi"/>
          <w:lang w:val="en-US"/>
        </w:rPr>
        <w:fldChar w:fldCharType="separate"/>
      </w:r>
      <w:r w:rsidRPr="00114AA3">
        <w:rPr>
          <w:rFonts w:cstheme="minorHAnsi"/>
          <w:noProof/>
          <w:lang w:val="en-US"/>
        </w:rPr>
        <w:t>(48)</w:t>
      </w:r>
      <w:r>
        <w:rPr>
          <w:rFonts w:cstheme="minorHAnsi"/>
          <w:lang w:val="en-US"/>
        </w:rPr>
        <w:fldChar w:fldCharType="end"/>
      </w:r>
      <w:r w:rsidRPr="00DB5328">
        <w:rPr>
          <w:rFonts w:cstheme="minorHAnsi"/>
          <w:lang w:val="en-US"/>
        </w:rPr>
        <w:fldChar w:fldCharType="begin"/>
      </w:r>
      <w:r w:rsidRPr="00DB5328">
        <w:rPr>
          <w:rFonts w:cstheme="minorHAnsi"/>
          <w:lang w:val="en-US"/>
        </w:rPr>
        <w:instrText>ADDIN RW.CITE{{688 Samuel,B.S. 2008}}</w:instrText>
      </w:r>
      <w:r w:rsidRPr="00DB5328">
        <w:rPr>
          <w:rFonts w:cstheme="minorHAnsi"/>
          <w:lang w:val="en-US"/>
        </w:rPr>
        <w:fldChar w:fldCharType="end"/>
      </w:r>
      <w:r w:rsidRPr="00DB5328">
        <w:rPr>
          <w:rFonts w:cstheme="minorHAnsi"/>
          <w:lang w:val="en-US"/>
        </w:rPr>
        <w:t xml:space="preserve">. PCR genotyping used the primer set 5’-CAC ACT GCT CGA TCC GGA ACC CTT and 5’-GAG AAC TGT CTG GAA AAC GCT CAC to identify the mutant </w:t>
      </w:r>
      <w:r w:rsidRPr="00DB5328">
        <w:rPr>
          <w:rFonts w:cstheme="minorHAnsi"/>
          <w:lang w:val="en-GB"/>
        </w:rPr>
        <w:t>Ffar3</w:t>
      </w:r>
      <w:r w:rsidRPr="00DB5328">
        <w:rPr>
          <w:rFonts w:cstheme="minorHAnsi"/>
          <w:iCs/>
          <w:lang w:val="en-US"/>
        </w:rPr>
        <w:t xml:space="preserve"> </w:t>
      </w:r>
      <w:r w:rsidRPr="00DB5328">
        <w:rPr>
          <w:rFonts w:cstheme="minorHAnsi"/>
          <w:lang w:val="en-US"/>
        </w:rPr>
        <w:t>allele, 5’-CGA CGC CCA GTG GCT GTG GAC TTA and 5’-GTA CCA CAG TGG ATA GGC CAC GC to detect the WT allele</w:t>
      </w:r>
      <w:r>
        <w:rPr>
          <w:rFonts w:cstheme="minorHAnsi"/>
          <w:lang w:val="en-US"/>
        </w:rPr>
        <w:t xml:space="preserve"> </w:t>
      </w:r>
      <w:r>
        <w:rPr>
          <w:rFonts w:cstheme="minorHAnsi"/>
          <w:lang w:val="en-US"/>
        </w:rPr>
        <w:fldChar w:fldCharType="begin" w:fldLock="1"/>
      </w:r>
      <w:r>
        <w:rPr>
          <w:rFonts w:cstheme="minorHAnsi"/>
          <w:lang w:val="en-US"/>
        </w:rPr>
        <w:instrText>ADDIN CSL_CITATION {"citationItems":[{"id":"ITEM-1","itemData":{"DOI":"10.1073/pnas.0808567105","ISSN":"00278424","PMID":"18931303","abstract":"The distal human intestine harbors trillions of microbes that allow us to extract calories from otherwise indigestible dietary polysaccharides. The products of polysaccharide fermentation include short-chain fatty acids that are ligands for Gpr41, a G protein-coupled receptor expressed by a subset of enteroendocrine cells in the gut epithelium. To examine the contribution of Gpr41 to energy balance, we compared Gpr41-/- and Gpr41+/+ mice that were either conventionally-raised with a complete gut microbiota or were reared germ-free and then cocolonized as young adults with two prominent members of the human distal gut microbial community: the saccharolytic bacterium, Bacteroides thetaiotaomicron and the methanogenic archaeon, Methanobrevibacter smithii. Both conventionally-raised and gnotobiotic Gpr41-/- mice colonized with the model fermentative community are significantly leaner and weigh less than their WT (+/+) littermates, despite similar levels of chow consumption. These differences are not evident when germ-free WT and germ-free Gpr41 knockout animals are compared. Functional genomic, biochemical, and physiologic studies of germ-free and cocolonized Gpr41-/- and +/+ littermates disclosed that Gpr41-deficiency is associated with reduced expression of PYY, an enteroendocrine cell-derived hormone that normally inhibits gut motility, increased intestinal transit rate, and reduced harvest of energy (short-chain fatty acids) from the diet. These results reveal that Gpr41 is a regulator of host energy balance through effects that are dependent upon the gut microbiota. © 2008 by The National Academy of Sciences of the USA.","author":[{"dropping-particle":"","family":"Samuel","given":"Buck S.","non-dropping-particle":"","parse-names":false,"suffix":""},{"dropping-particle":"","family":"Shaito","given":"Abdullah","non-dropping-particle":"","parse-names":false,"suffix":""},{"dropping-particle":"","family":"Motoike","given":"Toshiyuki","non-dropping-particle":"","parse-names":false,"suffix":""},{"dropping-particle":"","family":"Rey","given":"Federico E.","non-dropping-particle":"","parse-names":false,"suffix":""},{"dropping-particle":"","family":"Backhed","given":"Fredrik","non-dropping-particle":"","parse-names":false,"suffix":""},{"dropping-particle":"","family":"Manchester","given":"Jill K.","non-dropping-particle":"","parse-names":false,"suffix":""},{"dropping-particle":"","family":"Hammer","given":"Robert E.","non-dropping-particle":"","parse-names":false,"suffix":""},{"dropping-particle":"","family":"Williams","given":"S. Clay","non-dropping-particle":"","parse-names":false,"suffix":""},{"dropping-particle":"","family":"Crowley","given":"Jan","non-dropping-particle":"","parse-names":false,"suffix":""},{"dropping-particle":"","family":"Yanagisawa","given":"Masashi","non-dropping-particle":"","parse-names":false,"suffix":""},{"dropping-particle":"","family":"Gordon","given":"Jeffrey I.","non-dropping-particle":"","parse-names":false,"suffix":""}],"container-title":"Proceedings of the National Academy of Sciences of the United States of America","id":"ITEM-1","issue":"43","issued":{"date-parts":[["2008","10","28"]]},"page":"16767-16772","title":"Effects of the gut microbiota on host adiposity are modulated by the short-chain fatty-acid binding G protein-coupled receptor, Gpr41","type":"article-journal","volume":"105"},"uris":["http://www.mendeley.com/documents/?uuid=8255d052-7b10-3b0b-bb55-3870c08dd650"]}],"mendeley":{"formattedCitation":"(48)","plainTextFormattedCitation":"(48)","previouslyFormattedCitation":"(48)"},"properties":{"noteIndex":0},"schema":"https://github.com/citation-style-language/schema/raw/master/csl-citation.json"}</w:instrText>
      </w:r>
      <w:r>
        <w:rPr>
          <w:rFonts w:cstheme="minorHAnsi"/>
          <w:lang w:val="en-US"/>
        </w:rPr>
        <w:fldChar w:fldCharType="separate"/>
      </w:r>
      <w:r w:rsidRPr="00114AA3">
        <w:rPr>
          <w:rFonts w:cstheme="minorHAnsi"/>
          <w:noProof/>
          <w:lang w:val="en-US"/>
        </w:rPr>
        <w:t>(48)</w:t>
      </w:r>
      <w:r>
        <w:rPr>
          <w:rFonts w:cstheme="minorHAnsi"/>
          <w:lang w:val="en-US"/>
        </w:rPr>
        <w:fldChar w:fldCharType="end"/>
      </w:r>
      <w:r w:rsidRPr="00DB5328">
        <w:rPr>
          <w:rFonts w:cstheme="minorHAnsi"/>
          <w:lang w:val="en-US"/>
        </w:rPr>
        <w:fldChar w:fldCharType="begin"/>
      </w:r>
      <w:r w:rsidRPr="00DB5328">
        <w:rPr>
          <w:rFonts w:cstheme="minorHAnsi"/>
          <w:lang w:val="en-US"/>
        </w:rPr>
        <w:instrText>ADDIN RW.CITE{{688 Samuel,B.S. 2008}}</w:instrText>
      </w:r>
      <w:r w:rsidRPr="00DB5328">
        <w:rPr>
          <w:rFonts w:cstheme="minorHAnsi"/>
          <w:lang w:val="en-US"/>
        </w:rPr>
        <w:fldChar w:fldCharType="end"/>
      </w:r>
      <w:r w:rsidRPr="00DB5328">
        <w:rPr>
          <w:rFonts w:cstheme="minorHAnsi"/>
          <w:lang w:val="en-US"/>
        </w:rPr>
        <w:t>. To identify the mutant APP allele we used 5´GTT GAG CCT GTT GAT GCC CG and 5´GTT GAG CCT GTT GAT GCC CG</w:t>
      </w:r>
      <w:r w:rsidR="0046252B">
        <w:rPr>
          <w:rFonts w:cstheme="minorHAnsi"/>
          <w:lang w:val="en-US"/>
        </w:rPr>
        <w:t>,</w:t>
      </w:r>
      <w:r w:rsidRPr="00DB5328">
        <w:rPr>
          <w:rFonts w:cstheme="minorHAnsi"/>
          <w:lang w:val="en-US"/>
        </w:rPr>
        <w:t xml:space="preserve"> and to detect the WT allele 5´AAG CGG CCA AAG CCT GGA GGG TG with 5´GTG GAT AAC CCC TCC CCC AGC CTA GAC CA. </w:t>
      </w:r>
      <w:r w:rsidRPr="00DB5328">
        <w:rPr>
          <w:rFonts w:cstheme="minorHAnsi"/>
          <w:lang w:val="en-GB"/>
        </w:rPr>
        <w:t xml:space="preserve">The animals were maintained in positive pressure-ventilated racks at 25 ± 1°C with a 12 h light/dark cycle, fed ad libitum with a standard rodent pellet diet (Global Diet 2014; Harlan), and allowed free access to filtered and UV-irradiated water. </w:t>
      </w:r>
      <w:r w:rsidRPr="00DB5328">
        <w:rPr>
          <w:rFonts w:cstheme="minorHAnsi"/>
          <w:lang w:val="en-US"/>
        </w:rPr>
        <w:t xml:space="preserve">All animal care and experimental procedures were in accordance with European and Spanish regulations (86/609/CEE; RD1201/2005) and were approved by the Ethical Committee of the University of Navarra (no. 018/05). Behavioral studies were carried out during </w:t>
      </w:r>
      <w:r>
        <w:rPr>
          <w:rFonts w:cstheme="minorHAnsi"/>
          <w:lang w:val="en-US"/>
        </w:rPr>
        <w:t xml:space="preserve">the </w:t>
      </w:r>
      <w:r w:rsidRPr="00DB5328">
        <w:rPr>
          <w:rFonts w:cstheme="minorHAnsi"/>
          <w:lang w:val="en-US"/>
        </w:rPr>
        <w:t>daytime (from 9 am to 2 pm).</w:t>
      </w:r>
    </w:p>
    <w:p w14:paraId="3A617E33" w14:textId="77777777" w:rsidR="007718EC" w:rsidRPr="00DB5328" w:rsidRDefault="007718EC" w:rsidP="007718EC">
      <w:pPr>
        <w:autoSpaceDE w:val="0"/>
        <w:autoSpaceDN w:val="0"/>
        <w:adjustRightInd w:val="0"/>
        <w:spacing w:after="0" w:line="360" w:lineRule="auto"/>
        <w:jc w:val="both"/>
        <w:rPr>
          <w:rFonts w:cstheme="minorHAnsi"/>
          <w:lang w:val="en-US"/>
        </w:rPr>
      </w:pPr>
    </w:p>
    <w:p w14:paraId="49333A2D" w14:textId="77777777" w:rsidR="007718EC" w:rsidRPr="00E40EBA" w:rsidRDefault="007718EC" w:rsidP="007718EC">
      <w:pPr>
        <w:spacing w:line="360" w:lineRule="auto"/>
        <w:jc w:val="both"/>
        <w:rPr>
          <w:rFonts w:cstheme="minorHAnsi"/>
          <w:i/>
          <w:lang w:val="en-US"/>
        </w:rPr>
      </w:pPr>
      <w:r w:rsidRPr="00DB5328">
        <w:rPr>
          <w:rFonts w:cstheme="minorHAnsi"/>
          <w:i/>
          <w:lang w:val="en-US"/>
        </w:rPr>
        <w:t>Morris water maze test</w:t>
      </w:r>
    </w:p>
    <w:p w14:paraId="4D4BAD68" w14:textId="77777777" w:rsidR="007718EC" w:rsidRPr="00DB5328" w:rsidRDefault="007718EC" w:rsidP="007718EC">
      <w:pPr>
        <w:spacing w:line="360" w:lineRule="auto"/>
        <w:jc w:val="both"/>
        <w:rPr>
          <w:rFonts w:cstheme="minorHAnsi"/>
          <w:lang w:val="en-US"/>
        </w:rPr>
      </w:pPr>
      <w:r w:rsidRPr="00E40EBA">
        <w:rPr>
          <w:rFonts w:cstheme="minorHAnsi"/>
          <w:lang w:val="en-US"/>
        </w:rPr>
        <w:t>Groups of 12</w:t>
      </w:r>
      <w:r>
        <w:rPr>
          <w:rFonts w:cstheme="minorHAnsi"/>
          <w:lang w:val="en-US"/>
        </w:rPr>
        <w:t>-month-</w:t>
      </w:r>
      <w:r w:rsidRPr="00E40EBA">
        <w:rPr>
          <w:rFonts w:cstheme="minorHAnsi"/>
          <w:lang w:val="en-US"/>
        </w:rPr>
        <w:t xml:space="preserve">old </w:t>
      </w:r>
      <w:proofErr w:type="spellStart"/>
      <w:r w:rsidRPr="00E40EBA">
        <w:rPr>
          <w:rFonts w:cstheme="minorHAnsi"/>
          <w:lang w:val="en-US"/>
        </w:rPr>
        <w:t>APP</w:t>
      </w:r>
      <w:r w:rsidRPr="005D7602">
        <w:rPr>
          <w:rFonts w:cstheme="minorHAnsi"/>
          <w:vertAlign w:val="subscript"/>
          <w:lang w:val="en-US"/>
        </w:rPr>
        <w:t>swe</w:t>
      </w:r>
      <w:proofErr w:type="spellEnd"/>
      <w:r w:rsidRPr="00E40EBA">
        <w:rPr>
          <w:rFonts w:cstheme="minorHAnsi"/>
          <w:lang w:val="en-US"/>
        </w:rPr>
        <w:t>, FFA3R</w:t>
      </w:r>
      <w:r w:rsidRPr="005D7602">
        <w:rPr>
          <w:rFonts w:cstheme="minorHAnsi"/>
          <w:vertAlign w:val="superscript"/>
          <w:lang w:val="en-US"/>
        </w:rPr>
        <w:t>-/-</w:t>
      </w:r>
      <w:r w:rsidRPr="00E40EBA">
        <w:rPr>
          <w:rFonts w:cstheme="minorHAnsi"/>
          <w:lang w:val="en-US"/>
        </w:rPr>
        <w:t>/</w:t>
      </w:r>
      <w:proofErr w:type="spellStart"/>
      <w:r w:rsidRPr="00E40EBA">
        <w:rPr>
          <w:rFonts w:cstheme="minorHAnsi"/>
          <w:lang w:val="en-US"/>
        </w:rPr>
        <w:t>APP</w:t>
      </w:r>
      <w:r w:rsidRPr="005D7602">
        <w:rPr>
          <w:rFonts w:cstheme="minorHAnsi"/>
          <w:vertAlign w:val="subscript"/>
          <w:lang w:val="en-US"/>
        </w:rPr>
        <w:t>swe</w:t>
      </w:r>
      <w:proofErr w:type="spellEnd"/>
      <w:r w:rsidRPr="00E40EBA">
        <w:rPr>
          <w:rFonts w:cstheme="minorHAnsi"/>
          <w:lang w:val="en-US"/>
        </w:rPr>
        <w:t xml:space="preserve"> and FFA3R</w:t>
      </w:r>
      <w:r w:rsidRPr="005D7602">
        <w:rPr>
          <w:rFonts w:cstheme="minorHAnsi"/>
          <w:vertAlign w:val="superscript"/>
          <w:lang w:val="en-US"/>
        </w:rPr>
        <w:t>-/-</w:t>
      </w:r>
      <w:r w:rsidRPr="00E40EBA">
        <w:rPr>
          <w:rFonts w:cstheme="minorHAnsi"/>
          <w:lang w:val="en-US"/>
        </w:rPr>
        <w:t xml:space="preserve"> mice and WT littermates, underwent </w:t>
      </w:r>
      <w:r w:rsidRPr="00DB5328">
        <w:rPr>
          <w:rFonts w:cstheme="minorHAnsi"/>
          <w:lang w:val="en-US"/>
        </w:rPr>
        <w:t>spatial reference learning and memory in the Morris water maze (MWM) test, a hippocampus-dependent learning task</w:t>
      </w:r>
      <w:r>
        <w:rPr>
          <w:rFonts w:cstheme="minorHAnsi"/>
          <w:lang w:val="en-US"/>
        </w:rPr>
        <w:t xml:space="preserve"> </w:t>
      </w:r>
      <w:r w:rsidRPr="00E40EBA">
        <w:rPr>
          <w:rFonts w:cstheme="minorHAnsi"/>
          <w:lang w:val="en-US"/>
        </w:rPr>
        <w:t>as described previously</w:t>
      </w:r>
      <w:r>
        <w:rPr>
          <w:rFonts w:cstheme="minorHAnsi"/>
          <w:lang w:val="en-US"/>
        </w:rPr>
        <w:t xml:space="preserve"> </w:t>
      </w:r>
      <w:r>
        <w:rPr>
          <w:rFonts w:cstheme="minorHAnsi"/>
          <w:lang w:val="en-US"/>
        </w:rPr>
        <w:fldChar w:fldCharType="begin" w:fldLock="1"/>
      </w:r>
      <w:r>
        <w:rPr>
          <w:rFonts w:cstheme="minorHAnsi"/>
          <w:lang w:val="en-US"/>
        </w:rPr>
        <w:instrText>ADDIN CSL_CITATION {"citationItems":[{"id":"ITEM-1","itemData":{"DOI":"10.1038/s41598-018-24710-7","ISSN":"20452322","PMID":"29691440","abstract":"The risk of suffering from Alzheimer's disease (AD) is higher in individuals from AD-affected mothers. The purpose of this investigation was to study whether maternal transmission might produce AD-related alterations in progenies of mice that do not have any genotypic alteration. We used cognitively-intact mothers harbouring in heterozygosity the transgene for overexpressing the Swedish double mutant version of the human amyloid precursor protein (hAβPPswe). The phenotype of the offspring with or without the transgene resulting from crossing young Tg2576 females with wild-type males were compared with those of the offspring resulting from crossing wild-type females with Tg2576 males. The hAβPPswe-bearing offspring from Tg2576 mothers showed an aggravated AD-like phenotype. Remarkably, cognitive, immunohistochemical and some biochemical features displayed by Tg2576 heterozygous mice were also found in wild-type animals generated from Tg2576 females. This suggests the existence of a maternal imprinting in the wild-type offspring that confers a greater facility to launch an AD-like neurodegenerative cascade. Such progeny, lacking any mutant amyloid precursor protein, constitutes a novel model to study maternal transmission of AD and, even more important, to discover early risk markers that predispose to the development of AD.","author":[{"dropping-particle":"","family":"Zamarbide","given":"Marta","non-dropping-particle":"","parse-names":false,"suffix":""},{"dropping-particle":"","family":"Gil-Bea","given":"Francisco J.","non-dropping-particle":"","parse-names":false,"suffix":""},{"dropping-particle":"","family":"Bannenberg","given":"Paul","non-dropping-particle":"","parse-names":false,"suffix":""},{"dropping-particle":"","family":"Martínez-Pinilla","given":"Eva","non-dropping-particle":"","parse-names":false,"suffix":""},{"dropping-particle":"","family":"Sandoval","given":"Juan","non-dropping-particle":"","parse-names":false,"suffix":""},{"dropping-particle":"","family":"Franco","given":"Rafael","non-dropping-particle":"","parse-names":false,"suffix":""},{"dropping-particle":"","family":"Pérez-Mediavilla","given":"Alberto","non-dropping-particle":"","parse-names":false,"suffix":""}],"container-title":"Scientific Reports","id":"ITEM-1","issue":"1","issued":{"date-parts":[["2018","12","1"]]},"publisher":"Nature Publishing Group","title":"Maternal imprinting on cognition markers of wild type and transgenic Alzheimer's disease model mice","type":"article-journal","volume":"8"},"uris":["http://www.mendeley.com/documents/?uuid=159fd97a-6b63-3733-9a28-d5ee56ec129d"]}],"mendeley":{"formattedCitation":"(49)","plainTextFormattedCitation":"(49)","previouslyFormattedCitation":"(49)"},"properties":{"noteIndex":0},"schema":"https://github.com/citation-style-language/schema/raw/master/csl-citation.json"}</w:instrText>
      </w:r>
      <w:r>
        <w:rPr>
          <w:rFonts w:cstheme="minorHAnsi"/>
          <w:lang w:val="en-US"/>
        </w:rPr>
        <w:fldChar w:fldCharType="separate"/>
      </w:r>
      <w:r w:rsidRPr="00114AA3">
        <w:rPr>
          <w:rFonts w:cstheme="minorHAnsi"/>
          <w:noProof/>
          <w:lang w:val="en-US"/>
        </w:rPr>
        <w:t>(49)</w:t>
      </w:r>
      <w:r>
        <w:rPr>
          <w:rFonts w:cstheme="minorHAnsi"/>
          <w:lang w:val="en-US"/>
        </w:rPr>
        <w:fldChar w:fldCharType="end"/>
      </w:r>
      <w:r w:rsidRPr="00DB5328">
        <w:rPr>
          <w:rFonts w:cstheme="minorHAnsi"/>
          <w:lang w:val="en-US"/>
        </w:rPr>
        <w:t xml:space="preserve">. The water maze was a circular tank (diameter 1.2 m) filled with water at 20°C and made opaque by the addition of non-toxic white paint. Mice underwent visible-platform training for three consecutive days (6 trials/day), and were allowed to swim to a raised platform (diameter 10 cm) located above the water in the same position over the trials. No distal visible cues were present during this phase. Hidden-platform training was conducted over 8 consecutive days </w:t>
      </w:r>
      <w:proofErr w:type="gramStart"/>
      <w:r w:rsidRPr="00DB5328">
        <w:rPr>
          <w:rFonts w:cstheme="minorHAnsi"/>
          <w:lang w:val="en-US"/>
        </w:rPr>
        <w:t>(4 trials/day)</w:t>
      </w:r>
      <w:proofErr w:type="gramEnd"/>
      <w:r w:rsidRPr="00DB5328">
        <w:rPr>
          <w:rFonts w:cstheme="minorHAnsi"/>
          <w:lang w:val="en-US"/>
        </w:rPr>
        <w:t xml:space="preserve">. Mice had 60 s to find a hidden platform submerged 1 cm beneath the surface of the water and </w:t>
      </w:r>
      <w:r w:rsidRPr="00DB5328">
        <w:rPr>
          <w:rFonts w:cstheme="minorHAnsi"/>
          <w:lang w:val="en-US"/>
        </w:rPr>
        <w:lastRenderedPageBreak/>
        <w:t xml:space="preserve">invisible to the mice while swimming. Several large visual cues were placed in the room to guide the mice to the hidden platform. In both visible- and hidden-platform versions, mice were placed pseudo-randomly in selected locations, facing towards the wall of the pool to eliminate the potentially confounding contribution of </w:t>
      </w:r>
      <w:proofErr w:type="spellStart"/>
      <w:r w:rsidRPr="00DB5328">
        <w:rPr>
          <w:rFonts w:cstheme="minorHAnsi"/>
          <w:lang w:val="en-US"/>
        </w:rPr>
        <w:t>extramaze</w:t>
      </w:r>
      <w:proofErr w:type="spellEnd"/>
      <w:r w:rsidRPr="00DB5328">
        <w:rPr>
          <w:rFonts w:cstheme="minorHAnsi"/>
          <w:lang w:val="en-US"/>
        </w:rPr>
        <w:t xml:space="preserve"> spatial cues. Mice that failed to reach the platform were guided onto it. All of the animals were allowed to rest on the platform for 20 s and then removed from the platform and returned to their home cage. At the beginning of the 4th, 7th, and 9th day of the task a probe trial, in which the platform was removed from the pool, was conducted and the mice were permitted to search the platform for 60 s. All trials were monitored by a camera above the center of the pool connected to a SMART-LD program (</w:t>
      </w:r>
      <w:proofErr w:type="spellStart"/>
      <w:r w:rsidRPr="00DB5328">
        <w:rPr>
          <w:rFonts w:cstheme="minorHAnsi"/>
          <w:lang w:val="en-US"/>
        </w:rPr>
        <w:t>Panlab</w:t>
      </w:r>
      <w:proofErr w:type="spellEnd"/>
      <w:r w:rsidRPr="00DB5328">
        <w:rPr>
          <w:rFonts w:cstheme="minorHAnsi"/>
          <w:lang w:val="en-US"/>
        </w:rPr>
        <w:t xml:space="preserve"> S.L., Barcelona, Spain) for subsequent analysis of escape latencies, swimming speed, path length and percent time spent in each quadrant of the pool during the probe trials. Mice that were unable to reach the visible</w:t>
      </w:r>
      <w:r>
        <w:rPr>
          <w:rFonts w:cstheme="minorHAnsi"/>
          <w:lang w:val="en-US"/>
        </w:rPr>
        <w:t xml:space="preserve"> </w:t>
      </w:r>
      <w:r w:rsidRPr="00DB5328">
        <w:rPr>
          <w:rFonts w:cstheme="minorHAnsi"/>
          <w:lang w:val="en-US"/>
        </w:rPr>
        <w:t>platform or mice exhibiting abnormal swimming patterns or persistent floating were excluded from data analyses.</w:t>
      </w:r>
    </w:p>
    <w:p w14:paraId="6B485F8C" w14:textId="77777777" w:rsidR="007718EC" w:rsidRPr="00DB5328" w:rsidRDefault="007718EC" w:rsidP="007718EC">
      <w:pPr>
        <w:spacing w:line="360" w:lineRule="auto"/>
        <w:jc w:val="both"/>
        <w:rPr>
          <w:rFonts w:cstheme="minorHAnsi"/>
          <w:i/>
          <w:lang w:val="en-US"/>
        </w:rPr>
      </w:pPr>
      <w:r w:rsidRPr="00DB5328">
        <w:rPr>
          <w:rFonts w:cstheme="minorHAnsi"/>
          <w:i/>
          <w:lang w:val="en-US"/>
        </w:rPr>
        <w:t>Fear conditioning-based memory induction protocol</w:t>
      </w:r>
    </w:p>
    <w:p w14:paraId="528665DC" w14:textId="77777777" w:rsidR="007718EC" w:rsidRPr="00DB5328" w:rsidRDefault="007718EC" w:rsidP="007718EC">
      <w:pPr>
        <w:spacing w:line="360" w:lineRule="auto"/>
        <w:jc w:val="both"/>
        <w:rPr>
          <w:rFonts w:eastAsia="Times New Roman" w:cstheme="minorHAnsi"/>
          <w:lang w:val="en-US" w:eastAsia="es-ES"/>
        </w:rPr>
      </w:pPr>
      <w:r w:rsidRPr="00DB5328">
        <w:rPr>
          <w:rFonts w:cstheme="minorHAnsi"/>
          <w:lang w:val="en-US"/>
        </w:rPr>
        <w:t xml:space="preserve">To induce the immediately early genes, all the animals were placed under a cognitive stimulus based on a fear </w:t>
      </w:r>
      <w:r w:rsidRPr="00455EA8">
        <w:rPr>
          <w:rFonts w:cstheme="minorHAnsi"/>
          <w:lang w:val="en-US"/>
        </w:rPr>
        <w:t>conditioning test as</w:t>
      </w:r>
      <w:r w:rsidRPr="004F4933">
        <w:rPr>
          <w:rFonts w:ascii="Georgia" w:hAnsi="Georgia"/>
          <w:sz w:val="27"/>
          <w:szCs w:val="27"/>
          <w:lang w:val="en-US"/>
        </w:rPr>
        <w:t xml:space="preserve"> </w:t>
      </w:r>
      <w:r w:rsidRPr="004F4933">
        <w:rPr>
          <w:rFonts w:cstheme="minorHAnsi"/>
          <w:lang w:val="en-US"/>
        </w:rPr>
        <w:t xml:space="preserve">described previously </w:t>
      </w:r>
      <w:r>
        <w:rPr>
          <w:rFonts w:cstheme="minorHAnsi"/>
        </w:rPr>
        <w:fldChar w:fldCharType="begin" w:fldLock="1"/>
      </w:r>
      <w:r>
        <w:rPr>
          <w:rFonts w:cstheme="minorHAnsi"/>
          <w:lang w:val="en-US"/>
        </w:rPr>
        <w:instrText>ADDIN CSL_CITATION {"citationItems":[{"id":"ITEM-1","itemData":{"DOI":"10.1111/j.1476-5381.2011.01517.x","ISSN":"00071188","PMID":"21627640","abstract":"BACKGROUND AND PURPOSE Inhibitors of phosphodiesterase 5 (PDE5) affect signalling pathways by elevating cGMP, which is a second messenger involved in processes of neuroplasticity. In the present study, the effects of the PDE5 inhibitor, sildenafil, on the pathological features of Alzheimer's disease and on memory-related behaviour were investigated. EXPERIMENTAL APPROACH Sildenafil was administered to the Tg2576 transgenic mouse model of Alzheimer's disease and to age-matched negative littermates (controls). Memory function was analysed using the Morris water maze test and fear conditioning tasks. Biochemical analyses were performed in brain lysates from animals treated with saline or with sildenafil. KEY RESULTS Treatment of aged Tg2576 animals with sildenafil completely reversed their cognitive impairment. Such changes were accompanied in the hippocampus by a reduction of tau hyperphosphorylation and a decrease in the activity of glycogen synthase kinase 3β (GSK3β) and of cyclin-dependent kinase 5 (CDK5) (p25/p35 ratio). Moreover, sildenafil also increased levels of brain-derived neurotrophic factor (BDNF) and the activity-regulated cytoskeletal-associated protein (Arc) in the hippocampus without any detectable modification of brain amyloid burden. CONCLUSIONS AND IMPLICATIONS Sildenafil improved cognitive functions in Tg2576 mice and the effect was not related to changes in the amyloid burden. These data further strengthen the potential of sildenafil as a therapeutic agent for Alzheimer's disease. © 2011 The Authors.","author":[{"dropping-particle":"","family":"Cuadrado-Tejedor","given":"M.","non-dropping-particle":"","parse-names":false,"suffix":""},{"dropping-particle":"","family":"Hervias","given":"I.","non-dropping-particle":"","parse-names":false,"suffix":""},{"dropping-particle":"","family":"Ricobaraza","given":"A.","non-dropping-particle":"","parse-names":false,"suffix":""},{"dropping-particle":"","family":"Puerta","given":"E.","non-dropping-particle":"","parse-names":false,"suffix":""},{"dropping-particle":"","family":"Pérez-Roldán","given":"J. M.","non-dropping-particle":"","parse-names":false,"suffix":""},{"dropping-particle":"","family":"García-Barroso","given":"C.","non-dropping-particle":"","parse-names":false,"suffix":""},{"dropping-particle":"","family":"Franco","given":"R.","non-dropping-particle":"","parse-names":false,"suffix":""},{"dropping-particle":"","family":"Aguirre","given":"N.","non-dropping-particle":"","parse-names":false,"suffix":""},{"dropping-particle":"","family":"García-Osta","given":"A.","non-dropping-particle":"","parse-names":false,"suffix":""}],"container-title":"British Journal of Pharmacology","id":"ITEM-1","issue":"8","issued":{"date-parts":[["2011","12"]]},"page":"2029-2041","publisher":"Wiley-Blackwell","title":"Sildenafil restores cognitive function without affecting β-amyloid burden in a mouse model of Alzheimer's disease","type":"article-journal","volume":"164"},"uris":["http://www.mendeley.com/documents/?uuid=70ed5b6b-fc40-3ba7-993e-1fb0a27054ce"]}],"mendeley":{"formattedCitation":"(50)","plainTextFormattedCitation":"(50)","previouslyFormattedCitation":"(50)"},"properties":{"noteIndex":0},"schema":"https://github.com/citation-style-language/schema/raw/master/csl-citation.json"}</w:instrText>
      </w:r>
      <w:r>
        <w:rPr>
          <w:rFonts w:cstheme="minorHAnsi"/>
        </w:rPr>
        <w:fldChar w:fldCharType="separate"/>
      </w:r>
      <w:r w:rsidRPr="00114AA3">
        <w:rPr>
          <w:rFonts w:cstheme="minorHAnsi"/>
          <w:noProof/>
          <w:lang w:val="en-US"/>
        </w:rPr>
        <w:t>(50)</w:t>
      </w:r>
      <w:r>
        <w:rPr>
          <w:rFonts w:cstheme="minorHAnsi"/>
        </w:rPr>
        <w:fldChar w:fldCharType="end"/>
      </w:r>
      <w:r w:rsidRPr="00DB5328">
        <w:rPr>
          <w:rFonts w:cstheme="minorHAnsi"/>
          <w:lang w:val="en-US"/>
        </w:rPr>
        <w:t xml:space="preserve">. The conditioning box is housed inside a soundproof chamber, which minimized external stimulation during the conditioning and retention tests. The box was provided with a house light that supplied dim illumination and a floor grid through which foot shocks could be administered. </w:t>
      </w:r>
      <w:r w:rsidRPr="00DB5328">
        <w:rPr>
          <w:rFonts w:eastAsia="Times New Roman" w:cstheme="minorHAnsi"/>
          <w:lang w:val="en-US" w:eastAsia="es-ES"/>
        </w:rPr>
        <w:t>The mice were placed in the conditioning chamber for 2 min before the onset of a tone at 2800 Hz, 85 dB (conditioned stimulus, CS), which lasted for 30 s. The last 2 s of the CS was paired with a 0.3 mA foot shock (unconditioned stimulus, US). After the shock and 10 s of resting the same CS-US was delivered three consecutive times. Finally, 30 s after the last pair of CS-US, the mice were returned to their home cages. The conditioning apparatus was controlled by the experimenter with specific software (</w:t>
      </w:r>
      <w:proofErr w:type="spellStart"/>
      <w:r w:rsidRPr="00DB5328">
        <w:rPr>
          <w:rFonts w:eastAsia="Times New Roman" w:cstheme="minorHAnsi"/>
          <w:lang w:val="en-US" w:eastAsia="es-ES"/>
        </w:rPr>
        <w:t>Packwin</w:t>
      </w:r>
      <w:proofErr w:type="spellEnd"/>
      <w:r w:rsidRPr="00DB5328">
        <w:rPr>
          <w:rFonts w:eastAsia="Times New Roman" w:cstheme="minorHAnsi"/>
          <w:lang w:val="en-US" w:eastAsia="es-ES"/>
        </w:rPr>
        <w:t xml:space="preserve">, </w:t>
      </w:r>
      <w:proofErr w:type="spellStart"/>
      <w:r w:rsidRPr="00DB5328">
        <w:rPr>
          <w:rFonts w:eastAsia="Times New Roman" w:cstheme="minorHAnsi"/>
          <w:lang w:val="en-US" w:eastAsia="es-ES"/>
        </w:rPr>
        <w:t>Panlab</w:t>
      </w:r>
      <w:proofErr w:type="spellEnd"/>
      <w:r w:rsidRPr="00DB5328">
        <w:rPr>
          <w:rFonts w:eastAsia="Times New Roman" w:cstheme="minorHAnsi"/>
          <w:lang w:val="en-US" w:eastAsia="es-ES"/>
        </w:rPr>
        <w:t xml:space="preserve"> S.L.) running on a PC. Two hours after the fear conditioning test, the animals were killed and the brains removed for biochemical studies.</w:t>
      </w:r>
    </w:p>
    <w:p w14:paraId="08FE8743" w14:textId="77777777" w:rsidR="00287747" w:rsidRPr="00E40EBA" w:rsidRDefault="00287747" w:rsidP="00287747">
      <w:pPr>
        <w:spacing w:line="360" w:lineRule="auto"/>
        <w:jc w:val="both"/>
        <w:rPr>
          <w:rFonts w:cstheme="minorHAnsi"/>
          <w:i/>
          <w:lang w:val="en-US"/>
        </w:rPr>
      </w:pPr>
      <w:r w:rsidRPr="00E40EBA">
        <w:rPr>
          <w:rFonts w:cstheme="minorHAnsi"/>
          <w:i/>
          <w:lang w:val="en-US"/>
        </w:rPr>
        <w:t>Tissue processing for immunohistochemistry</w:t>
      </w:r>
    </w:p>
    <w:p w14:paraId="2797BCC1" w14:textId="77777777" w:rsidR="00287747" w:rsidRPr="00DB5328" w:rsidRDefault="00287747" w:rsidP="00287747">
      <w:pPr>
        <w:spacing w:line="360" w:lineRule="auto"/>
        <w:jc w:val="both"/>
        <w:rPr>
          <w:rFonts w:eastAsia="Times New Roman" w:cstheme="minorHAnsi"/>
          <w:color w:val="000000"/>
          <w:lang w:val="en-US" w:eastAsia="es-ES"/>
        </w:rPr>
      </w:pPr>
      <w:r w:rsidRPr="00E40EBA">
        <w:rPr>
          <w:rFonts w:cstheme="minorHAnsi"/>
          <w:lang w:val="en-US"/>
        </w:rPr>
        <w:t xml:space="preserve">Under xylazine/ketamine anesthesia, animals were perfused </w:t>
      </w:r>
      <w:proofErr w:type="spellStart"/>
      <w:r w:rsidRPr="00E40EBA">
        <w:rPr>
          <w:rFonts w:cstheme="minorHAnsi"/>
          <w:lang w:val="en-US"/>
        </w:rPr>
        <w:t>transcardially</w:t>
      </w:r>
      <w:proofErr w:type="spellEnd"/>
      <w:r w:rsidRPr="00E40EBA">
        <w:rPr>
          <w:rFonts w:cstheme="minorHAnsi"/>
          <w:lang w:val="en-US"/>
        </w:rPr>
        <w:t xml:space="preserve"> with saline and 4%</w:t>
      </w:r>
      <w:r w:rsidRPr="00DB5328">
        <w:rPr>
          <w:rFonts w:eastAsia="Times New Roman" w:cstheme="minorHAnsi"/>
          <w:color w:val="000000"/>
          <w:lang w:val="en-US" w:eastAsia="es-ES"/>
        </w:rPr>
        <w:t xml:space="preserve"> paraformaldehyde in phosphate buffer (PB). After perfusion, brains were removed, post-</w:t>
      </w:r>
      <w:r w:rsidRPr="00DB5328">
        <w:rPr>
          <w:rFonts w:eastAsia="Times New Roman" w:cstheme="minorHAnsi"/>
          <w:color w:val="000000"/>
          <w:lang w:eastAsia="es-ES"/>
        </w:rPr>
        <w:t>ﬁ</w:t>
      </w:r>
      <w:proofErr w:type="spellStart"/>
      <w:r w:rsidRPr="00DB5328">
        <w:rPr>
          <w:rFonts w:eastAsia="Times New Roman" w:cstheme="minorHAnsi"/>
          <w:color w:val="000000"/>
          <w:lang w:val="en-US" w:eastAsia="es-ES"/>
        </w:rPr>
        <w:t>xed</w:t>
      </w:r>
      <w:proofErr w:type="spellEnd"/>
      <w:r w:rsidRPr="00DB5328">
        <w:rPr>
          <w:rFonts w:eastAsia="Times New Roman" w:cstheme="minorHAnsi"/>
          <w:color w:val="000000"/>
          <w:lang w:val="en-US" w:eastAsia="es-ES"/>
        </w:rPr>
        <w:t xml:space="preserve"> in the same </w:t>
      </w:r>
      <w:r w:rsidRPr="00DB5328">
        <w:rPr>
          <w:rFonts w:eastAsia="Times New Roman" w:cstheme="minorHAnsi"/>
          <w:color w:val="000000"/>
          <w:lang w:eastAsia="es-ES"/>
        </w:rPr>
        <w:t>ﬁ</w:t>
      </w:r>
      <w:proofErr w:type="spellStart"/>
      <w:r w:rsidRPr="00DB5328">
        <w:rPr>
          <w:rFonts w:eastAsia="Times New Roman" w:cstheme="minorHAnsi"/>
          <w:color w:val="000000"/>
          <w:lang w:val="en-US" w:eastAsia="es-ES"/>
        </w:rPr>
        <w:t>xative</w:t>
      </w:r>
      <w:proofErr w:type="spellEnd"/>
      <w:r w:rsidRPr="00DB5328">
        <w:rPr>
          <w:rFonts w:eastAsia="Times New Roman" w:cstheme="minorHAnsi"/>
          <w:color w:val="000000"/>
          <w:lang w:val="en-US" w:eastAsia="es-ES"/>
        </w:rPr>
        <w:t xml:space="preserve"> solution for 1 h at room temperature and cryoprotected in 30% sucrose solution in PB overnight at 4°C. Microtome sections (30 µm-thick) were cut </w:t>
      </w:r>
      <w:proofErr w:type="spellStart"/>
      <w:r w:rsidRPr="00DB5328">
        <w:rPr>
          <w:rFonts w:eastAsia="Times New Roman" w:cstheme="minorHAnsi"/>
          <w:color w:val="000000"/>
          <w:lang w:val="en-US" w:eastAsia="es-ES"/>
        </w:rPr>
        <w:t>coronally</w:t>
      </w:r>
      <w:proofErr w:type="spellEnd"/>
      <w:r w:rsidRPr="00DB5328">
        <w:rPr>
          <w:rFonts w:eastAsia="Times New Roman" w:cstheme="minorHAnsi"/>
          <w:color w:val="000000"/>
          <w:lang w:val="en-US" w:eastAsia="es-ES"/>
        </w:rPr>
        <w:t xml:space="preserve"> through the entire hippocampus, collected free-</w:t>
      </w:r>
      <w:r w:rsidRPr="00DB5328">
        <w:rPr>
          <w:rFonts w:eastAsia="Times New Roman" w:cstheme="minorHAnsi"/>
          <w:color w:val="000000"/>
          <w:lang w:eastAsia="es-ES"/>
        </w:rPr>
        <w:t>ﬂ</w:t>
      </w:r>
      <w:proofErr w:type="spellStart"/>
      <w:r w:rsidRPr="00DB5328">
        <w:rPr>
          <w:rFonts w:eastAsia="Times New Roman" w:cstheme="minorHAnsi"/>
          <w:color w:val="000000"/>
          <w:lang w:val="en-US" w:eastAsia="es-ES"/>
        </w:rPr>
        <w:t>oating</w:t>
      </w:r>
      <w:proofErr w:type="spellEnd"/>
      <w:r w:rsidRPr="00DB5328">
        <w:rPr>
          <w:rFonts w:eastAsia="Times New Roman" w:cstheme="minorHAnsi"/>
          <w:color w:val="000000"/>
          <w:lang w:val="en-US" w:eastAsia="es-ES"/>
        </w:rPr>
        <w:t xml:space="preserve"> and stored in 30% ethylene glycol, 30% glycerol, and 0.1 M PB at -20°C until processed.</w:t>
      </w:r>
    </w:p>
    <w:p w14:paraId="0331006C" w14:textId="77777777" w:rsidR="00287747" w:rsidRPr="00E40EBA" w:rsidRDefault="00287747" w:rsidP="00287747">
      <w:pPr>
        <w:spacing w:line="360" w:lineRule="auto"/>
        <w:jc w:val="both"/>
        <w:rPr>
          <w:rFonts w:cstheme="minorHAnsi"/>
          <w:i/>
          <w:lang w:val="en-US"/>
        </w:rPr>
      </w:pPr>
      <w:r w:rsidRPr="00E40EBA">
        <w:rPr>
          <w:rFonts w:cstheme="minorHAnsi"/>
          <w:i/>
          <w:lang w:val="en-US"/>
        </w:rPr>
        <w:lastRenderedPageBreak/>
        <w:t>Immunohistochemistry</w:t>
      </w:r>
    </w:p>
    <w:p w14:paraId="09E9ED94" w14:textId="7902A653" w:rsidR="00287747" w:rsidRPr="00DB5328" w:rsidRDefault="00287747" w:rsidP="00287747">
      <w:pPr>
        <w:spacing w:line="360" w:lineRule="auto"/>
        <w:jc w:val="both"/>
        <w:rPr>
          <w:rFonts w:cstheme="minorHAnsi"/>
          <w:lang w:val="en-US"/>
        </w:rPr>
      </w:pPr>
      <w:r w:rsidRPr="00E40EBA">
        <w:rPr>
          <w:rFonts w:cstheme="minorHAnsi"/>
          <w:lang w:val="en-US"/>
        </w:rPr>
        <w:t>Nine free ﬂoating tissue sections comprising the hippocampal formation of three animals per group</w:t>
      </w:r>
      <w:r w:rsidRPr="00DB5328">
        <w:rPr>
          <w:rFonts w:eastAsia="Times New Roman" w:cstheme="minorHAnsi"/>
          <w:color w:val="000000"/>
          <w:lang w:val="en-US" w:eastAsia="es-ES"/>
        </w:rPr>
        <w:t xml:space="preserve"> were processed for immunohistochemistry. </w:t>
      </w:r>
      <w:r w:rsidRPr="00DB5328">
        <w:rPr>
          <w:rFonts w:cstheme="minorHAnsi"/>
          <w:lang w:val="en-US"/>
        </w:rPr>
        <w:t>Brain sections were washed (3 × 10</w:t>
      </w:r>
      <w:r w:rsidRPr="00DB5328">
        <w:rPr>
          <w:rStyle w:val="mb"/>
          <w:rFonts w:cstheme="minorHAnsi"/>
          <w:lang w:val="en-US"/>
        </w:rPr>
        <w:t> </w:t>
      </w:r>
      <w:r w:rsidRPr="00DB5328">
        <w:rPr>
          <w:rFonts w:cstheme="minorHAnsi"/>
          <w:lang w:val="en-US"/>
        </w:rPr>
        <w:t>min) with a solution buffer containing PB 0.125</w:t>
      </w:r>
      <w:r w:rsidRPr="00DB5328">
        <w:rPr>
          <w:rStyle w:val="mb"/>
          <w:rFonts w:cstheme="minorHAnsi"/>
          <w:lang w:val="en-US"/>
        </w:rPr>
        <w:t> </w:t>
      </w:r>
      <w:r w:rsidRPr="00DB5328">
        <w:rPr>
          <w:rFonts w:cstheme="minorHAnsi"/>
          <w:lang w:val="en-US"/>
        </w:rPr>
        <w:t>M (pH 7.4), 0.5</w:t>
      </w:r>
      <w:r w:rsidRPr="00DB5328">
        <w:rPr>
          <w:rStyle w:val="mb"/>
          <w:rFonts w:cstheme="minorHAnsi"/>
          <w:lang w:val="en-US"/>
        </w:rPr>
        <w:t>%</w:t>
      </w:r>
      <w:r w:rsidRPr="00DB5328">
        <w:rPr>
          <w:rFonts w:cstheme="minorHAnsi"/>
          <w:lang w:val="en-US"/>
        </w:rPr>
        <w:t xml:space="preserve"> Triton X-100 and 0.1</w:t>
      </w:r>
      <w:r w:rsidRPr="00DB5328">
        <w:rPr>
          <w:rStyle w:val="mb"/>
          <w:rFonts w:cstheme="minorHAnsi"/>
          <w:lang w:val="en-US"/>
        </w:rPr>
        <w:t>%</w:t>
      </w:r>
      <w:r w:rsidRPr="00DB5328">
        <w:rPr>
          <w:rFonts w:cstheme="minorHAnsi"/>
          <w:lang w:val="en-US"/>
        </w:rPr>
        <w:t xml:space="preserve"> </w:t>
      </w:r>
      <w:r w:rsidR="005D6ED9">
        <w:rPr>
          <w:rFonts w:cstheme="minorHAnsi"/>
          <w:lang w:val="en-US"/>
        </w:rPr>
        <w:t>Bovine serum albumin (</w:t>
      </w:r>
      <w:r w:rsidRPr="00DB5328">
        <w:rPr>
          <w:rFonts w:cstheme="minorHAnsi"/>
          <w:lang w:val="en-US"/>
        </w:rPr>
        <w:t>BSA</w:t>
      </w:r>
      <w:r w:rsidR="005D6ED9">
        <w:rPr>
          <w:rFonts w:cstheme="minorHAnsi"/>
          <w:lang w:val="en-US"/>
        </w:rPr>
        <w:t>)</w:t>
      </w:r>
      <w:r w:rsidRPr="00DB5328">
        <w:rPr>
          <w:rFonts w:cstheme="minorHAnsi"/>
          <w:lang w:val="en-US"/>
        </w:rPr>
        <w:t>. After washing, sections were treated with methanol and H</w:t>
      </w:r>
      <w:r w:rsidRPr="00DB5328">
        <w:rPr>
          <w:rFonts w:cstheme="minorHAnsi"/>
          <w:vertAlign w:val="subscript"/>
          <w:lang w:val="en-US"/>
        </w:rPr>
        <w:t>2</w:t>
      </w:r>
      <w:r w:rsidRPr="00DB5328">
        <w:rPr>
          <w:rFonts w:cstheme="minorHAnsi"/>
          <w:lang w:val="en-US"/>
        </w:rPr>
        <w:t>O</w:t>
      </w:r>
      <w:r w:rsidRPr="00DB5328">
        <w:rPr>
          <w:rFonts w:cstheme="minorHAnsi"/>
          <w:vertAlign w:val="subscript"/>
          <w:lang w:val="en-US"/>
        </w:rPr>
        <w:t>2</w:t>
      </w:r>
      <w:r w:rsidRPr="00DB5328">
        <w:rPr>
          <w:rFonts w:cstheme="minorHAnsi"/>
          <w:lang w:val="en-US"/>
        </w:rPr>
        <w:t xml:space="preserve"> to inhibit endogenous peroxidase activity and incubated in 70</w:t>
      </w:r>
      <w:r w:rsidRPr="00DB5328">
        <w:rPr>
          <w:rStyle w:val="mb"/>
          <w:rFonts w:cstheme="minorHAnsi"/>
          <w:lang w:val="en-US"/>
        </w:rPr>
        <w:t>%</w:t>
      </w:r>
      <w:r w:rsidRPr="00DB5328">
        <w:rPr>
          <w:rFonts w:cstheme="minorHAnsi"/>
          <w:lang w:val="en-US"/>
        </w:rPr>
        <w:t xml:space="preserve"> formic acid for 7</w:t>
      </w:r>
      <w:r w:rsidRPr="00DB5328">
        <w:rPr>
          <w:rStyle w:val="mb"/>
          <w:rFonts w:cstheme="minorHAnsi"/>
          <w:lang w:val="en-US"/>
        </w:rPr>
        <w:t> </w:t>
      </w:r>
      <w:r w:rsidRPr="00DB5328">
        <w:rPr>
          <w:rFonts w:cstheme="minorHAnsi"/>
          <w:lang w:val="en-US"/>
        </w:rPr>
        <w:t>min to expose the epitope. Sections were incubated overnight with primary antibody 6E10 (</w:t>
      </w:r>
      <w:r w:rsidRPr="00DB5328">
        <w:rPr>
          <w:rFonts w:eastAsia="Times New Roman" w:cstheme="minorHAnsi"/>
          <w:color w:val="000000"/>
          <w:lang w:val="en-US" w:eastAsia="es-ES"/>
        </w:rPr>
        <w:t>anti</w:t>
      </w:r>
      <w:r>
        <w:rPr>
          <w:rFonts w:eastAsia="Times New Roman" w:cstheme="minorHAnsi"/>
          <w:color w:val="000000"/>
          <w:lang w:val="en-US" w:eastAsia="es-ES"/>
        </w:rPr>
        <w:t>-</w:t>
      </w:r>
      <w:r w:rsidRPr="00DB5328">
        <w:rPr>
          <w:rFonts w:eastAsia="Times New Roman" w:cstheme="minorHAnsi"/>
          <w:color w:val="000000"/>
          <w:lang w:val="en-US" w:eastAsia="es-ES"/>
        </w:rPr>
        <w:t xml:space="preserve">Aβ amino acids 1-17) (1:200, </w:t>
      </w:r>
      <w:r w:rsidRPr="00DB5328">
        <w:rPr>
          <w:rFonts w:eastAsia="Times New Roman" w:cstheme="minorHAnsi"/>
          <w:lang w:val="en-US" w:eastAsia="es-ES"/>
        </w:rPr>
        <w:t>Millipore Corporation, Billerica, MA, USA</w:t>
      </w:r>
      <w:r w:rsidRPr="00DB5328">
        <w:rPr>
          <w:rFonts w:cstheme="minorHAnsi"/>
          <w:lang w:val="en-US"/>
        </w:rPr>
        <w:t>) at 4°C. After washing, sections were incubated sequentially with biotinylated goat anti-mouse secondary antibody (</w:t>
      </w:r>
      <w:r w:rsidR="005D6ED9">
        <w:rPr>
          <w:rFonts w:cstheme="minorHAnsi"/>
          <w:lang w:val="en-US"/>
        </w:rPr>
        <w:t>1:500</w:t>
      </w:r>
      <w:r w:rsidRPr="00DB5328">
        <w:rPr>
          <w:rFonts w:cstheme="minorHAnsi"/>
          <w:lang w:val="en-US"/>
        </w:rPr>
        <w:t xml:space="preserve"> </w:t>
      </w:r>
      <w:proofErr w:type="spellStart"/>
      <w:r w:rsidRPr="00DB5328">
        <w:rPr>
          <w:rFonts w:cstheme="minorHAnsi"/>
          <w:lang w:val="en-US"/>
        </w:rPr>
        <w:t>DakoCytomation</w:t>
      </w:r>
      <w:proofErr w:type="spellEnd"/>
      <w:r w:rsidRPr="00DB5328">
        <w:rPr>
          <w:rFonts w:cstheme="minorHAnsi"/>
          <w:lang w:val="en-US"/>
        </w:rPr>
        <w:t xml:space="preserve">, </w:t>
      </w:r>
      <w:proofErr w:type="spellStart"/>
      <w:r w:rsidRPr="00DB5328">
        <w:rPr>
          <w:rFonts w:cstheme="minorHAnsi"/>
          <w:lang w:val="en-US"/>
        </w:rPr>
        <w:t>Glostrup</w:t>
      </w:r>
      <w:proofErr w:type="spellEnd"/>
      <w:r w:rsidRPr="00DB5328">
        <w:rPr>
          <w:rFonts w:cstheme="minorHAnsi"/>
          <w:lang w:val="en-US"/>
        </w:rPr>
        <w:t>, Denmark) for 2</w:t>
      </w:r>
      <w:r w:rsidRPr="00DB5328">
        <w:rPr>
          <w:rFonts w:cstheme="minorHAnsi"/>
          <w:noProof/>
          <w:lang w:eastAsia="ja-JP"/>
        </w:rPr>
        <w:drawing>
          <wp:inline distT="0" distB="0" distL="0" distR="0" wp14:anchorId="6A525C25" wp14:editId="74A5EA14">
            <wp:extent cx="25400" cy="8255"/>
            <wp:effectExtent l="0" t="0" r="0" b="0"/>
            <wp:docPr id="2" name="Imagen 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400" cy="8255"/>
                    </a:xfrm>
                    <a:prstGeom prst="rect">
                      <a:avLst/>
                    </a:prstGeom>
                    <a:noFill/>
                    <a:ln>
                      <a:noFill/>
                    </a:ln>
                  </pic:spPr>
                </pic:pic>
              </a:graphicData>
            </a:graphic>
          </wp:inline>
        </w:drawing>
      </w:r>
      <w:r w:rsidRPr="00DB5328">
        <w:rPr>
          <w:rFonts w:cstheme="minorHAnsi"/>
          <w:lang w:val="en-US"/>
        </w:rPr>
        <w:t>h, an ABC kit immunoassay detection systems (Vector, Burlingame, CA, USA) for 90</w:t>
      </w:r>
      <w:r w:rsidRPr="00DB5328">
        <w:rPr>
          <w:rFonts w:cstheme="minorHAnsi"/>
          <w:noProof/>
          <w:lang w:eastAsia="ja-JP"/>
        </w:rPr>
        <w:drawing>
          <wp:inline distT="0" distB="0" distL="0" distR="0" wp14:anchorId="1C11FE06" wp14:editId="794AF049">
            <wp:extent cx="25400" cy="8255"/>
            <wp:effectExtent l="0" t="0" r="0" b="0"/>
            <wp:docPr id="1" name="Imagen 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400" cy="8255"/>
                    </a:xfrm>
                    <a:prstGeom prst="rect">
                      <a:avLst/>
                    </a:prstGeom>
                    <a:noFill/>
                    <a:ln>
                      <a:noFill/>
                    </a:ln>
                  </pic:spPr>
                </pic:pic>
              </a:graphicData>
            </a:graphic>
          </wp:inline>
        </w:drawing>
      </w:r>
      <w:r w:rsidRPr="00DB5328">
        <w:rPr>
          <w:rFonts w:cstheme="minorHAnsi"/>
          <w:lang w:val="en-US"/>
        </w:rPr>
        <w:t xml:space="preserve">min, and developed with 3,3’-diaminobenzidine (DAB) solution (Peroxidase substrate kit, Vector, </w:t>
      </w:r>
      <w:r w:rsidRPr="00DB5328">
        <w:rPr>
          <w:rFonts w:cstheme="minorHAnsi"/>
          <w:shd w:val="clear" w:color="auto" w:fill="FFFFFF"/>
          <w:lang w:val="en-US"/>
        </w:rPr>
        <w:t>Burlingame, CA, USA</w:t>
      </w:r>
      <w:r w:rsidRPr="00DB5328">
        <w:rPr>
          <w:rFonts w:cstheme="minorHAnsi"/>
          <w:lang w:val="en-US"/>
        </w:rPr>
        <w:t>). Sections were then washed in distilled water before dehydrating and mounting in DPX (</w:t>
      </w:r>
      <w:r w:rsidRPr="00DB5328">
        <w:rPr>
          <w:rStyle w:val="nfasis"/>
          <w:rFonts w:cstheme="minorHAnsi"/>
          <w:bCs/>
          <w:shd w:val="clear" w:color="auto" w:fill="FFFFFF"/>
          <w:lang w:val="en-US"/>
        </w:rPr>
        <w:t>BDH</w:t>
      </w:r>
      <w:r w:rsidRPr="00DB5328">
        <w:rPr>
          <w:rStyle w:val="apple-converted-space"/>
          <w:rFonts w:cstheme="minorHAnsi"/>
          <w:shd w:val="clear" w:color="auto" w:fill="FFFFFF"/>
          <w:lang w:val="en-US"/>
        </w:rPr>
        <w:t xml:space="preserve"> </w:t>
      </w:r>
      <w:proofErr w:type="spellStart"/>
      <w:r w:rsidRPr="00DB5328">
        <w:rPr>
          <w:rFonts w:cstheme="minorHAnsi"/>
          <w:shd w:val="clear" w:color="auto" w:fill="FFFFFF"/>
          <w:lang w:val="en-US"/>
        </w:rPr>
        <w:t>Gurr</w:t>
      </w:r>
      <w:proofErr w:type="spellEnd"/>
      <w:r w:rsidRPr="00DB5328">
        <w:rPr>
          <w:rFonts w:cstheme="minorHAnsi"/>
          <w:shd w:val="clear" w:color="auto" w:fill="FFFFFF"/>
          <w:lang w:val="en-US"/>
        </w:rPr>
        <w:t>, Poole, UK</w:t>
      </w:r>
      <w:r w:rsidRPr="00DB5328">
        <w:rPr>
          <w:rFonts w:cstheme="minorHAnsi"/>
          <w:lang w:val="en-US"/>
        </w:rPr>
        <w:t>).</w:t>
      </w:r>
    </w:p>
    <w:p w14:paraId="6E4BFF09" w14:textId="77777777" w:rsidR="00287747" w:rsidRPr="00DB5328" w:rsidRDefault="00287747" w:rsidP="00287747">
      <w:pPr>
        <w:spacing w:after="0" w:line="360" w:lineRule="auto"/>
        <w:jc w:val="both"/>
        <w:rPr>
          <w:rFonts w:cstheme="minorHAnsi"/>
          <w:i/>
          <w:lang w:val="en-US"/>
        </w:rPr>
      </w:pPr>
      <w:r w:rsidRPr="00DB5328">
        <w:rPr>
          <w:rFonts w:cstheme="minorHAnsi"/>
          <w:i/>
          <w:lang w:val="en-US"/>
        </w:rPr>
        <w:t>Protein extracts</w:t>
      </w:r>
    </w:p>
    <w:p w14:paraId="7483FCE9" w14:textId="77777777" w:rsidR="00287747" w:rsidRPr="00DB5328" w:rsidRDefault="00287747" w:rsidP="00287747">
      <w:pPr>
        <w:spacing w:before="100" w:beforeAutospacing="1" w:after="100" w:afterAutospacing="1" w:line="360" w:lineRule="auto"/>
        <w:jc w:val="both"/>
        <w:rPr>
          <w:rFonts w:eastAsia="Times New Roman" w:cstheme="minorHAnsi"/>
          <w:lang w:val="en-US" w:eastAsia="es-ES"/>
        </w:rPr>
      </w:pPr>
      <w:r w:rsidRPr="00DB5328">
        <w:rPr>
          <w:rFonts w:eastAsia="Times New Roman" w:cstheme="minorHAnsi"/>
          <w:lang w:val="en-US" w:eastAsia="es-ES"/>
        </w:rPr>
        <w:t xml:space="preserve">Mice were killed by cervical dislocation and hippocampi were quickly dissected from the brains. Total tissue homogenates were obtained by homogenizing the hippocampus in a cold lysis buffer with protease inhibitors (0.2 M NaCl, 0.1 M HEPES, 10% glycerol, 200 </w:t>
      </w:r>
      <w:proofErr w:type="spellStart"/>
      <w:r w:rsidRPr="00DB5328">
        <w:rPr>
          <w:rFonts w:eastAsia="Times New Roman" w:cstheme="minorHAnsi"/>
          <w:lang w:val="en-US" w:eastAsia="es-ES"/>
        </w:rPr>
        <w:t>mM</w:t>
      </w:r>
      <w:proofErr w:type="spellEnd"/>
      <w:r w:rsidRPr="00DB5328">
        <w:rPr>
          <w:rFonts w:eastAsia="Times New Roman" w:cstheme="minorHAnsi"/>
          <w:lang w:val="en-US" w:eastAsia="es-ES"/>
        </w:rPr>
        <w:t xml:space="preserve"> </w:t>
      </w:r>
      <w:proofErr w:type="spellStart"/>
      <w:r w:rsidRPr="00DB5328">
        <w:rPr>
          <w:rFonts w:eastAsia="Times New Roman" w:cstheme="minorHAnsi"/>
          <w:lang w:val="en-US" w:eastAsia="es-ES"/>
        </w:rPr>
        <w:t>NaF</w:t>
      </w:r>
      <w:proofErr w:type="spellEnd"/>
      <w:r w:rsidRPr="00DB5328">
        <w:rPr>
          <w:rFonts w:eastAsia="Times New Roman" w:cstheme="minorHAnsi"/>
          <w:lang w:val="en-US" w:eastAsia="es-ES"/>
        </w:rPr>
        <w:t xml:space="preserve">, 2 </w:t>
      </w:r>
      <w:proofErr w:type="spellStart"/>
      <w:r w:rsidRPr="00DB5328">
        <w:rPr>
          <w:rFonts w:eastAsia="Times New Roman" w:cstheme="minorHAnsi"/>
          <w:lang w:val="en-US" w:eastAsia="es-ES"/>
        </w:rPr>
        <w:t>mM</w:t>
      </w:r>
      <w:proofErr w:type="spellEnd"/>
      <w:r w:rsidRPr="00DB5328">
        <w:rPr>
          <w:rFonts w:eastAsia="Times New Roman" w:cstheme="minorHAnsi"/>
          <w:lang w:val="en-US" w:eastAsia="es-ES"/>
        </w:rPr>
        <w:t xml:space="preserve"> Na</w:t>
      </w:r>
      <w:r w:rsidRPr="00DB5328">
        <w:rPr>
          <w:rFonts w:eastAsia="Times New Roman" w:cstheme="minorHAnsi"/>
          <w:vertAlign w:val="subscript"/>
          <w:lang w:val="en-US" w:eastAsia="es-ES"/>
        </w:rPr>
        <w:t>4</w:t>
      </w:r>
      <w:r w:rsidRPr="00DB5328">
        <w:rPr>
          <w:rFonts w:eastAsia="Times New Roman" w:cstheme="minorHAnsi"/>
          <w:lang w:val="en-US" w:eastAsia="es-ES"/>
        </w:rPr>
        <w:t>P</w:t>
      </w:r>
      <w:r w:rsidRPr="00DB5328">
        <w:rPr>
          <w:rFonts w:eastAsia="Times New Roman" w:cstheme="minorHAnsi"/>
          <w:vertAlign w:val="subscript"/>
          <w:lang w:val="en-US" w:eastAsia="es-ES"/>
        </w:rPr>
        <w:t>2</w:t>
      </w:r>
      <w:r w:rsidRPr="00DB5328">
        <w:rPr>
          <w:rFonts w:eastAsia="Times New Roman" w:cstheme="minorHAnsi"/>
          <w:lang w:val="en-US" w:eastAsia="es-ES"/>
        </w:rPr>
        <w:t>O</w:t>
      </w:r>
      <w:r w:rsidRPr="00DB5328">
        <w:rPr>
          <w:rFonts w:eastAsia="Times New Roman" w:cstheme="minorHAnsi"/>
          <w:vertAlign w:val="subscript"/>
          <w:lang w:val="en-US" w:eastAsia="es-ES"/>
        </w:rPr>
        <w:t>7</w:t>
      </w:r>
      <w:r w:rsidRPr="00DB5328">
        <w:rPr>
          <w:rFonts w:eastAsia="Times New Roman" w:cstheme="minorHAnsi"/>
          <w:lang w:val="en-US" w:eastAsia="es-ES"/>
        </w:rPr>
        <w:t>, 5 mM EDTA, 1 mM EGTA, 2 mM DTT, 0.5 mM PMSF, 1 mM Na</w:t>
      </w:r>
      <w:r w:rsidRPr="00DB5328">
        <w:rPr>
          <w:rFonts w:eastAsia="Times New Roman" w:cstheme="minorHAnsi"/>
          <w:vertAlign w:val="subscript"/>
          <w:lang w:val="en-US" w:eastAsia="es-ES"/>
        </w:rPr>
        <w:t>3</w:t>
      </w:r>
      <w:r w:rsidRPr="00DB5328">
        <w:rPr>
          <w:rFonts w:eastAsia="Times New Roman" w:cstheme="minorHAnsi"/>
          <w:lang w:val="en-US" w:eastAsia="es-ES"/>
        </w:rPr>
        <w:t>VO</w:t>
      </w:r>
      <w:r w:rsidRPr="00DB5328">
        <w:rPr>
          <w:rFonts w:eastAsia="Times New Roman" w:cstheme="minorHAnsi"/>
          <w:vertAlign w:val="subscript"/>
          <w:lang w:val="en-US" w:eastAsia="es-ES"/>
        </w:rPr>
        <w:t>4</w:t>
      </w:r>
      <w:r w:rsidRPr="00DB5328">
        <w:rPr>
          <w:rFonts w:eastAsia="Times New Roman" w:cstheme="minorHAnsi"/>
          <w:lang w:val="en-US" w:eastAsia="es-ES"/>
        </w:rPr>
        <w:t>, 1 mM benzamidine, 10 µg·mL</w:t>
      </w:r>
      <w:r w:rsidRPr="00DB5328">
        <w:rPr>
          <w:rFonts w:eastAsia="Times New Roman" w:cstheme="minorHAnsi"/>
          <w:vertAlign w:val="superscript"/>
          <w:lang w:val="en-US" w:eastAsia="es-ES"/>
        </w:rPr>
        <w:t>−1</w:t>
      </w:r>
      <w:r w:rsidRPr="00DB5328">
        <w:rPr>
          <w:rFonts w:eastAsia="Times New Roman" w:cstheme="minorHAnsi"/>
          <w:lang w:val="en-US" w:eastAsia="es-ES"/>
        </w:rPr>
        <w:t xml:space="preserve"> leupeptin, 400 U·mL</w:t>
      </w:r>
      <w:r w:rsidRPr="00DB5328">
        <w:rPr>
          <w:rFonts w:eastAsia="Times New Roman" w:cstheme="minorHAnsi"/>
          <w:vertAlign w:val="superscript"/>
          <w:lang w:val="en-US" w:eastAsia="es-ES"/>
        </w:rPr>
        <w:t>−1</w:t>
      </w:r>
      <w:r w:rsidRPr="00DB5328">
        <w:rPr>
          <w:rFonts w:eastAsia="Times New Roman" w:cstheme="minorHAnsi"/>
          <w:lang w:val="en-US" w:eastAsia="es-ES"/>
        </w:rPr>
        <w:t xml:space="preserve"> aprotinin). After that, the homogenates were centrifuged at 14.000×</w:t>
      </w:r>
      <w:r w:rsidRPr="00DB5328">
        <w:rPr>
          <w:rFonts w:eastAsia="Times New Roman" w:cstheme="minorHAnsi"/>
          <w:i/>
          <w:iCs/>
          <w:lang w:val="en-US" w:eastAsia="es-ES"/>
        </w:rPr>
        <w:t>g</w:t>
      </w:r>
      <w:r w:rsidRPr="00DB5328">
        <w:rPr>
          <w:rFonts w:eastAsia="Times New Roman" w:cstheme="minorHAnsi"/>
          <w:lang w:val="en-US" w:eastAsia="es-ES"/>
        </w:rPr>
        <w:t xml:space="preserve"> for 20 min at 4°C and the supernatant was aliquoted and stored at -80°C. Total protein concentrations were determined using the Bio-Rad Bradford protein assay (Bio-Rad, Hercules, CA, USA).</w:t>
      </w:r>
    </w:p>
    <w:p w14:paraId="068A62EB" w14:textId="77777777" w:rsidR="00287747" w:rsidRPr="00DB5328" w:rsidRDefault="00287747" w:rsidP="00287747">
      <w:pPr>
        <w:spacing w:before="100" w:beforeAutospacing="1" w:after="100" w:afterAutospacing="1" w:line="360" w:lineRule="auto"/>
        <w:jc w:val="both"/>
        <w:rPr>
          <w:rFonts w:cstheme="minorHAnsi"/>
          <w:lang w:val="en-US"/>
        </w:rPr>
      </w:pPr>
      <w:r w:rsidRPr="00DB5328">
        <w:rPr>
          <w:rFonts w:cstheme="minorHAnsi"/>
          <w:lang w:val="en-US"/>
        </w:rPr>
        <w:t>To obtain the membrane-enriched protein fraction (P2 membrane proteins), a previously described method</w:t>
      </w:r>
      <w:r>
        <w:rPr>
          <w:rFonts w:cstheme="minorHAnsi"/>
          <w:lang w:val="en-US"/>
        </w:rPr>
        <w:t xml:space="preserve"> </w:t>
      </w:r>
      <w:r>
        <w:rPr>
          <w:rFonts w:cstheme="minorHAnsi"/>
          <w:lang w:val="en-US"/>
        </w:rPr>
        <w:fldChar w:fldCharType="begin" w:fldLock="1"/>
      </w:r>
      <w:r>
        <w:rPr>
          <w:rFonts w:cstheme="minorHAnsi"/>
          <w:lang w:val="en-US"/>
        </w:rPr>
        <w:instrText>ADDIN CSL_CITATION {"citationItems":[{"id":"ITEM-1","itemData":{"ISSN":"0026895X","PMID":"10648644","abstract":"Recent evidence has linked striatal N-methyl-D-aspartate (NMDA) receptor function to the adverse effects of long-term dopaminergic treatment in Parkinson's disease. We have studied the abundance, composition, and phosphorylation of NMDA receptor subunits (NRs) in the rat 6-hydroxydopamine lesion model of parkinsonism. In lesioned striatum, the abundance of NR1 and NR2B in striatal membranes was decreased to 68 ± 3.2 and 62 ± 4.4%, respectively, relative to the unlesioned striata, whereas the abundance of NR2A was unchanged. Coimmunoprecipitation of NMDA receptors under nondenaturing conditions revealed that these changes reflected a selective depletion of receptors composed of NR1/NR2B, without alteration in receptors composed of NR1/NR2A. However, the abundance and composition of striatal NMDA receptors in extracts containing both cytoplasmic and membrane proteins were not altered in lesioned rats, suggesting that the changes in the membrane fraction resulted from intracellular redistribution of receptors. The phosphorylation of NR1 protein at serine 890 and serine 896, but not at serine 897, and the tyrosine phosphorylation of NR2B but not NR2A were decreased in the membrane fraction of the lesioned striatum. Chronic treatment of lesioned rats with L-dopa normalized the alterations in the abundance and subunit composition of the NMDA receptors in striatal membranes, and produced striking hyperphosphorylation, both of NR1 at serine residues, and NR2A and NR2B at tyrosine residues. These findings suggest that the adverse motor effects of chronic L-dopa therapy may result from alterations in regulatory phosphorylation sites on NMDA receptors.","author":[{"dropping-particle":"","family":"Dunah","given":"Anthone W.","non-dropping-particle":"","parse-names":false,"suffix":""},{"dropping-particle":"","family":"Wang","given":"Yuehua","non-dropping-particle":"","parse-names":false,"suffix":""},{"dropping-particle":"","family":"Yasuda","given":"Robert P.","non-dropping-particle":"","parse-names":false,"suffix":""},{"dropping-particle":"","family":"Kameyama","given":"Kimihiko","non-dropping-particle":"","parse-names":false,"suffix":""},{"dropping-particle":"","family":"Huganir","given":"Richard L.","non-dropping-particle":"","parse-names":false,"suffix":""},{"dropping-particle":"","family":"Wolfe","given":"Barry B.","non-dropping-particle":"","parse-names":false,"suffix":""},{"dropping-particle":"","family":"Standaert","given":"David G.","non-dropping-particle":"","parse-names":false,"suffix":""}],"container-title":"Molecular Pharmacology","id":"ITEM-1","issue":"2","issued":{"date-parts":[["2000"]]},"page":"342-352","title":"Alterations in subunit expression, composition, and phosphorylation of striatal N-methyl-D-aspartate glutamate receptors in a rat 6-hydroxydopamine model of Parkinson's disease","type":"article-journal","volume":"57"},"uris":["http://www.mendeley.com/documents/?uuid=a7406e63-a6b6-3a82-adbd-59457aac949d"]}],"mendeley":{"formattedCitation":"(51)","plainTextFormattedCitation":"(51)","previouslyFormattedCitation":"(51)"},"properties":{"noteIndex":0},"schema":"https://github.com/citation-style-language/schema/raw/master/csl-citation.json"}</w:instrText>
      </w:r>
      <w:r>
        <w:rPr>
          <w:rFonts w:cstheme="minorHAnsi"/>
          <w:lang w:val="en-US"/>
        </w:rPr>
        <w:fldChar w:fldCharType="separate"/>
      </w:r>
      <w:r w:rsidRPr="00114AA3">
        <w:rPr>
          <w:rFonts w:cstheme="minorHAnsi"/>
          <w:noProof/>
          <w:lang w:val="en-US"/>
        </w:rPr>
        <w:t>(51)</w:t>
      </w:r>
      <w:r>
        <w:rPr>
          <w:rFonts w:cstheme="minorHAnsi"/>
          <w:lang w:val="en-US"/>
        </w:rPr>
        <w:fldChar w:fldCharType="end"/>
      </w:r>
      <w:r w:rsidRPr="00DB5328">
        <w:rPr>
          <w:rFonts w:cstheme="minorHAnsi"/>
          <w:lang w:val="en-US"/>
        </w:rPr>
        <w:t xml:space="preserve"> was used. The hippocampi were homogenized in ice-cold Tris-EDTA buffer (10</w:t>
      </w:r>
      <w:r w:rsidRPr="00DB5328">
        <w:rPr>
          <w:rStyle w:val="mb"/>
          <w:rFonts w:cstheme="minorHAnsi"/>
          <w:lang w:val="en-US"/>
        </w:rPr>
        <w:t xml:space="preserve"> </w:t>
      </w:r>
      <w:r w:rsidRPr="00DB5328">
        <w:rPr>
          <w:rFonts w:cstheme="minorHAnsi"/>
          <w:lang w:val="en-US"/>
        </w:rPr>
        <w:t>mM Tris-HCl and 5 mM EDTA, pH 7.4), containing 320</w:t>
      </w:r>
      <w:r w:rsidRPr="00DB5328">
        <w:rPr>
          <w:rStyle w:val="mb"/>
          <w:rFonts w:cstheme="minorHAnsi"/>
          <w:lang w:val="en-US"/>
        </w:rPr>
        <w:t xml:space="preserve"> </w:t>
      </w:r>
      <w:r w:rsidRPr="00DB5328">
        <w:rPr>
          <w:rFonts w:cstheme="minorHAnsi"/>
          <w:lang w:val="en-US"/>
        </w:rPr>
        <w:t>mM sucrose and the protease and phosphatase inhibitors previously described. The tissue homogenate was centrifuged at 700×</w:t>
      </w:r>
      <w:r w:rsidRPr="00DB5328">
        <w:rPr>
          <w:rFonts w:cstheme="minorHAnsi"/>
          <w:i/>
          <w:iCs/>
          <w:lang w:val="en-US"/>
        </w:rPr>
        <w:t>g</w:t>
      </w:r>
      <w:r w:rsidRPr="00DB5328">
        <w:rPr>
          <w:rFonts w:cstheme="minorHAnsi"/>
          <w:lang w:val="en-US"/>
        </w:rPr>
        <w:t xml:space="preserve"> for 10</w:t>
      </w:r>
      <w:r w:rsidRPr="00DB5328">
        <w:rPr>
          <w:rStyle w:val="mb"/>
          <w:rFonts w:cstheme="minorHAnsi"/>
          <w:lang w:val="en-US"/>
        </w:rPr>
        <w:t xml:space="preserve"> </w:t>
      </w:r>
      <w:r w:rsidRPr="00DB5328">
        <w:rPr>
          <w:rFonts w:cstheme="minorHAnsi"/>
          <w:lang w:val="en-US"/>
        </w:rPr>
        <w:t>min. The collected supernatant was centrifuged again at 37</w:t>
      </w:r>
      <w:r w:rsidRPr="00DB5328">
        <w:rPr>
          <w:rStyle w:val="mb"/>
          <w:rFonts w:cstheme="minorHAnsi"/>
          <w:lang w:val="en-US"/>
        </w:rPr>
        <w:t>.</w:t>
      </w:r>
      <w:r w:rsidRPr="00DB5328">
        <w:rPr>
          <w:rFonts w:cstheme="minorHAnsi"/>
          <w:lang w:val="en-US"/>
        </w:rPr>
        <w:t>000×</w:t>
      </w:r>
      <w:r w:rsidRPr="00DB5328">
        <w:rPr>
          <w:rFonts w:cstheme="minorHAnsi"/>
          <w:i/>
          <w:iCs/>
          <w:lang w:val="en-US"/>
        </w:rPr>
        <w:t>g</w:t>
      </w:r>
      <w:r w:rsidRPr="00DB5328">
        <w:rPr>
          <w:rFonts w:cstheme="minorHAnsi"/>
          <w:lang w:val="en-US"/>
        </w:rPr>
        <w:t xml:space="preserve"> for 40</w:t>
      </w:r>
      <w:r w:rsidRPr="00DB5328">
        <w:rPr>
          <w:rStyle w:val="mb"/>
          <w:rFonts w:cstheme="minorHAnsi"/>
          <w:lang w:val="en-US"/>
        </w:rPr>
        <w:t xml:space="preserve"> </w:t>
      </w:r>
      <w:r w:rsidRPr="00DB5328">
        <w:rPr>
          <w:rFonts w:cstheme="minorHAnsi"/>
          <w:lang w:val="en-US"/>
        </w:rPr>
        <w:t>min at 4°C. Finally, the pellet (P2) was resuspended in 10</w:t>
      </w:r>
      <w:r w:rsidRPr="00DB5328">
        <w:rPr>
          <w:rStyle w:val="mb"/>
          <w:rFonts w:cstheme="minorHAnsi"/>
          <w:lang w:val="en-US"/>
        </w:rPr>
        <w:t xml:space="preserve"> </w:t>
      </w:r>
      <w:r w:rsidRPr="00DB5328">
        <w:rPr>
          <w:rFonts w:cstheme="minorHAnsi"/>
          <w:lang w:val="en-US"/>
        </w:rPr>
        <w:t xml:space="preserve">mM Tris-HCl buffer (pH 7.4), containing the enzyme inhibitor mixture described above. In both cases, protein concentration was determined (Bradford assay, </w:t>
      </w:r>
      <w:r w:rsidRPr="00DB5328">
        <w:rPr>
          <w:rFonts w:eastAsia="Times New Roman" w:cstheme="minorHAnsi"/>
          <w:lang w:val="en-US" w:eastAsia="es-ES"/>
        </w:rPr>
        <w:t>Bio-Rad, CA, USA</w:t>
      </w:r>
      <w:r w:rsidRPr="00DB5328">
        <w:rPr>
          <w:rFonts w:cstheme="minorHAnsi"/>
          <w:lang w:val="en-US"/>
        </w:rPr>
        <w:t>) and aliquots were stored at -80°C until use. For western blot analysis, aliquots of the P2 membrane fraction were solubilized in denaturing conditions by adding 0.1 volumes of 20% SDS and 50% β-</w:t>
      </w:r>
      <w:proofErr w:type="spellStart"/>
      <w:r w:rsidRPr="00DB5328">
        <w:rPr>
          <w:rFonts w:cstheme="minorHAnsi"/>
          <w:lang w:val="en-US"/>
        </w:rPr>
        <w:t>mercaptoethanol</w:t>
      </w:r>
      <w:proofErr w:type="spellEnd"/>
      <w:r w:rsidRPr="00DB5328">
        <w:rPr>
          <w:rFonts w:cstheme="minorHAnsi"/>
          <w:lang w:val="en-US"/>
        </w:rPr>
        <w:t xml:space="preserve">. The samples were </w:t>
      </w:r>
      <w:r w:rsidRPr="00DB5328">
        <w:rPr>
          <w:rFonts w:cstheme="minorHAnsi"/>
          <w:lang w:val="en-US"/>
        </w:rPr>
        <w:lastRenderedPageBreak/>
        <w:t>incubated for 5 min at 100°C and diluted 1:20 in 50</w:t>
      </w:r>
      <w:r w:rsidRPr="00DB5328">
        <w:rPr>
          <w:rStyle w:val="mb"/>
          <w:rFonts w:cstheme="minorHAnsi"/>
          <w:lang w:val="en-US"/>
        </w:rPr>
        <w:t xml:space="preserve"> </w:t>
      </w:r>
      <w:r w:rsidRPr="00DB5328">
        <w:rPr>
          <w:rFonts w:cstheme="minorHAnsi"/>
          <w:lang w:val="en-US"/>
        </w:rPr>
        <w:t>mM Tris-HCl (pH 9)</w:t>
      </w:r>
      <w:r w:rsidRPr="00DB5328">
        <w:rPr>
          <w:rStyle w:val="mb"/>
          <w:rFonts w:cstheme="minorHAnsi"/>
          <w:lang w:val="en-US"/>
        </w:rPr>
        <w:t>/0.</w:t>
      </w:r>
      <w:r w:rsidRPr="00DB5328">
        <w:rPr>
          <w:rFonts w:cstheme="minorHAnsi"/>
          <w:lang w:val="en-US"/>
        </w:rPr>
        <w:t>1</w:t>
      </w:r>
      <w:r w:rsidRPr="00DB5328">
        <w:rPr>
          <w:rStyle w:val="mb"/>
          <w:rFonts w:cstheme="minorHAnsi"/>
          <w:lang w:val="en-US"/>
        </w:rPr>
        <w:t>%</w:t>
      </w:r>
      <w:r w:rsidRPr="00DB5328">
        <w:rPr>
          <w:rFonts w:cstheme="minorHAnsi"/>
          <w:lang w:val="en-US"/>
        </w:rPr>
        <w:t xml:space="preserve"> Triton X-100. After a centrifugation step at 37</w:t>
      </w:r>
      <w:r w:rsidRPr="00DB5328">
        <w:rPr>
          <w:rStyle w:val="mb"/>
          <w:rFonts w:cstheme="minorHAnsi"/>
          <w:lang w:val="en-US"/>
        </w:rPr>
        <w:t>.</w:t>
      </w:r>
      <w:r w:rsidRPr="00DB5328">
        <w:rPr>
          <w:rFonts w:cstheme="minorHAnsi"/>
          <w:lang w:val="en-US"/>
        </w:rPr>
        <w:t>000×</w:t>
      </w:r>
      <w:r w:rsidRPr="00DB5328">
        <w:rPr>
          <w:rFonts w:cstheme="minorHAnsi"/>
          <w:i/>
          <w:iCs/>
          <w:lang w:val="en-US"/>
        </w:rPr>
        <w:t>g</w:t>
      </w:r>
      <w:r w:rsidRPr="00DB5328">
        <w:rPr>
          <w:rFonts w:cstheme="minorHAnsi"/>
          <w:lang w:val="en-US"/>
        </w:rPr>
        <w:t xml:space="preserve"> for 10</w:t>
      </w:r>
      <w:r w:rsidRPr="00DB5328">
        <w:rPr>
          <w:rStyle w:val="mb"/>
          <w:rFonts w:cstheme="minorHAnsi"/>
          <w:lang w:val="en-US"/>
        </w:rPr>
        <w:t xml:space="preserve"> </w:t>
      </w:r>
      <w:r w:rsidRPr="00DB5328">
        <w:rPr>
          <w:rFonts w:cstheme="minorHAnsi"/>
          <w:lang w:val="en-US"/>
        </w:rPr>
        <w:t>min at 4°C, the supernatant was stored at -80°C.</w:t>
      </w:r>
    </w:p>
    <w:p w14:paraId="060196FC" w14:textId="77777777" w:rsidR="00287747" w:rsidRPr="00DB5328" w:rsidRDefault="00287747" w:rsidP="00287747">
      <w:pPr>
        <w:spacing w:before="100" w:beforeAutospacing="1" w:after="100" w:afterAutospacing="1" w:line="360" w:lineRule="auto"/>
        <w:jc w:val="both"/>
        <w:rPr>
          <w:rFonts w:eastAsia="Times New Roman" w:cstheme="minorHAnsi"/>
          <w:lang w:val="en-US" w:eastAsia="es-ES"/>
        </w:rPr>
      </w:pPr>
      <w:r w:rsidRPr="00DB5328">
        <w:rPr>
          <w:rFonts w:eastAsia="Times New Roman" w:cstheme="minorHAnsi"/>
          <w:lang w:val="en-US" w:eastAsia="es-ES"/>
        </w:rPr>
        <w:t xml:space="preserve">For APP-derived carboxy-terminal fragment (CTF) determination, the cortex was homogenized in a buffer containing SDS 2%, Tris-HCl (10 mM, pH 7.4), protease inhibitors (Complete Protease Inhibitor Cocktail, Roche) and phosphatase inhibitors (0.1 </w:t>
      </w:r>
      <w:proofErr w:type="spellStart"/>
      <w:r w:rsidRPr="00DB5328">
        <w:rPr>
          <w:rFonts w:eastAsia="Times New Roman" w:cstheme="minorHAnsi"/>
          <w:lang w:val="en-US" w:eastAsia="es-ES"/>
        </w:rPr>
        <w:t>mM</w:t>
      </w:r>
      <w:proofErr w:type="spellEnd"/>
      <w:r w:rsidRPr="00DB5328">
        <w:rPr>
          <w:rFonts w:eastAsia="Times New Roman" w:cstheme="minorHAnsi"/>
          <w:lang w:val="en-US" w:eastAsia="es-ES"/>
        </w:rPr>
        <w:t xml:space="preserve"> Na</w:t>
      </w:r>
      <w:r w:rsidRPr="00DB5328">
        <w:rPr>
          <w:rFonts w:eastAsia="Times New Roman" w:cstheme="minorHAnsi"/>
          <w:vertAlign w:val="subscript"/>
          <w:lang w:val="en-US" w:eastAsia="es-ES"/>
        </w:rPr>
        <w:t>3</w:t>
      </w:r>
      <w:r w:rsidRPr="00DB5328">
        <w:rPr>
          <w:rFonts w:eastAsia="Times New Roman" w:cstheme="minorHAnsi"/>
          <w:lang w:val="en-US" w:eastAsia="es-ES"/>
        </w:rPr>
        <w:t>VO</w:t>
      </w:r>
      <w:r w:rsidRPr="00DB5328">
        <w:rPr>
          <w:rFonts w:eastAsia="Times New Roman" w:cstheme="minorHAnsi"/>
          <w:vertAlign w:val="subscript"/>
          <w:lang w:val="en-US" w:eastAsia="es-ES"/>
        </w:rPr>
        <w:t>4</w:t>
      </w:r>
      <w:r w:rsidRPr="00DB5328">
        <w:rPr>
          <w:rFonts w:eastAsia="Times New Roman" w:cstheme="minorHAnsi"/>
          <w:lang w:val="en-US" w:eastAsia="es-ES"/>
        </w:rPr>
        <w:t xml:space="preserve">, 1 </w:t>
      </w:r>
      <w:proofErr w:type="spellStart"/>
      <w:r w:rsidRPr="00DB5328">
        <w:rPr>
          <w:rFonts w:eastAsia="Times New Roman" w:cstheme="minorHAnsi"/>
          <w:lang w:val="en-US" w:eastAsia="es-ES"/>
        </w:rPr>
        <w:t>mM</w:t>
      </w:r>
      <w:proofErr w:type="spellEnd"/>
      <w:r w:rsidRPr="00DB5328">
        <w:rPr>
          <w:rFonts w:eastAsia="Times New Roman" w:cstheme="minorHAnsi"/>
          <w:lang w:val="en-US" w:eastAsia="es-ES"/>
        </w:rPr>
        <w:t xml:space="preserve"> </w:t>
      </w:r>
      <w:proofErr w:type="spellStart"/>
      <w:r w:rsidRPr="00DB5328">
        <w:rPr>
          <w:rFonts w:eastAsia="Times New Roman" w:cstheme="minorHAnsi"/>
          <w:lang w:val="en-US" w:eastAsia="es-ES"/>
        </w:rPr>
        <w:t>NaF</w:t>
      </w:r>
      <w:proofErr w:type="spellEnd"/>
      <w:r w:rsidRPr="00DB5328">
        <w:rPr>
          <w:rFonts w:eastAsia="Times New Roman" w:cstheme="minorHAnsi"/>
          <w:lang w:val="en-US" w:eastAsia="es-ES"/>
        </w:rPr>
        <w:t>). The homogenates were sonicated for 2 min and centrifuged at 100.000×</w:t>
      </w:r>
      <w:r w:rsidRPr="00DB5328">
        <w:rPr>
          <w:rFonts w:eastAsia="Times New Roman" w:cstheme="minorHAnsi"/>
          <w:i/>
          <w:iCs/>
          <w:lang w:val="en-US" w:eastAsia="es-ES"/>
        </w:rPr>
        <w:t>g</w:t>
      </w:r>
      <w:r w:rsidRPr="00DB5328">
        <w:rPr>
          <w:rFonts w:eastAsia="Times New Roman" w:cstheme="minorHAnsi"/>
          <w:lang w:val="en-US" w:eastAsia="es-ES"/>
        </w:rPr>
        <w:t xml:space="preserve"> for 1 h. Aliquots of the supernatant were frozen at -80°C and protein concentration was determined by the Bradford method using the Bio-Rad protein assay (Bio-Rad, Hercules, CA, USA).</w:t>
      </w:r>
    </w:p>
    <w:p w14:paraId="0609EB36" w14:textId="711D4894" w:rsidR="00287747" w:rsidRPr="00A05FA7" w:rsidRDefault="00287747" w:rsidP="00287747">
      <w:pPr>
        <w:spacing w:before="100" w:beforeAutospacing="1" w:after="100" w:afterAutospacing="1" w:line="360" w:lineRule="auto"/>
        <w:jc w:val="both"/>
        <w:rPr>
          <w:rFonts w:eastAsia="Times New Roman" w:cstheme="minorHAnsi"/>
          <w:i/>
          <w:lang w:val="en-US" w:eastAsia="es-ES"/>
        </w:rPr>
      </w:pPr>
      <w:r w:rsidRPr="00A05FA7">
        <w:rPr>
          <w:rFonts w:eastAsia="Times New Roman" w:cstheme="minorHAnsi"/>
          <w:i/>
          <w:lang w:val="en-US" w:eastAsia="es-ES"/>
        </w:rPr>
        <w:t>Determination of A</w:t>
      </w:r>
      <w:r w:rsidR="003A1DA4" w:rsidRPr="003A1DA4">
        <w:rPr>
          <w:rFonts w:eastAsia="Times New Roman" w:cstheme="minorHAnsi"/>
          <w:i/>
          <w:lang w:val="en-US" w:eastAsia="es-ES"/>
        </w:rPr>
        <w:t>β</w:t>
      </w:r>
      <w:r w:rsidRPr="00A05FA7">
        <w:rPr>
          <w:rFonts w:eastAsia="Times New Roman" w:cstheme="minorHAnsi"/>
          <w:i/>
          <w:lang w:val="en-US" w:eastAsia="es-ES"/>
        </w:rPr>
        <w:t xml:space="preserve"> levels</w:t>
      </w:r>
    </w:p>
    <w:p w14:paraId="459129CB" w14:textId="77777777" w:rsidR="00287747" w:rsidRPr="00DB5328" w:rsidRDefault="00287747" w:rsidP="00287747">
      <w:pPr>
        <w:spacing w:before="100" w:beforeAutospacing="1" w:after="100" w:afterAutospacing="1" w:line="360" w:lineRule="auto"/>
        <w:jc w:val="both"/>
        <w:rPr>
          <w:rFonts w:eastAsia="Times New Roman" w:cstheme="minorHAnsi"/>
          <w:lang w:val="en-US" w:eastAsia="es-ES"/>
        </w:rPr>
      </w:pPr>
      <w:r w:rsidRPr="00E40EBA">
        <w:rPr>
          <w:rFonts w:eastAsia="Times New Roman" w:cstheme="minorHAnsi"/>
          <w:lang w:val="en-US" w:eastAsia="es-ES"/>
        </w:rPr>
        <w:t>For the analysis of soluble Aβ</w:t>
      </w:r>
      <w:r w:rsidRPr="003A1DA4">
        <w:rPr>
          <w:rFonts w:eastAsia="Times New Roman" w:cstheme="minorHAnsi"/>
          <w:vertAlign w:val="subscript"/>
          <w:lang w:val="en-US" w:eastAsia="es-ES"/>
        </w:rPr>
        <w:t>42</w:t>
      </w:r>
      <w:r w:rsidRPr="00E40EBA">
        <w:rPr>
          <w:rFonts w:eastAsia="Times New Roman" w:cstheme="minorHAnsi"/>
          <w:lang w:val="en-US" w:eastAsia="es-ES"/>
        </w:rPr>
        <w:t xml:space="preserve"> burden, the same protein extraction that was used for APP-derived</w:t>
      </w:r>
      <w:r w:rsidRPr="00DB5328">
        <w:rPr>
          <w:rFonts w:eastAsia="Times New Roman" w:cstheme="minorHAnsi"/>
          <w:lang w:val="en-US" w:eastAsia="es-ES"/>
        </w:rPr>
        <w:t xml:space="preserve"> CTFs determination was followed. </w:t>
      </w:r>
      <w:r w:rsidRPr="00DB5328">
        <w:rPr>
          <w:rFonts w:cstheme="minorHAnsi"/>
          <w:lang w:val="en-US"/>
        </w:rPr>
        <w:t>Soluble Aβ</w:t>
      </w:r>
      <w:r w:rsidRPr="00DB5328">
        <w:rPr>
          <w:rFonts w:cstheme="minorHAnsi"/>
          <w:vertAlign w:val="subscript"/>
          <w:lang w:val="en-US"/>
        </w:rPr>
        <w:t>42</w:t>
      </w:r>
      <w:r w:rsidRPr="00DB5328">
        <w:rPr>
          <w:rFonts w:cstheme="minorHAnsi"/>
          <w:lang w:val="en-US"/>
        </w:rPr>
        <w:t xml:space="preserve"> levels were determined by using a sensitive sandwich ELISA kit from </w:t>
      </w:r>
      <w:proofErr w:type="spellStart"/>
      <w:r w:rsidRPr="00DB5328">
        <w:rPr>
          <w:rFonts w:cstheme="minorHAnsi"/>
          <w:lang w:val="en-US"/>
        </w:rPr>
        <w:t>Biosource</w:t>
      </w:r>
      <w:proofErr w:type="spellEnd"/>
      <w:r w:rsidRPr="00DB5328">
        <w:rPr>
          <w:rFonts w:cstheme="minorHAnsi"/>
          <w:lang w:val="en-US"/>
        </w:rPr>
        <w:t xml:space="preserve"> (Camarillo, CA, USA) following the manufacturer’s instructions.</w:t>
      </w:r>
    </w:p>
    <w:p w14:paraId="6CFD2CE8" w14:textId="77777777" w:rsidR="00287747" w:rsidRPr="00DB5328" w:rsidRDefault="00287747" w:rsidP="00287747">
      <w:pPr>
        <w:spacing w:after="0" w:line="360" w:lineRule="auto"/>
        <w:jc w:val="both"/>
        <w:rPr>
          <w:rFonts w:cstheme="minorHAnsi"/>
          <w:i/>
          <w:lang w:val="en-US"/>
        </w:rPr>
      </w:pPr>
      <w:r w:rsidRPr="00DB5328">
        <w:rPr>
          <w:rFonts w:cstheme="minorHAnsi"/>
          <w:i/>
          <w:lang w:val="en-US"/>
        </w:rPr>
        <w:t>Immunoblotting</w:t>
      </w:r>
    </w:p>
    <w:p w14:paraId="47B0AA28" w14:textId="6494B603" w:rsidR="00287747" w:rsidRPr="00DB5328" w:rsidRDefault="00287747" w:rsidP="00287747">
      <w:pPr>
        <w:spacing w:before="100" w:beforeAutospacing="1" w:after="100" w:afterAutospacing="1" w:line="360" w:lineRule="auto"/>
        <w:jc w:val="both"/>
        <w:rPr>
          <w:rFonts w:eastAsia="Times New Roman" w:cstheme="minorHAnsi"/>
          <w:lang w:val="en-US" w:eastAsia="es-ES"/>
        </w:rPr>
      </w:pPr>
      <w:r w:rsidRPr="00DB5328">
        <w:rPr>
          <w:rFonts w:eastAsia="Times New Roman" w:cstheme="minorHAnsi"/>
          <w:lang w:val="en-US" w:eastAsia="es-ES"/>
        </w:rPr>
        <w:t xml:space="preserve">Protein samples were mixed with 6X </w:t>
      </w:r>
      <w:proofErr w:type="spellStart"/>
      <w:r w:rsidRPr="00DB5328">
        <w:rPr>
          <w:rFonts w:eastAsia="Times New Roman" w:cstheme="minorHAnsi"/>
          <w:lang w:val="en-US" w:eastAsia="es-ES"/>
        </w:rPr>
        <w:t>Laemmli</w:t>
      </w:r>
      <w:proofErr w:type="spellEnd"/>
      <w:r w:rsidRPr="00DB5328">
        <w:rPr>
          <w:rFonts w:eastAsia="Times New Roman" w:cstheme="minorHAnsi"/>
          <w:lang w:val="en-US" w:eastAsia="es-ES"/>
        </w:rPr>
        <w:t xml:space="preserve"> sample buffer [47% (v/v) glycerol, 0.6M Dithiothreitol, 12% (w/v) SDS, 0.08M Tris and bromophenol blue] resolved onto SDS-polyacrylamide gels </w:t>
      </w:r>
      <w:r>
        <w:rPr>
          <w:rFonts w:eastAsia="Times New Roman" w:cstheme="minorHAnsi"/>
          <w:lang w:val="en-US" w:eastAsia="es-ES"/>
        </w:rPr>
        <w:fldChar w:fldCharType="begin" w:fldLock="1"/>
      </w:r>
      <w:r>
        <w:rPr>
          <w:rFonts w:eastAsia="Times New Roman" w:cstheme="minorHAnsi"/>
          <w:lang w:val="en-US" w:eastAsia="es-ES"/>
        </w:rPr>
        <w:instrText>ADDIN CSL_CITATION {"citationItems":[{"id":"ITEM-1","itemData":{"DOI":"10.1038/227680a0","ISSN":"00280836","PMID":"5432063","abstract":"Using an improved method of gel electrophoresis, many hitherto unknown proteins have been found in bacteriophage T4 and some of these have been identified with specific gene products. Four major components of the head are cleaved during the process of assembly, apparently after the precursor proteins have assembled into some large intermediate structure. © 1970 Nature Publishing Group.","author":[{"dropping-particle":"","family":"Laemmli","given":"U. K.","non-dropping-particle":"","parse-names":false,"suffix":""}],"container-title":"Nature","id":"ITEM-1","issue":"5259","issued":{"date-parts":[["1970"]]},"page":"680-685","publisher":"Nature","title":"Cleavage of structural proteins during the assembly of the head of bacteriophage T4","type":"article-journal","volume":"227"},"uris":["http://www.mendeley.com/documents/?uuid=5f5e16d6-f070-3f7b-8732-16f4cb18dac7"]}],"mendeley":{"formattedCitation":"(52)","plainTextFormattedCitation":"(52)","previouslyFormattedCitation":"(52)"},"properties":{"noteIndex":0},"schema":"https://github.com/citation-style-language/schema/raw/master/csl-citation.json"}</w:instrText>
      </w:r>
      <w:r>
        <w:rPr>
          <w:rFonts w:eastAsia="Times New Roman" w:cstheme="minorHAnsi"/>
          <w:lang w:val="en-US" w:eastAsia="es-ES"/>
        </w:rPr>
        <w:fldChar w:fldCharType="separate"/>
      </w:r>
      <w:r w:rsidRPr="00114AA3">
        <w:rPr>
          <w:rFonts w:eastAsia="Times New Roman" w:cstheme="minorHAnsi"/>
          <w:noProof/>
          <w:lang w:val="en-US" w:eastAsia="es-ES"/>
        </w:rPr>
        <w:t>(52)</w:t>
      </w:r>
      <w:r>
        <w:rPr>
          <w:rFonts w:eastAsia="Times New Roman" w:cstheme="minorHAnsi"/>
          <w:lang w:val="en-US" w:eastAsia="es-ES"/>
        </w:rPr>
        <w:fldChar w:fldCharType="end"/>
      </w:r>
      <w:r w:rsidRPr="00DB5328">
        <w:rPr>
          <w:rFonts w:eastAsia="Times New Roman" w:cstheme="minorHAnsi"/>
          <w:lang w:val="en-US" w:eastAsia="es-ES"/>
        </w:rPr>
        <w:t xml:space="preserve"> and transferred to nitrocellulose membrane. The membranes were blocked with 5% milk, 0.05% Tween-20 in </w:t>
      </w:r>
      <w:r w:rsidRPr="00DB5328">
        <w:rPr>
          <w:rStyle w:val="st"/>
          <w:rFonts w:cstheme="minorHAnsi"/>
          <w:lang w:val="en-US"/>
        </w:rPr>
        <w:t>phosphate buffered saline</w:t>
      </w:r>
      <w:r w:rsidRPr="00DB5328">
        <w:rPr>
          <w:rFonts w:eastAsia="Times New Roman" w:cstheme="minorHAnsi"/>
          <w:lang w:val="en-US" w:eastAsia="es-ES"/>
        </w:rPr>
        <w:t xml:space="preserve"> (PBS) or tris-buffered saline (TBS) followed by overnight incubation with the following primary antibodies: rabbit polyclonal anti-Arc (1:1000, Millipore Corporation, Billerica, MA, USA), rabbit polyclonal anti-c-</w:t>
      </w:r>
      <w:proofErr w:type="spellStart"/>
      <w:r w:rsidRPr="00DB5328">
        <w:rPr>
          <w:rFonts w:eastAsia="Times New Roman" w:cstheme="minorHAnsi"/>
          <w:lang w:val="en-US" w:eastAsia="es-ES"/>
        </w:rPr>
        <w:t>Fos</w:t>
      </w:r>
      <w:proofErr w:type="spellEnd"/>
      <w:r w:rsidRPr="00DB5328">
        <w:rPr>
          <w:rFonts w:eastAsia="Times New Roman" w:cstheme="minorHAnsi"/>
          <w:lang w:val="en-US" w:eastAsia="es-ES"/>
        </w:rPr>
        <w:t xml:space="preserve"> (1:200, Santa Cruz Biotechnology, CA, USA), rabbit polyclonal anti-</w:t>
      </w:r>
      <w:proofErr w:type="spellStart"/>
      <w:r w:rsidRPr="00DB5328">
        <w:rPr>
          <w:rFonts w:eastAsia="Times New Roman" w:cstheme="minorHAnsi"/>
          <w:lang w:val="en-US" w:eastAsia="es-ES"/>
        </w:rPr>
        <w:t>pCREB</w:t>
      </w:r>
      <w:proofErr w:type="spellEnd"/>
      <w:r w:rsidRPr="00DB5328">
        <w:rPr>
          <w:rFonts w:eastAsia="Times New Roman" w:cstheme="minorHAnsi"/>
          <w:lang w:val="en-US" w:eastAsia="es-ES"/>
        </w:rPr>
        <w:t xml:space="preserve"> (1:500, Upstate-Millipore, Temecula, CA, USA), rabbit polyclonal anti-CREB (1:1000, Cell Signaling Technology, Beverly, MA, USA), rabbit polyclonal anti-pGluR1 (1:1000, Millipore Corporation, Billerica, MA, USA), rabbit polyclonal anti-GluR2/3 (1:1000, Millipore Corporation, Billerica, MA, USA), rabbit polyclonal anti-BDNF (1:500, Santa Cruz Biotechnology, CA, USA), rabbit polyclonal anti-pGSK3-Ser</w:t>
      </w:r>
      <w:r w:rsidRPr="00DB5328">
        <w:rPr>
          <w:rFonts w:eastAsia="Times New Roman" w:cstheme="minorHAnsi"/>
          <w:vertAlign w:val="superscript"/>
          <w:lang w:val="en-US" w:eastAsia="es-ES"/>
        </w:rPr>
        <w:t>9</w:t>
      </w:r>
      <w:r w:rsidRPr="00DB5328">
        <w:rPr>
          <w:rFonts w:eastAsia="Times New Roman" w:cstheme="minorHAnsi"/>
          <w:lang w:val="en-US" w:eastAsia="es-ES"/>
        </w:rPr>
        <w:t xml:space="preserve"> (1:1000, Cell Signaling Technology, Beverly, MA, USA), mouse monoclonal anti-pGSK3</w:t>
      </w:r>
      <w:r w:rsidRPr="00DB5328">
        <w:rPr>
          <w:rFonts w:eastAsia="Times New Roman" w:cstheme="minorHAnsi"/>
          <w:lang w:eastAsia="es-ES"/>
        </w:rPr>
        <w:t>β</w:t>
      </w:r>
      <w:r w:rsidRPr="00DB5328">
        <w:rPr>
          <w:rFonts w:eastAsia="Times New Roman" w:cstheme="minorHAnsi"/>
          <w:lang w:val="en-US" w:eastAsia="es-ES"/>
        </w:rPr>
        <w:t>-Tyr</w:t>
      </w:r>
      <w:r w:rsidRPr="00DB5328">
        <w:rPr>
          <w:rFonts w:eastAsia="Times New Roman" w:cstheme="minorHAnsi"/>
          <w:vertAlign w:val="superscript"/>
          <w:lang w:val="en-US" w:eastAsia="es-ES"/>
        </w:rPr>
        <w:t>216</w:t>
      </w:r>
      <w:r w:rsidRPr="00DB5328">
        <w:rPr>
          <w:rFonts w:eastAsia="Times New Roman" w:cstheme="minorHAnsi"/>
          <w:lang w:val="en-US" w:eastAsia="es-ES"/>
        </w:rPr>
        <w:t xml:space="preserve"> (1:1000, BD Transduction Laboratories, Lexington, KT, USA), rabbit polyclonal anti-GSK3 (1:1000, Santa Cruz Biotechnology, Santa Cruz, CA, USA), rabbit polyclonal anti-p35/p25 (1:1000, Cell Signaling Technology, Beverly, MA, USA), mouse monoclonal anti-</w:t>
      </w:r>
      <w:proofErr w:type="spellStart"/>
      <w:r w:rsidRPr="00DB5328">
        <w:rPr>
          <w:rFonts w:eastAsia="Times New Roman" w:cstheme="minorHAnsi"/>
          <w:lang w:val="en-US" w:eastAsia="es-ES"/>
        </w:rPr>
        <w:t>ptau</w:t>
      </w:r>
      <w:proofErr w:type="spellEnd"/>
      <w:r w:rsidRPr="00DB5328">
        <w:rPr>
          <w:rFonts w:eastAsia="Times New Roman" w:cstheme="minorHAnsi"/>
          <w:lang w:val="en-US" w:eastAsia="es-ES"/>
        </w:rPr>
        <w:t xml:space="preserve"> AT8 (1:1000, </w:t>
      </w:r>
      <w:proofErr w:type="spellStart"/>
      <w:r w:rsidRPr="00DB5328">
        <w:rPr>
          <w:rFonts w:eastAsia="Times New Roman" w:cstheme="minorHAnsi"/>
          <w:lang w:val="en-US" w:eastAsia="es-ES"/>
        </w:rPr>
        <w:t>Thermo</w:t>
      </w:r>
      <w:proofErr w:type="spellEnd"/>
      <w:r w:rsidRPr="00DB5328">
        <w:rPr>
          <w:rFonts w:eastAsia="Times New Roman" w:cstheme="minorHAnsi"/>
          <w:lang w:val="en-US" w:eastAsia="es-ES"/>
        </w:rPr>
        <w:t xml:space="preserve"> Fisher Scientific, Rockford, USA), mouse monoclonal anti-tau (1:5000, clone Tau46, Sigma-Aldrich, St. Luis, MO, USA), rabbit polyclonal anti-MAP-2 (1:1000, Millipore </w:t>
      </w:r>
      <w:r w:rsidRPr="00DB5328">
        <w:rPr>
          <w:rFonts w:eastAsia="Times New Roman" w:cstheme="minorHAnsi"/>
          <w:lang w:val="en-US" w:eastAsia="es-ES"/>
        </w:rPr>
        <w:lastRenderedPageBreak/>
        <w:t>Corporation, Billerica, MA, USA), mouse monoclonal anti-PSD95 (1:1000, Millipore Corporation, Billerica, MA, USA), mouse monoclonal anti-</w:t>
      </w:r>
      <w:proofErr w:type="spellStart"/>
      <w:r w:rsidRPr="00DB5328">
        <w:rPr>
          <w:rFonts w:eastAsia="Times New Roman" w:cstheme="minorHAnsi"/>
          <w:lang w:val="en-US" w:eastAsia="es-ES"/>
        </w:rPr>
        <w:t>pCaMK</w:t>
      </w:r>
      <w:proofErr w:type="spellEnd"/>
      <w:r w:rsidRPr="00DB5328">
        <w:rPr>
          <w:rFonts w:eastAsia="Times New Roman" w:cstheme="minorHAnsi"/>
          <w:lang w:val="en-US" w:eastAsia="es-ES"/>
        </w:rPr>
        <w:t xml:space="preserve"> II (1:500, Millipore Corporation, Billerica, MA, USA), mouse monoclonal anti-</w:t>
      </w:r>
      <w:proofErr w:type="spellStart"/>
      <w:r w:rsidRPr="00DB5328">
        <w:rPr>
          <w:rFonts w:eastAsia="Times New Roman" w:cstheme="minorHAnsi"/>
          <w:lang w:val="en-US" w:eastAsia="es-ES"/>
        </w:rPr>
        <w:t>CaMK</w:t>
      </w:r>
      <w:proofErr w:type="spellEnd"/>
      <w:r w:rsidRPr="00DB5328">
        <w:rPr>
          <w:rFonts w:eastAsia="Times New Roman" w:cstheme="minorHAnsi"/>
          <w:lang w:val="en-US" w:eastAsia="es-ES"/>
        </w:rPr>
        <w:t xml:space="preserve"> II (1:1000, Millipore Corporation, Billerica, MA, USA), mouse monoclonal anti-IDE (1:1000, Abcam, Cambridge, UK)</w:t>
      </w:r>
      <w:r w:rsidR="00A11CAE">
        <w:rPr>
          <w:rFonts w:eastAsia="Times New Roman" w:cstheme="minorHAnsi"/>
          <w:lang w:val="en-US" w:eastAsia="es-ES"/>
        </w:rPr>
        <w:t>,</w:t>
      </w:r>
      <w:r w:rsidRPr="00DB5328">
        <w:rPr>
          <w:rFonts w:eastAsia="Times New Roman" w:cstheme="minorHAnsi"/>
          <w:lang w:val="en-US" w:eastAsia="es-ES"/>
        </w:rPr>
        <w:t xml:space="preserve"> and mouse monoclonal anti-β actin (1:2000, Sigma-Aldrich, St. Louis, MO, USA) in the corresponding buffer. Following two washes in PBS/Tween-20 or TBS/Tween-20 and one PBS or TBS alone, immunolabelled protein bands were detected by using HRP-conjugated anti-rabbit or anti-mouse antibody (1:5000, Santa Cruz Biotechnology, Santa Cruz, CA, USA) following an enhanced chemiluminescence system (ECL, GE Healthcare Bioscience, Buckinghamshire, UK), and </w:t>
      </w:r>
      <w:proofErr w:type="spellStart"/>
      <w:r w:rsidRPr="00DB5328">
        <w:rPr>
          <w:rFonts w:eastAsia="Times New Roman" w:cstheme="minorHAnsi"/>
          <w:lang w:val="en-US" w:eastAsia="es-ES"/>
        </w:rPr>
        <w:t>autoradiographic</w:t>
      </w:r>
      <w:proofErr w:type="spellEnd"/>
      <w:r w:rsidRPr="00DB5328">
        <w:rPr>
          <w:rFonts w:eastAsia="Times New Roman" w:cstheme="minorHAnsi"/>
          <w:lang w:val="en-US" w:eastAsia="es-ES"/>
        </w:rPr>
        <w:t xml:space="preserve"> exposure to </w:t>
      </w:r>
      <w:proofErr w:type="spellStart"/>
      <w:r w:rsidRPr="00DB5328">
        <w:rPr>
          <w:rFonts w:eastAsia="Times New Roman" w:cstheme="minorHAnsi"/>
          <w:lang w:val="en-US" w:eastAsia="es-ES"/>
        </w:rPr>
        <w:t>Hyperfilm</w:t>
      </w:r>
      <w:proofErr w:type="spellEnd"/>
      <w:r w:rsidRPr="00DB5328">
        <w:rPr>
          <w:rFonts w:eastAsia="Times New Roman" w:cstheme="minorHAnsi"/>
          <w:lang w:val="en-US" w:eastAsia="es-ES"/>
        </w:rPr>
        <w:t xml:space="preserve"> ECL (GE Healthcare Bioscience). Quantity One software v.4.6.3 (Bio-Rad, Hercules, CA, USA) was used for quantification.</w:t>
      </w:r>
    </w:p>
    <w:p w14:paraId="5F7C8D55" w14:textId="77777777" w:rsidR="00287747" w:rsidRPr="00DB5328" w:rsidRDefault="00287747" w:rsidP="00287747">
      <w:pPr>
        <w:spacing w:before="100" w:beforeAutospacing="1" w:after="100" w:afterAutospacing="1" w:line="360" w:lineRule="auto"/>
        <w:jc w:val="both"/>
        <w:rPr>
          <w:rFonts w:eastAsia="Times New Roman" w:cstheme="minorHAnsi"/>
          <w:lang w:val="en-US" w:eastAsia="es-ES"/>
        </w:rPr>
      </w:pPr>
      <w:r w:rsidRPr="00DB5328">
        <w:rPr>
          <w:rFonts w:eastAsia="Times New Roman" w:cstheme="minorHAnsi"/>
          <w:lang w:val="en-US" w:eastAsia="es-ES"/>
        </w:rPr>
        <w:t xml:space="preserve">For the analysis of APP-derived CTFs, aliquots of the protein extracts were mixed with XT sample buffer plus XT reducing agent or Tricine sample buffer (Bio-Rad, Hercules, CA, USA) and boiled for 5 min. Proteins were separated in a </w:t>
      </w:r>
      <w:proofErr w:type="spellStart"/>
      <w:r w:rsidRPr="00DB5328">
        <w:rPr>
          <w:rFonts w:eastAsia="Times New Roman" w:cstheme="minorHAnsi"/>
          <w:lang w:val="en-US" w:eastAsia="es-ES"/>
        </w:rPr>
        <w:t>Criterion</w:t>
      </w:r>
      <w:r w:rsidRPr="00DB5328">
        <w:rPr>
          <w:rFonts w:eastAsia="Times New Roman" w:cstheme="minorHAnsi"/>
          <w:vertAlign w:val="superscript"/>
          <w:lang w:val="en-US" w:eastAsia="es-ES"/>
        </w:rPr>
        <w:t>TM</w:t>
      </w:r>
      <w:proofErr w:type="spellEnd"/>
      <w:r w:rsidRPr="00DB5328">
        <w:rPr>
          <w:rFonts w:eastAsia="Times New Roman" w:cstheme="minorHAnsi"/>
          <w:lang w:val="en-US" w:eastAsia="es-ES"/>
        </w:rPr>
        <w:t xml:space="preserve"> precast </w:t>
      </w:r>
      <w:proofErr w:type="spellStart"/>
      <w:r w:rsidRPr="00DB5328">
        <w:rPr>
          <w:rFonts w:eastAsia="Times New Roman" w:cstheme="minorHAnsi"/>
          <w:lang w:val="en-US" w:eastAsia="es-ES"/>
        </w:rPr>
        <w:t>Bis-Tris</w:t>
      </w:r>
      <w:proofErr w:type="spellEnd"/>
      <w:r w:rsidRPr="00DB5328">
        <w:rPr>
          <w:rFonts w:eastAsia="Times New Roman" w:cstheme="minorHAnsi"/>
          <w:lang w:val="en-US" w:eastAsia="es-ES"/>
        </w:rPr>
        <w:t xml:space="preserve"> 4–12% gradient precast gel (Bio-Rad, Hercules, CA, USA) and transferred to nitrocellulose membranes. The membranes were blocked with 5% milk, 0.05% Tween-20 in TBS followed by overnight incubation with rabbit polyclonal anti-APP C-terminal (amino acids 676–695) (1:2000, Sigma-Aldrich, St. Louis, MO, USA).</w:t>
      </w:r>
    </w:p>
    <w:p w14:paraId="4846D6B0" w14:textId="77777777" w:rsidR="00287747" w:rsidRPr="00DB5328" w:rsidRDefault="00287747" w:rsidP="00287747">
      <w:pPr>
        <w:spacing w:before="100" w:beforeAutospacing="1" w:after="100" w:afterAutospacing="1" w:line="360" w:lineRule="auto"/>
        <w:jc w:val="both"/>
        <w:rPr>
          <w:rFonts w:eastAsia="Times New Roman" w:cstheme="minorHAnsi"/>
          <w:i/>
          <w:lang w:val="en-US" w:eastAsia="es-ES"/>
        </w:rPr>
      </w:pPr>
      <w:r w:rsidRPr="00DB5328">
        <w:rPr>
          <w:rFonts w:eastAsia="Times New Roman" w:cstheme="minorHAnsi"/>
          <w:i/>
          <w:lang w:val="en-US" w:eastAsia="es-ES"/>
        </w:rPr>
        <w:t>RNA extraction and Real Time PCR</w:t>
      </w:r>
    </w:p>
    <w:p w14:paraId="60A6EB7D" w14:textId="083C219B" w:rsidR="00287747" w:rsidRPr="00DB5328" w:rsidRDefault="00287747" w:rsidP="00287747">
      <w:pPr>
        <w:spacing w:before="100" w:beforeAutospacing="1" w:after="100" w:afterAutospacing="1" w:line="360" w:lineRule="auto"/>
        <w:jc w:val="both"/>
        <w:rPr>
          <w:rFonts w:eastAsia="Times New Roman" w:cstheme="minorHAnsi"/>
          <w:lang w:val="en-US" w:eastAsia="es-ES"/>
        </w:rPr>
      </w:pPr>
      <w:r w:rsidRPr="00DB5328">
        <w:rPr>
          <w:rFonts w:eastAsia="Times New Roman" w:cstheme="minorHAnsi"/>
          <w:lang w:val="en-US" w:eastAsia="es-ES"/>
        </w:rPr>
        <w:t xml:space="preserve">Total RNA was extracted from the brain cortex by </w:t>
      </w:r>
      <w:proofErr w:type="spellStart"/>
      <w:r w:rsidRPr="00DB5328">
        <w:rPr>
          <w:rFonts w:eastAsia="Times New Roman" w:cstheme="minorHAnsi"/>
          <w:lang w:val="en-US" w:eastAsia="es-ES"/>
        </w:rPr>
        <w:t>Chomczynski</w:t>
      </w:r>
      <w:proofErr w:type="spellEnd"/>
      <w:r w:rsidRPr="00DB5328">
        <w:rPr>
          <w:rFonts w:eastAsia="Times New Roman" w:cstheme="minorHAnsi"/>
          <w:lang w:val="en-US" w:eastAsia="es-ES"/>
        </w:rPr>
        <w:t xml:space="preserve"> and </w:t>
      </w:r>
      <w:proofErr w:type="spellStart"/>
      <w:r w:rsidRPr="00DB5328">
        <w:rPr>
          <w:rFonts w:eastAsia="Times New Roman" w:cstheme="minorHAnsi"/>
          <w:lang w:val="en-US" w:eastAsia="es-ES"/>
        </w:rPr>
        <w:t>Sachi's</w:t>
      </w:r>
      <w:proofErr w:type="spellEnd"/>
      <w:r w:rsidRPr="00DB5328">
        <w:rPr>
          <w:rFonts w:eastAsia="Times New Roman" w:cstheme="minorHAnsi"/>
          <w:lang w:val="en-US" w:eastAsia="es-ES"/>
        </w:rPr>
        <w:t xml:space="preserve"> method </w:t>
      </w:r>
      <w:r>
        <w:rPr>
          <w:rFonts w:eastAsia="Times New Roman" w:cstheme="minorHAnsi"/>
          <w:lang w:val="en-US" w:eastAsia="es-ES"/>
        </w:rPr>
        <w:fldChar w:fldCharType="begin" w:fldLock="1"/>
      </w:r>
      <w:r>
        <w:rPr>
          <w:rFonts w:eastAsia="Times New Roman" w:cstheme="minorHAnsi"/>
          <w:lang w:val="en-US" w:eastAsia="es-ES"/>
        </w:rPr>
        <w:instrText>ADDIN CSL_CITATION {"citationItems":[{"id":"ITEM-1","itemData":{"DOI":"10.1016/0003-2697(87)90021-2","ISSN":"10960309","PMID":"2440339","abstract":"A new method of total RNA isolation by a single extraction with an acid guanidinium thiocyanate-phenol-chloroform mixture is described. The method provides a pure preparation of undegraded RNA in high yield and can be completed within 4 h. It is particularly useful for processing large numbers of samples and for isolation of RNA from minute quantities of cells or tissue samples. © 1987.","author":[{"dropping-particle":"","family":"Chomczynski","given":"Piotr","non-dropping-particle":"","parse-names":false,"suffix":""},{"dropping-particle":"","family":"Sacchi","given":"Nicoletta","non-dropping-particle":"","parse-names":false,"suffix":""}],"container-title":"Analytical Biochemistry","id":"ITEM-1","issue":"1","issued":{"date-parts":[["1987","4"]]},"page":"156-159","publisher":"Elsevier BV","title":"Single-step method of RNA isolation by acid guanidinium thiocyanate-phenol-chloroform extraction","type":"article-journal","volume":"162"},"uris":["http://www.mendeley.com/documents/?uuid=3c0f9944-ab26-31c0-bf45-e0a0b9b238d5"]}],"mendeley":{"formattedCitation":"(53)","plainTextFormattedCitation":"(53)","previouslyFormattedCitation":"(53)"},"properties":{"noteIndex":0},"schema":"https://github.com/citation-style-language/schema/raw/master/csl-citation.json"}</w:instrText>
      </w:r>
      <w:r>
        <w:rPr>
          <w:rFonts w:eastAsia="Times New Roman" w:cstheme="minorHAnsi"/>
          <w:lang w:val="en-US" w:eastAsia="es-ES"/>
        </w:rPr>
        <w:fldChar w:fldCharType="separate"/>
      </w:r>
      <w:r w:rsidRPr="00114AA3">
        <w:rPr>
          <w:rFonts w:eastAsia="Times New Roman" w:cstheme="minorHAnsi"/>
          <w:noProof/>
          <w:lang w:val="en-US" w:eastAsia="es-ES"/>
        </w:rPr>
        <w:t>(53)</w:t>
      </w:r>
      <w:r>
        <w:rPr>
          <w:rFonts w:eastAsia="Times New Roman" w:cstheme="minorHAnsi"/>
          <w:lang w:val="en-US" w:eastAsia="es-ES"/>
        </w:rPr>
        <w:fldChar w:fldCharType="end"/>
      </w:r>
      <w:r>
        <w:rPr>
          <w:rFonts w:eastAsia="Times New Roman" w:cstheme="minorHAnsi"/>
          <w:lang w:val="en-US" w:eastAsia="es-ES"/>
        </w:rPr>
        <w:t xml:space="preserve"> </w:t>
      </w:r>
      <w:r w:rsidRPr="00DB5328">
        <w:rPr>
          <w:rFonts w:eastAsia="Times New Roman" w:cstheme="minorHAnsi"/>
          <w:lang w:val="en-US" w:eastAsia="es-ES"/>
        </w:rPr>
        <w:t xml:space="preserve">with the TRI reagent (Sigma-Aldrich, MO, USA). Briefly, cells were washed with PBS and lysed with 1 mL </w:t>
      </w:r>
      <w:r w:rsidR="00460DE4" w:rsidRPr="00DB5328">
        <w:rPr>
          <w:rFonts w:eastAsia="Times New Roman" w:cstheme="minorHAnsi"/>
          <w:lang w:val="en-US" w:eastAsia="es-ES"/>
        </w:rPr>
        <w:t>T</w:t>
      </w:r>
      <w:r w:rsidR="00460DE4">
        <w:rPr>
          <w:rFonts w:eastAsia="Times New Roman" w:cstheme="minorHAnsi"/>
          <w:lang w:val="en-US" w:eastAsia="es-ES"/>
        </w:rPr>
        <w:t>RI</w:t>
      </w:r>
      <w:r w:rsidR="00460DE4" w:rsidRPr="00DB5328">
        <w:rPr>
          <w:rFonts w:eastAsia="Times New Roman" w:cstheme="minorHAnsi"/>
          <w:lang w:val="en-US" w:eastAsia="es-ES"/>
        </w:rPr>
        <w:t xml:space="preserve"> </w:t>
      </w:r>
      <w:r w:rsidRPr="00DB5328">
        <w:rPr>
          <w:rFonts w:eastAsia="Times New Roman" w:cstheme="minorHAnsi"/>
          <w:lang w:val="en-US" w:eastAsia="es-ES"/>
        </w:rPr>
        <w:t>reagent. After 5 min of incubation at room temperature, the lysate was mixed vigorously with 0.2 mL of chloroform. The sample was then centrifuged at 12.000x</w:t>
      </w:r>
      <w:r w:rsidRPr="00DB5328">
        <w:rPr>
          <w:rFonts w:eastAsia="Times New Roman" w:cstheme="minorHAnsi"/>
          <w:i/>
          <w:lang w:val="en-US" w:eastAsia="es-ES"/>
        </w:rPr>
        <w:t>g</w:t>
      </w:r>
      <w:r w:rsidRPr="00DB5328">
        <w:rPr>
          <w:rFonts w:eastAsia="Times New Roman" w:cstheme="minorHAnsi"/>
          <w:lang w:val="en-US" w:eastAsia="es-ES"/>
        </w:rPr>
        <w:t xml:space="preserve"> for 15 min at 4°C, and the supernatant was recovered and placed in a fresh tube containing 0.5 mL isopropanol. After incubating for 10 min at room temperature, the RNA pellet was obtained by centrifugation at 12.000x</w:t>
      </w:r>
      <w:r w:rsidRPr="00DB5328">
        <w:rPr>
          <w:rFonts w:eastAsia="Times New Roman" w:cstheme="minorHAnsi"/>
          <w:i/>
          <w:lang w:val="en-US" w:eastAsia="es-ES"/>
        </w:rPr>
        <w:t>g</w:t>
      </w:r>
      <w:r w:rsidRPr="00DB5328">
        <w:rPr>
          <w:rFonts w:eastAsia="Times New Roman" w:cstheme="minorHAnsi"/>
          <w:lang w:val="en-US" w:eastAsia="es-ES"/>
        </w:rPr>
        <w:t xml:space="preserve"> for 10 min at 4°C. The pellet was washed in 1 mL ethanol (75%) and</w:t>
      </w:r>
      <w:r w:rsidR="007C110B">
        <w:rPr>
          <w:rFonts w:eastAsia="Times New Roman" w:cstheme="minorHAnsi"/>
          <w:lang w:val="en-US" w:eastAsia="es-ES"/>
        </w:rPr>
        <w:t>,</w:t>
      </w:r>
      <w:r w:rsidRPr="00DB5328">
        <w:rPr>
          <w:rFonts w:eastAsia="Times New Roman" w:cstheme="minorHAnsi"/>
          <w:lang w:val="en-US" w:eastAsia="es-ES"/>
        </w:rPr>
        <w:t xml:space="preserve"> once all the ethanol had been removed, it was dissolved in 30 µL diethylpyrocarbonate (DEPC)-treated water.</w:t>
      </w:r>
    </w:p>
    <w:p w14:paraId="7EA4F42C" w14:textId="77777777" w:rsidR="00287747" w:rsidRPr="00DB5328" w:rsidRDefault="00287747" w:rsidP="00287747">
      <w:pPr>
        <w:spacing w:before="100" w:beforeAutospacing="1" w:after="100" w:afterAutospacing="1" w:line="360" w:lineRule="auto"/>
        <w:jc w:val="both"/>
        <w:rPr>
          <w:rFonts w:eastAsia="Times New Roman" w:cstheme="minorHAnsi"/>
          <w:lang w:val="en-US" w:eastAsia="es-ES"/>
        </w:rPr>
      </w:pPr>
      <w:r w:rsidRPr="00DB5328">
        <w:rPr>
          <w:rFonts w:eastAsia="Times New Roman" w:cstheme="minorHAnsi"/>
          <w:lang w:val="en-US" w:eastAsia="es-ES"/>
        </w:rPr>
        <w:t xml:space="preserve">2 µg of total RNA obtained was used as a template to synthesize </w:t>
      </w:r>
      <w:proofErr w:type="spellStart"/>
      <w:r w:rsidRPr="00DB5328">
        <w:rPr>
          <w:rFonts w:eastAsia="Times New Roman" w:cstheme="minorHAnsi"/>
          <w:lang w:val="en-US" w:eastAsia="es-ES"/>
        </w:rPr>
        <w:t>cDNAs</w:t>
      </w:r>
      <w:proofErr w:type="spellEnd"/>
      <w:r w:rsidRPr="00DB5328">
        <w:rPr>
          <w:rFonts w:eastAsia="Times New Roman" w:cstheme="minorHAnsi"/>
          <w:lang w:val="en-US" w:eastAsia="es-ES"/>
        </w:rPr>
        <w:t xml:space="preserve"> with the </w:t>
      </w:r>
      <w:proofErr w:type="spellStart"/>
      <w:r w:rsidRPr="00DB5328">
        <w:rPr>
          <w:rFonts w:eastAsia="Times New Roman" w:cstheme="minorHAnsi"/>
          <w:lang w:val="en-US" w:eastAsia="es-ES"/>
        </w:rPr>
        <w:t>SuperScript</w:t>
      </w:r>
      <w:proofErr w:type="spellEnd"/>
      <w:r w:rsidRPr="00DB5328">
        <w:rPr>
          <w:rFonts w:eastAsia="Times New Roman" w:cstheme="minorHAnsi"/>
          <w:lang w:val="en-US" w:eastAsia="es-ES"/>
        </w:rPr>
        <w:t>® III First-Strand Synthesis System for real</w:t>
      </w:r>
      <w:r>
        <w:rPr>
          <w:rFonts w:eastAsia="Times New Roman" w:cstheme="minorHAnsi"/>
          <w:lang w:val="en-US" w:eastAsia="es-ES"/>
        </w:rPr>
        <w:t>-</w:t>
      </w:r>
      <w:r w:rsidRPr="00DB5328">
        <w:rPr>
          <w:rFonts w:eastAsia="Times New Roman" w:cstheme="minorHAnsi"/>
          <w:lang w:val="en-US" w:eastAsia="es-ES"/>
        </w:rPr>
        <w:t xml:space="preserve">time PCR (RT-PCR) (Invitrogen, Life technologies). RT-PCR assays were then performed in triplicate on these cDNAs in the presence of the PCR </w:t>
      </w:r>
      <w:r w:rsidRPr="00DB5328">
        <w:rPr>
          <w:rFonts w:eastAsia="Times New Roman" w:cstheme="minorHAnsi"/>
          <w:lang w:val="en-US" w:eastAsia="es-ES"/>
        </w:rPr>
        <w:lastRenderedPageBreak/>
        <w:t xml:space="preserve">Master Mix (Power </w:t>
      </w:r>
      <w:proofErr w:type="spellStart"/>
      <w:r w:rsidRPr="00DB5328">
        <w:rPr>
          <w:rFonts w:eastAsia="Times New Roman" w:cstheme="minorHAnsi"/>
          <w:lang w:val="en-US" w:eastAsia="es-ES"/>
        </w:rPr>
        <w:t>SYBR®Green</w:t>
      </w:r>
      <w:proofErr w:type="spellEnd"/>
      <w:r w:rsidRPr="00DB5328">
        <w:rPr>
          <w:rFonts w:eastAsia="Times New Roman" w:cstheme="minorHAnsi"/>
          <w:lang w:val="en-US" w:eastAsia="es-ES"/>
        </w:rPr>
        <w:t xml:space="preserve">, Applied Biosystems, </w:t>
      </w:r>
      <w:proofErr w:type="gramStart"/>
      <w:r w:rsidRPr="00DB5328">
        <w:rPr>
          <w:rFonts w:eastAsia="Times New Roman" w:cstheme="minorHAnsi"/>
          <w:lang w:val="en-US" w:eastAsia="es-ES"/>
        </w:rPr>
        <w:t>Warrington</w:t>
      </w:r>
      <w:proofErr w:type="gramEnd"/>
      <w:r w:rsidRPr="00DB5328">
        <w:rPr>
          <w:rFonts w:eastAsia="Times New Roman" w:cstheme="minorHAnsi"/>
          <w:lang w:val="en-US" w:eastAsia="es-ES"/>
        </w:rPr>
        <w:t xml:space="preserve">, UK) to detect the amplification products. Samples were analyzed simultaneously for ribosomal protein 36B4 mRNA as an internal control using an ABI Prism 7300 sequence detector (Applied Biosystems, Foster City, CA, USA). The data were analyzed using Sequence Detection software v. 3.0. (Applied Biosystems). The primer sequences for quantitative PCR are indicated in </w:t>
      </w:r>
      <w:bookmarkStart w:id="0" w:name="_GoBack"/>
      <w:r w:rsidR="00BC131D">
        <w:fldChar w:fldCharType="begin"/>
      </w:r>
      <w:r w:rsidR="00BC131D" w:rsidRPr="00BC131D">
        <w:rPr>
          <w:lang w:val="en-US"/>
        </w:rPr>
        <w:instrText xml:space="preserve"> HYPERLINK "http://www.ncbi.nlm.nih.gov/pmc/articles/PMC3744558/table/pone-0071082-t001/" \t "tru</w:instrText>
      </w:r>
      <w:r w:rsidR="00BC131D" w:rsidRPr="00BC131D">
        <w:rPr>
          <w:lang w:val="en-US"/>
        </w:rPr>
        <w:instrText xml:space="preserve">e" </w:instrText>
      </w:r>
      <w:r w:rsidR="00BC131D">
        <w:fldChar w:fldCharType="separate"/>
      </w:r>
      <w:r w:rsidRPr="00DB5328">
        <w:rPr>
          <w:rFonts w:eastAsia="Times New Roman" w:cstheme="minorHAnsi"/>
          <w:lang w:val="en-US" w:eastAsia="es-ES"/>
        </w:rPr>
        <w:t>Table 1</w:t>
      </w:r>
      <w:r w:rsidR="00BC131D">
        <w:rPr>
          <w:rFonts w:eastAsia="Times New Roman" w:cstheme="minorHAnsi"/>
          <w:lang w:val="en-US" w:eastAsia="es-ES"/>
        </w:rPr>
        <w:fldChar w:fldCharType="end"/>
      </w:r>
      <w:bookmarkEnd w:id="0"/>
      <w:r w:rsidRPr="00DB5328">
        <w:rPr>
          <w:rFonts w:eastAsia="Times New Roman" w:cstheme="minorHAnsi"/>
          <w:lang w:val="en-US" w:eastAsia="es-ES"/>
        </w:rPr>
        <w:t>.</w:t>
      </w:r>
    </w:p>
    <w:tbl>
      <w:tblPr>
        <w:tblStyle w:val="Tablaconcuadrcula"/>
        <w:tblpPr w:leftFromText="141" w:rightFromText="141" w:vertAnchor="text" w:tblpX="182" w:tblpY="710"/>
        <w:tblOverlap w:val="never"/>
        <w:tblW w:w="0" w:type="auto"/>
        <w:tblLook w:val="04A0" w:firstRow="1" w:lastRow="0" w:firstColumn="1" w:lastColumn="0" w:noHBand="0" w:noVBand="1"/>
      </w:tblPr>
      <w:tblGrid>
        <w:gridCol w:w="2093"/>
        <w:gridCol w:w="3260"/>
      </w:tblGrid>
      <w:tr w:rsidR="00287747" w:rsidRPr="003A1DA4" w:rsidDel="007C110B" w14:paraId="7BAE9084" w14:textId="2ADD4D3F" w:rsidTr="003A1DA4">
        <w:tc>
          <w:tcPr>
            <w:tcW w:w="2093" w:type="dxa"/>
          </w:tcPr>
          <w:p w14:paraId="19382D0E" w14:textId="4AF0088D"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Ffar1 forward</w:t>
            </w:r>
          </w:p>
        </w:tc>
        <w:tc>
          <w:tcPr>
            <w:tcW w:w="3260" w:type="dxa"/>
          </w:tcPr>
          <w:p w14:paraId="1B252950" w14:textId="05BFD1B9"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GCTGCTGCTCTGCGTAGGA</w:t>
            </w:r>
          </w:p>
        </w:tc>
      </w:tr>
      <w:tr w:rsidR="00287747" w:rsidRPr="003A1DA4" w:rsidDel="007C110B" w14:paraId="0131D9A9" w14:textId="0BC71D8D" w:rsidTr="003A1DA4">
        <w:tc>
          <w:tcPr>
            <w:tcW w:w="2093" w:type="dxa"/>
          </w:tcPr>
          <w:p w14:paraId="72EB0977" w14:textId="3BBE806D"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Ffar1 reverse</w:t>
            </w:r>
          </w:p>
        </w:tc>
        <w:tc>
          <w:tcPr>
            <w:tcW w:w="3260" w:type="dxa"/>
          </w:tcPr>
          <w:p w14:paraId="3DD721A0" w14:textId="57344851"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CAGCGGATTAAGCACCACACT</w:t>
            </w:r>
          </w:p>
        </w:tc>
      </w:tr>
      <w:tr w:rsidR="00287747" w:rsidRPr="003A1DA4" w:rsidDel="007C110B" w14:paraId="1590AB90" w14:textId="57B74D60" w:rsidTr="003A1DA4">
        <w:tc>
          <w:tcPr>
            <w:tcW w:w="2093" w:type="dxa"/>
          </w:tcPr>
          <w:p w14:paraId="7077D666" w14:textId="5F1B6886" w:rsidR="00287747" w:rsidRPr="00DB5328" w:rsidDel="007C110B" w:rsidRDefault="00287747" w:rsidP="007C110B">
            <w:pPr>
              <w:tabs>
                <w:tab w:val="right" w:pos="1877"/>
              </w:tabs>
              <w:spacing w:line="360" w:lineRule="auto"/>
              <w:jc w:val="both"/>
              <w:rPr>
                <w:rFonts w:cstheme="minorHAnsi"/>
                <w:lang w:val="en-US"/>
              </w:rPr>
            </w:pPr>
            <w:r w:rsidRPr="00DB5328" w:rsidDel="007C110B">
              <w:rPr>
                <w:rFonts w:cstheme="minorHAnsi"/>
                <w:lang w:val="en-US"/>
              </w:rPr>
              <w:t>Ffar3 forward</w:t>
            </w:r>
          </w:p>
        </w:tc>
        <w:tc>
          <w:tcPr>
            <w:tcW w:w="3260" w:type="dxa"/>
          </w:tcPr>
          <w:p w14:paraId="4068F520" w14:textId="5DB72FF2"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ACCAGTGATTGCCGGAGAAG</w:t>
            </w:r>
          </w:p>
        </w:tc>
      </w:tr>
      <w:tr w:rsidR="00287747" w:rsidRPr="003A1DA4" w:rsidDel="007C110B" w14:paraId="6C67C1B6" w14:textId="4687A9F1" w:rsidTr="003A1DA4">
        <w:tc>
          <w:tcPr>
            <w:tcW w:w="2093" w:type="dxa"/>
          </w:tcPr>
          <w:p w14:paraId="6A126C1B" w14:textId="25B953A5"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Ffar3 reverse</w:t>
            </w:r>
          </w:p>
        </w:tc>
        <w:tc>
          <w:tcPr>
            <w:tcW w:w="3260" w:type="dxa"/>
          </w:tcPr>
          <w:p w14:paraId="5FCA3BDF" w14:textId="66222238"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CCACCATGGATACAGGCCC</w:t>
            </w:r>
          </w:p>
        </w:tc>
      </w:tr>
      <w:tr w:rsidR="00287747" w:rsidRPr="003A1DA4" w:rsidDel="007C110B" w14:paraId="4F8CE43D" w14:textId="22444D58" w:rsidTr="003A1DA4">
        <w:tc>
          <w:tcPr>
            <w:tcW w:w="2093" w:type="dxa"/>
          </w:tcPr>
          <w:p w14:paraId="637F4BF1" w14:textId="5EE6C4DD"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Ffar2 forward</w:t>
            </w:r>
          </w:p>
        </w:tc>
        <w:tc>
          <w:tcPr>
            <w:tcW w:w="3260" w:type="dxa"/>
          </w:tcPr>
          <w:p w14:paraId="25913AE3" w14:textId="6B89D885"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GGCTTTCCCCGTGCAGTAC</w:t>
            </w:r>
          </w:p>
        </w:tc>
      </w:tr>
      <w:tr w:rsidR="00287747" w:rsidRPr="003A1DA4" w:rsidDel="007C110B" w14:paraId="24F66C7B" w14:textId="45C790F0" w:rsidTr="003A1DA4">
        <w:tc>
          <w:tcPr>
            <w:tcW w:w="2093" w:type="dxa"/>
          </w:tcPr>
          <w:p w14:paraId="6B1CE6D4" w14:textId="170C20E9"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Ffar2 reverse</w:t>
            </w:r>
          </w:p>
        </w:tc>
        <w:tc>
          <w:tcPr>
            <w:tcW w:w="3260" w:type="dxa"/>
          </w:tcPr>
          <w:p w14:paraId="4ED037B8" w14:textId="7ABD287F"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CCAGAGCTGCAATCACTCCAT</w:t>
            </w:r>
          </w:p>
        </w:tc>
      </w:tr>
      <w:tr w:rsidR="00287747" w:rsidRPr="003A1DA4" w:rsidDel="007C110B" w14:paraId="0C4F0700" w14:textId="0111682C" w:rsidTr="003A1DA4">
        <w:tc>
          <w:tcPr>
            <w:tcW w:w="2093" w:type="dxa"/>
          </w:tcPr>
          <w:p w14:paraId="1CAC6DF9" w14:textId="4B344B2E" w:rsidR="00287747" w:rsidRPr="00DB5328" w:rsidDel="007C110B" w:rsidRDefault="00287747" w:rsidP="007C110B">
            <w:pPr>
              <w:spacing w:line="360" w:lineRule="auto"/>
              <w:jc w:val="both"/>
              <w:rPr>
                <w:rFonts w:cstheme="minorHAnsi"/>
                <w:lang w:val="en-US"/>
              </w:rPr>
            </w:pPr>
            <w:proofErr w:type="spellStart"/>
            <w:r w:rsidRPr="00DB5328" w:rsidDel="007C110B">
              <w:rPr>
                <w:rFonts w:cstheme="minorHAnsi"/>
                <w:lang w:val="en-US"/>
              </w:rPr>
              <w:t>Neprilysin</w:t>
            </w:r>
            <w:proofErr w:type="spellEnd"/>
            <w:r w:rsidRPr="00DB5328" w:rsidDel="007C110B">
              <w:rPr>
                <w:rFonts w:cstheme="minorHAnsi"/>
                <w:lang w:val="en-US"/>
              </w:rPr>
              <w:t xml:space="preserve"> forward</w:t>
            </w:r>
          </w:p>
        </w:tc>
        <w:tc>
          <w:tcPr>
            <w:tcW w:w="3260" w:type="dxa"/>
          </w:tcPr>
          <w:p w14:paraId="1E03A148" w14:textId="7A0731E0"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GCAGCCTCAGCCGAAACTAC</w:t>
            </w:r>
          </w:p>
        </w:tc>
      </w:tr>
      <w:tr w:rsidR="00287747" w:rsidRPr="003A1DA4" w:rsidDel="007C110B" w14:paraId="133C6239" w14:textId="5177FD98" w:rsidTr="003A1DA4">
        <w:tc>
          <w:tcPr>
            <w:tcW w:w="2093" w:type="dxa"/>
          </w:tcPr>
          <w:p w14:paraId="4ECC352F" w14:textId="16EEE4F5" w:rsidR="00287747" w:rsidRPr="00DB5328" w:rsidDel="007C110B" w:rsidRDefault="00287747" w:rsidP="007C110B">
            <w:pPr>
              <w:spacing w:line="360" w:lineRule="auto"/>
              <w:jc w:val="both"/>
              <w:rPr>
                <w:rFonts w:cstheme="minorHAnsi"/>
                <w:lang w:val="en-US"/>
              </w:rPr>
            </w:pPr>
            <w:proofErr w:type="spellStart"/>
            <w:r w:rsidRPr="00DB5328" w:rsidDel="007C110B">
              <w:rPr>
                <w:rFonts w:cstheme="minorHAnsi"/>
                <w:lang w:val="en-US"/>
              </w:rPr>
              <w:t>Neprilysin</w:t>
            </w:r>
            <w:proofErr w:type="spellEnd"/>
            <w:r w:rsidRPr="00DB5328" w:rsidDel="007C110B">
              <w:rPr>
                <w:rFonts w:cstheme="minorHAnsi"/>
                <w:lang w:val="en-US"/>
              </w:rPr>
              <w:t xml:space="preserve"> reverse</w:t>
            </w:r>
          </w:p>
        </w:tc>
        <w:tc>
          <w:tcPr>
            <w:tcW w:w="3260" w:type="dxa"/>
          </w:tcPr>
          <w:p w14:paraId="0B213008" w14:textId="4E814D1C"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CACCGTCTCCATGTTGCAGT</w:t>
            </w:r>
          </w:p>
        </w:tc>
      </w:tr>
      <w:tr w:rsidR="00287747" w:rsidRPr="003A1DA4" w:rsidDel="007C110B" w14:paraId="2DB6FB8E" w14:textId="1C176558" w:rsidTr="003A1DA4">
        <w:tc>
          <w:tcPr>
            <w:tcW w:w="2093" w:type="dxa"/>
          </w:tcPr>
          <w:p w14:paraId="0E90EAD8" w14:textId="0FC5C00F"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36B4 forward</w:t>
            </w:r>
          </w:p>
        </w:tc>
        <w:tc>
          <w:tcPr>
            <w:tcW w:w="3260" w:type="dxa"/>
          </w:tcPr>
          <w:p w14:paraId="688E148B" w14:textId="4701689F"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AACATCTCCCCCTTCTCCTT</w:t>
            </w:r>
          </w:p>
        </w:tc>
      </w:tr>
      <w:tr w:rsidR="00287747" w:rsidRPr="003A1DA4" w:rsidDel="007C110B" w14:paraId="029FB039" w14:textId="437115C0" w:rsidTr="003A1DA4">
        <w:tc>
          <w:tcPr>
            <w:tcW w:w="2093" w:type="dxa"/>
          </w:tcPr>
          <w:p w14:paraId="5FDD2F01" w14:textId="7C48D283"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36B4 reverse</w:t>
            </w:r>
          </w:p>
        </w:tc>
        <w:tc>
          <w:tcPr>
            <w:tcW w:w="3260" w:type="dxa"/>
          </w:tcPr>
          <w:p w14:paraId="436130F3" w14:textId="51B5B86D" w:rsidR="00287747" w:rsidRPr="00DB5328" w:rsidDel="007C110B" w:rsidRDefault="00287747" w:rsidP="007C110B">
            <w:pPr>
              <w:spacing w:line="360" w:lineRule="auto"/>
              <w:jc w:val="both"/>
              <w:rPr>
                <w:rFonts w:cstheme="minorHAnsi"/>
                <w:lang w:val="en-US"/>
              </w:rPr>
            </w:pPr>
            <w:r w:rsidRPr="00DB5328" w:rsidDel="007C110B">
              <w:rPr>
                <w:rFonts w:cstheme="minorHAnsi"/>
                <w:lang w:val="en-US"/>
              </w:rPr>
              <w:t>GAAGGCCTTGACCTTTTCAG</w:t>
            </w:r>
          </w:p>
        </w:tc>
      </w:tr>
    </w:tbl>
    <w:p w14:paraId="43383B4C" w14:textId="7276BF3F" w:rsidR="00287747" w:rsidRPr="003A1DA4" w:rsidRDefault="007C110B" w:rsidP="003A1DA4">
      <w:pPr>
        <w:spacing w:after="0" w:line="240" w:lineRule="auto"/>
        <w:ind w:left="142"/>
        <w:rPr>
          <w:rFonts w:cstheme="minorHAnsi"/>
          <w:b/>
          <w:bCs/>
          <w:lang w:val="en-US"/>
        </w:rPr>
      </w:pPr>
      <w:r w:rsidRPr="003A1DA4">
        <w:rPr>
          <w:rFonts w:cstheme="minorHAnsi"/>
          <w:b/>
          <w:bCs/>
          <w:lang w:val="en-US"/>
        </w:rPr>
        <w:t>Table 1. Primer sequences used for RT-PCR</w:t>
      </w:r>
      <w:r w:rsidR="003A1DA4">
        <w:rPr>
          <w:rFonts w:cstheme="minorHAnsi"/>
          <w:b/>
          <w:bCs/>
          <w:lang w:val="en-US"/>
        </w:rPr>
        <w:t>.</w:t>
      </w:r>
    </w:p>
    <w:p w14:paraId="5F479C1D" w14:textId="77777777" w:rsidR="007718EC" w:rsidRPr="007718EC" w:rsidRDefault="007718EC">
      <w:pPr>
        <w:rPr>
          <w:lang w:val="en-US"/>
        </w:rPr>
      </w:pPr>
    </w:p>
    <w:sectPr w:rsidR="007718EC" w:rsidRPr="007718E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20002A87" w:usb1="00000000" w:usb2="00000000"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hideGrammaticalErrors/>
  <w:proofState w:spelling="clean" w:grammar="clean"/>
  <w:trackRevision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MwM7Y0sTSwNDYzMjZQ0lEKTi0uzszPAykwrgUAi16KNSwAAAA="/>
  </w:docVars>
  <w:rsids>
    <w:rsidRoot w:val="007718EC"/>
    <w:rsid w:val="00271D37"/>
    <w:rsid w:val="00287747"/>
    <w:rsid w:val="003A1DA4"/>
    <w:rsid w:val="00444D29"/>
    <w:rsid w:val="00460DE4"/>
    <w:rsid w:val="0046252B"/>
    <w:rsid w:val="005D6ED9"/>
    <w:rsid w:val="007718EC"/>
    <w:rsid w:val="007C110B"/>
    <w:rsid w:val="00900BB2"/>
    <w:rsid w:val="00A05FA7"/>
    <w:rsid w:val="00A11CAE"/>
    <w:rsid w:val="00BC131D"/>
    <w:rsid w:val="00E82346"/>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50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287747"/>
    <w:rPr>
      <w:i/>
      <w:iCs/>
    </w:rPr>
  </w:style>
  <w:style w:type="character" w:customStyle="1" w:styleId="mb">
    <w:name w:val="mb"/>
    <w:basedOn w:val="Fuentedeprrafopredeter"/>
    <w:rsid w:val="00287747"/>
  </w:style>
  <w:style w:type="table" w:styleId="Tablaconcuadrcula">
    <w:name w:val="Table Grid"/>
    <w:basedOn w:val="Tablanormal"/>
    <w:uiPriority w:val="59"/>
    <w:rsid w:val="002877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uentedeprrafopredeter"/>
    <w:rsid w:val="00287747"/>
  </w:style>
  <w:style w:type="character" w:customStyle="1" w:styleId="st">
    <w:name w:val="st"/>
    <w:basedOn w:val="Fuentedeprrafopredeter"/>
    <w:rsid w:val="00287747"/>
  </w:style>
  <w:style w:type="character" w:styleId="Refdecomentario">
    <w:name w:val="annotation reference"/>
    <w:basedOn w:val="Fuentedeprrafopredeter"/>
    <w:uiPriority w:val="99"/>
    <w:semiHidden/>
    <w:unhideWhenUsed/>
    <w:rsid w:val="005D6ED9"/>
    <w:rPr>
      <w:sz w:val="16"/>
      <w:szCs w:val="16"/>
    </w:rPr>
  </w:style>
  <w:style w:type="paragraph" w:styleId="Textocomentario">
    <w:name w:val="annotation text"/>
    <w:basedOn w:val="Normal"/>
    <w:link w:val="TextocomentarioCar"/>
    <w:uiPriority w:val="99"/>
    <w:semiHidden/>
    <w:unhideWhenUsed/>
    <w:rsid w:val="005D6ED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D6ED9"/>
    <w:rPr>
      <w:sz w:val="20"/>
      <w:szCs w:val="20"/>
    </w:rPr>
  </w:style>
  <w:style w:type="paragraph" w:styleId="Asuntodelcomentario">
    <w:name w:val="annotation subject"/>
    <w:basedOn w:val="Textocomentario"/>
    <w:next w:val="Textocomentario"/>
    <w:link w:val="AsuntodelcomentarioCar"/>
    <w:uiPriority w:val="99"/>
    <w:semiHidden/>
    <w:unhideWhenUsed/>
    <w:rsid w:val="005D6ED9"/>
    <w:rPr>
      <w:b/>
      <w:bCs/>
    </w:rPr>
  </w:style>
  <w:style w:type="character" w:customStyle="1" w:styleId="AsuntodelcomentarioCar">
    <w:name w:val="Asunto del comentario Car"/>
    <w:basedOn w:val="TextocomentarioCar"/>
    <w:link w:val="Asuntodelcomentario"/>
    <w:uiPriority w:val="99"/>
    <w:semiHidden/>
    <w:rsid w:val="005D6ED9"/>
    <w:rPr>
      <w:b/>
      <w:bCs/>
      <w:sz w:val="20"/>
      <w:szCs w:val="20"/>
    </w:rPr>
  </w:style>
  <w:style w:type="paragraph" w:styleId="Textodeglobo">
    <w:name w:val="Balloon Text"/>
    <w:basedOn w:val="Normal"/>
    <w:link w:val="TextodegloboCar"/>
    <w:uiPriority w:val="99"/>
    <w:semiHidden/>
    <w:unhideWhenUsed/>
    <w:rsid w:val="003A1DA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A1DA4"/>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287747"/>
    <w:rPr>
      <w:i/>
      <w:iCs/>
    </w:rPr>
  </w:style>
  <w:style w:type="character" w:customStyle="1" w:styleId="mb">
    <w:name w:val="mb"/>
    <w:basedOn w:val="Fuentedeprrafopredeter"/>
    <w:rsid w:val="00287747"/>
  </w:style>
  <w:style w:type="table" w:styleId="Tablaconcuadrcula">
    <w:name w:val="Table Grid"/>
    <w:basedOn w:val="Tablanormal"/>
    <w:uiPriority w:val="59"/>
    <w:rsid w:val="002877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Fuentedeprrafopredeter"/>
    <w:rsid w:val="00287747"/>
  </w:style>
  <w:style w:type="character" w:customStyle="1" w:styleId="st">
    <w:name w:val="st"/>
    <w:basedOn w:val="Fuentedeprrafopredeter"/>
    <w:rsid w:val="00287747"/>
  </w:style>
  <w:style w:type="character" w:styleId="Refdecomentario">
    <w:name w:val="annotation reference"/>
    <w:basedOn w:val="Fuentedeprrafopredeter"/>
    <w:uiPriority w:val="99"/>
    <w:semiHidden/>
    <w:unhideWhenUsed/>
    <w:rsid w:val="005D6ED9"/>
    <w:rPr>
      <w:sz w:val="16"/>
      <w:szCs w:val="16"/>
    </w:rPr>
  </w:style>
  <w:style w:type="paragraph" w:styleId="Textocomentario">
    <w:name w:val="annotation text"/>
    <w:basedOn w:val="Normal"/>
    <w:link w:val="TextocomentarioCar"/>
    <w:uiPriority w:val="99"/>
    <w:semiHidden/>
    <w:unhideWhenUsed/>
    <w:rsid w:val="005D6ED9"/>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5D6ED9"/>
    <w:rPr>
      <w:sz w:val="20"/>
      <w:szCs w:val="20"/>
    </w:rPr>
  </w:style>
  <w:style w:type="paragraph" w:styleId="Asuntodelcomentario">
    <w:name w:val="annotation subject"/>
    <w:basedOn w:val="Textocomentario"/>
    <w:next w:val="Textocomentario"/>
    <w:link w:val="AsuntodelcomentarioCar"/>
    <w:uiPriority w:val="99"/>
    <w:semiHidden/>
    <w:unhideWhenUsed/>
    <w:rsid w:val="005D6ED9"/>
    <w:rPr>
      <w:b/>
      <w:bCs/>
    </w:rPr>
  </w:style>
  <w:style w:type="character" w:customStyle="1" w:styleId="AsuntodelcomentarioCar">
    <w:name w:val="Asunto del comentario Car"/>
    <w:basedOn w:val="TextocomentarioCar"/>
    <w:link w:val="Asuntodelcomentario"/>
    <w:uiPriority w:val="99"/>
    <w:semiHidden/>
    <w:rsid w:val="005D6ED9"/>
    <w:rPr>
      <w:b/>
      <w:bCs/>
      <w:sz w:val="20"/>
      <w:szCs w:val="20"/>
    </w:rPr>
  </w:style>
  <w:style w:type="paragraph" w:styleId="Textodeglobo">
    <w:name w:val="Balloon Text"/>
    <w:basedOn w:val="Normal"/>
    <w:link w:val="TextodegloboCar"/>
    <w:uiPriority w:val="99"/>
    <w:semiHidden/>
    <w:unhideWhenUsed/>
    <w:rsid w:val="003A1DA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A1D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6853</Words>
  <Characters>37697</Characters>
  <Application>Microsoft Office Word</Application>
  <DocSecurity>0</DocSecurity>
  <Lines>314</Lines>
  <Paragraphs>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Francisco Javier Soto Gallues</dc:creator>
  <cp:keywords/>
  <dc:description/>
  <cp:lastModifiedBy>Alberto</cp:lastModifiedBy>
  <cp:revision>3</cp:revision>
  <dcterms:created xsi:type="dcterms:W3CDTF">2021-05-31T07:22:00Z</dcterms:created>
  <dcterms:modified xsi:type="dcterms:W3CDTF">2021-11-29T10:38:00Z</dcterms:modified>
</cp:coreProperties>
</file>