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28"/>
        </w:rPr>
        <w:t>GRRAS checklist</w:t>
      </w:r>
    </w:p>
    <w:p>
      <w:pPr>
        <w:spacing w:after="160"/>
      </w:pPr>
      <w:r>
        <w:rPr>
          <w:b w:val="0"/>
          <w:i/>
          <w:sz w:val="20"/>
        </w:rPr>
        <w:t>Guidelines for Reporting Reliability and Agreement Studies (Kottner et al., J Clin Nurs 2011;48:661–671)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"/>
        <w:gridCol w:w="3888"/>
        <w:gridCol w:w="5040"/>
      </w:tblGrid>
      <w:tr>
        <w:tc>
          <w:tcPr>
            <w:tcW w:type="dxa" w:w="2880"/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GRRAS item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Where reported in this manuscript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Identify in the title or abstract that interrater or intrarater reliability or agreement was investigated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Title and Abstract state “test–retest reliability study” and report ICC/SEM/MDC95.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Name and describe the diagnostic or measurement device of interest explicitly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Methods – Instrumentation: Emat plantar pressure plate (3doeCom, China), 50×50 cm, 4 sensors/cm², 300 Hz, FMap software.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Specify the subject population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Methods – Participants: 37 patients with knee disorders; 15 healthy controls; inclusion/exclusion criteria given.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Specify the rater (operator) population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Methods – Testing protocol: a single trained operator supervised all trials.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Describe what is measured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Methods – Outcome measures: 94 parameters (static, regional and dynamic).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State the number of raters (operators)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One operator (single-session, single-operator design).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Describe the purpose (intrarater vs interrater) and sampling design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Intra-session (within-session) test–retest reliability; consecutive clinical sample and volunteer controls.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Describe the measurement protocol, including the time interval between repeated measurements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Three consecutive trials within one session, one-minute rest between trials; two minutes familiarisation.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Describe the statistical analysis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ICC(2,1) with Shrout–Fleiss 95% CI; SEM; MDC95; within-subject CV; Bland–Altman; Spearman–Brown.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State the actual estimates of reliability and precision (confidence intervals)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Tables 2–5 and Figures 1–3 report ICC point estimates and 95% CIs for all parameters.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State the exact number of subjects and observations used for each analysis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Per-parameter n is reported in Tables 2–5; 33–37 participants × 3 trials.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Describe rater training or background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 single trained operator; further operator credential detail is recommended before submission.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Report dropout / missing data and how it was handled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11 physiologically impossible negative values (0.5%) treated as missing under a pre-specified rule.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Describe how agreement was assessed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Bland–Altman plots with mean bias and 95% limits of agreement (Figure 2).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Provide an interpretation of the results, including clinical significance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Discussion and Conclusions: MDC95 relative to group means; implications for outcome selection in knee surgery.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