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66A9B">
      <w:pPr>
        <w:jc w:val="center"/>
        <w:rPr>
          <w:rFonts w:hint="default" w:ascii="Times New Roman" w:hAnsi="Times New Roman" w:cs="Times New Roman"/>
          <w:color w:val="auto"/>
        </w:rPr>
      </w:pPr>
      <w:r>
        <w:rPr>
          <w:rFonts w:hint="default" w:ascii="Times New Roman" w:hAnsi="Times New Roman" w:cs="Times New Roman"/>
          <w:b/>
          <w:color w:val="auto"/>
          <w:sz w:val="32"/>
        </w:rPr>
        <w:t>Supplementary Information</w:t>
      </w:r>
    </w:p>
    <w:p w14:paraId="399B600A">
      <w:pPr>
        <w:pStyle w:val="4"/>
        <w:rPr>
          <w:rFonts w:hint="default" w:ascii="Times New Roman" w:hAnsi="Times New Roman" w:cs="Times New Roman"/>
          <w:color w:val="auto"/>
        </w:rPr>
      </w:pPr>
      <w:r>
        <w:rPr>
          <w:rFonts w:hint="default" w:ascii="Times New Roman" w:hAnsi="Times New Roman" w:cs="Times New Roman"/>
          <w:color w:val="auto"/>
        </w:rPr>
        <w:t>Metabolic Trait Selection and Factor Robustness</w:t>
      </w:r>
    </w:p>
    <w:p w14:paraId="0EBF31D6">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main manuscript summarizes the staged construction of lipid and non-lipid metabolic factor GWAS. Full trait-level QC is provided in Supplementary Table S1. Briefly, 112 non-proportion traits from the primary EstBB-UKBB meta_EUR NMR metabolite GWAS [1,2] passed the univariate LDSC entry rule [4] (h2 Z &gt; 4) and were used as the parent discovery universe. The lipid workflow reduced 94 lipid-related traits to a final eight-indicator panel through redundancy control, factor-loading stability, loading-gap support, and final model fit. The non-lipid workflow reduced 18 non-lipid traits to a final eight-indicator panel using analogous criteria, including compact-subset ESEM search favoring CFI &gt;= 0.95 and SRMR &lt; 0.08.</w:t>
      </w:r>
    </w:p>
    <w:p w14:paraId="26A0F08C">
      <w:pPr>
        <w:spacing w:after="80" w:line="259" w:lineRule="auto"/>
        <w:rPr>
          <w:rFonts w:hint="default" w:ascii="Times New Roman" w:hAnsi="Times New Roman" w:cs="Times New Roman"/>
          <w:color w:val="auto"/>
        </w:rPr>
      </w:pPr>
      <w:r>
        <w:rPr>
          <w:rFonts w:hint="default" w:ascii="Times New Roman" w:hAnsi="Times New Roman" w:cs="Times New Roman"/>
          <w:color w:val="auto"/>
        </w:rPr>
        <w:t>Q_SNP heterogeneity was treated as an annotation layer. The HDL-core and cholesteryl-ester/structural lipid factors showed little or no genome-wide significant Q_SNP burden, whereas the TG-rich/VLDL-remodeling and several non-lipid factors retained Q_SNP loci. These findings were not used to exclude factor GWAS because Genomic SEM Q_SNP [5] identifies loci that deviate from the common-factor model, not failure of the latent factor itself.</w:t>
      </w:r>
    </w:p>
    <w:p w14:paraId="2AA2C230">
      <w:pPr>
        <w:pStyle w:val="4"/>
        <w:rPr>
          <w:rFonts w:hint="default" w:ascii="Times New Roman" w:hAnsi="Times New Roman" w:cs="Times New Roman"/>
          <w:color w:val="auto"/>
        </w:rPr>
      </w:pPr>
      <w:r>
        <w:rPr>
          <w:rFonts w:hint="default" w:ascii="Times New Roman" w:hAnsi="Times New Roman" w:cs="Times New Roman"/>
          <w:color w:val="auto"/>
        </w:rPr>
        <w:t>External Metabolite Validation</w:t>
      </w:r>
    </w:p>
    <w:p w14:paraId="046B2767">
      <w:pPr>
        <w:spacing w:after="80" w:line="259" w:lineRule="auto"/>
        <w:rPr>
          <w:rFonts w:hint="default" w:ascii="Times New Roman" w:hAnsi="Times New Roman" w:cs="Times New Roman"/>
          <w:color w:val="auto"/>
        </w:rPr>
      </w:pPr>
      <w:r>
        <w:rPr>
          <w:rFonts w:hint="default" w:ascii="Times New Roman" w:hAnsi="Times New Roman" w:cs="Times New Roman"/>
          <w:color w:val="auto"/>
        </w:rPr>
        <w:t>External validation used the Karjalainen et al. NMR metabolite GWAS resource [3], which is independent from the primary EstBB-UKBB meta_EUR construction resource. Because phenotype naming and trait availability were not identical between the two resources, external validation pairs were classified as exact matches, terminology/platform variants, size-specific proxies, or same-domain support traits. The external validation tables retain source ancestry-composition fields; no European-only external GWAS were regenerated from individual-level data.</w:t>
      </w:r>
    </w:p>
    <w:p w14:paraId="7775C820">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validation results supported the metabolic identity of the retained factor GWAS. The TG-rich/VLDL-remodeling axis aligned with external triglyceride-rich and VLDL-size traits, including triglycerides in medium HDL (rg = 0.792), monounsaturated fatty acids (rg = 0.858), and mean VLDL particle diameter (rg = 0.891). The HDL-core axis aligned most strongly with apolipoprotein A-I levels (rg = 0.874), with additional same-domain support from cholesterol esters in small HDL (rg = 0.282). The cholesteryl-ester/structural lipid axis aligned with free cholesterol in very small VLDL (rg = 0.853) and VLDL cholesteryl-ester traits. Among non-lipid factors, the ketone-body axis aligned with 3-hydroxybutyrate (rg = 0.859), the amino-acid axis aligned with leucine (rg = 0.884), valine (rg = 0.875), and phenylalanine (rg = 0.395), and the energy-bridge axis aligned inversely with glucose (raw rg = -0.412; aligned absolute rg = 0.412). These findings support the interpretation that the factor GWAS captured recognizable metabolic axes outside the construction dataset.</w:t>
      </w:r>
    </w:p>
    <w:p w14:paraId="50C70C21">
      <w:pPr>
        <w:pStyle w:val="4"/>
        <w:rPr>
          <w:rFonts w:hint="default" w:ascii="Times New Roman" w:hAnsi="Times New Roman" w:cs="Times New Roman"/>
          <w:color w:val="auto"/>
        </w:rPr>
      </w:pPr>
      <w:r>
        <w:rPr>
          <w:rFonts w:hint="default" w:ascii="Times New Roman" w:hAnsi="Times New Roman" w:cs="Times New Roman"/>
          <w:color w:val="auto"/>
        </w:rPr>
        <w:t>Complete Disease Screen</w:t>
      </w:r>
    </w:p>
    <w:p w14:paraId="2BADEE97">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main manuscript emphasizes the three FDR-significant factor-disease pairs: HDL-core axis with AD, ketone-body axis with PD, and TG-rich/VLDL-remodeling axis with PD. The full screen denominator is retained in Supplementary Table S23. The remaining 15 comparisons, including all LBD analyses, did not survive FDR correction and were not taken forward as manuscript-facing branches.</w:t>
      </w:r>
    </w:p>
    <w:p w14:paraId="221CE507">
      <w:pPr>
        <w:pStyle w:val="4"/>
        <w:rPr>
          <w:rFonts w:hint="default" w:ascii="Times New Roman" w:hAnsi="Times New Roman" w:cs="Times New Roman"/>
          <w:color w:val="auto"/>
        </w:rPr>
      </w:pPr>
      <w:r>
        <w:rPr>
          <w:rFonts w:hint="default" w:ascii="Times New Roman" w:hAnsi="Times New Roman" w:cs="Times New Roman"/>
          <w:color w:val="auto"/>
        </w:rPr>
        <w:t>Targeted HDL-AD LDSC Check</w:t>
      </w:r>
    </w:p>
    <w:p w14:paraId="2E891E0B">
      <w:pPr>
        <w:spacing w:after="80" w:line="259" w:lineRule="auto"/>
        <w:rPr>
          <w:rFonts w:hint="default" w:ascii="Times New Roman" w:hAnsi="Times New Roman" w:cs="Times New Roman"/>
          <w:color w:val="auto"/>
        </w:rPr>
      </w:pPr>
      <w:r>
        <w:rPr>
          <w:rFonts w:hint="default" w:ascii="Times New Roman" w:hAnsi="Times New Roman" w:cs="Times New Roman"/>
          <w:color w:val="auto"/>
        </w:rPr>
        <w:t>During discussion-stage interpretation, the positive HDL-core-AD association was evaluated with targeted single-trait LDSC checks. ApoA1, HDL cholesteryl esters, total HDL cholesterol, and HDL cholesterol subfractions all showed positive genetic correlations with AD. These results are reported in Supplementary Table S24 and are intended to support the direction and coherence of the HDL-core branch.</w:t>
      </w:r>
    </w:p>
    <w:p w14:paraId="323B7724">
      <w:pPr>
        <w:pStyle w:val="4"/>
        <w:rPr>
          <w:rFonts w:hint="default" w:ascii="Times New Roman" w:hAnsi="Times New Roman" w:cs="Times New Roman"/>
          <w:color w:val="auto"/>
        </w:rPr>
      </w:pPr>
      <w:r>
        <w:rPr>
          <w:rFonts w:hint="default" w:ascii="Times New Roman" w:hAnsi="Times New Roman" w:cs="Times New Roman"/>
          <w:color w:val="auto"/>
        </w:rPr>
        <w:t>Public Disease-State Summaries</w:t>
      </w:r>
    </w:p>
    <w:p w14:paraId="2776BD0A">
      <w:pPr>
        <w:spacing w:after="80" w:line="259" w:lineRule="auto"/>
        <w:rPr>
          <w:rFonts w:hint="default" w:ascii="Times New Roman" w:hAnsi="Times New Roman" w:cs="Times New Roman"/>
          <w:color w:val="auto"/>
        </w:rPr>
      </w:pPr>
      <w:r>
        <w:rPr>
          <w:rFonts w:hint="default" w:ascii="Times New Roman" w:hAnsi="Times New Roman" w:cs="Times New Roman"/>
          <w:color w:val="auto"/>
        </w:rPr>
        <w:t>In the PD transcriptomic meta-signature [7], all KNK-prioritized genes were present. LRPAP1 showed the strongest dysregulation score among prioritized genes (D.overall = 0.0968; rank = 962; expressed in all six source datasets), followed by GRK4 (D.overall = 0.0457; rank = 5,298), KNOP1 (D.overall = 0.0426; rank = 6,045), TMEM175 (D.overall = 0.0386; rank = 6,963), KANSL1 (D.overall = 0.0369; rank = 7,260), and PRMT7 (D.overall = 0.0344; rank = 8,019). DGKQ, LRRC37A2, ARL17B, and DUS2 were also present but lower ranked. These results provide supportive disease-state context for the PD-facing branches, particularly the ketone-body-PD and TG-rich/VLDL-remodeling-PD branches, but they do not establish causal expression mediation.</w:t>
      </w:r>
    </w:p>
    <w:p w14:paraId="7C0EA740">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public AD CSF proteomic resource [6] had limited coverage of prioritized genes. Only LRPAP1 was detected in the extracted AD proteomic tables, and its available comparisons were not significant in the BioFINDER-style pathology comparison (effect = -0.0232, P = 0.279, FDR = 0.474) or ADNI validation table (effect = -0.00935, P = 0.851, FDR = 0.963).</w:t>
      </w:r>
    </w:p>
    <w:p w14:paraId="303C87DC">
      <w:pPr>
        <w:pStyle w:val="4"/>
        <w:rPr>
          <w:rFonts w:hint="default" w:ascii="Times New Roman" w:hAnsi="Times New Roman" w:cs="Times New Roman"/>
          <w:color w:val="auto"/>
        </w:rPr>
      </w:pPr>
      <w:r>
        <w:rPr>
          <w:rFonts w:hint="default" w:ascii="Times New Roman" w:hAnsi="Times New Roman" w:cs="Times New Roman"/>
          <w:color w:val="auto"/>
        </w:rPr>
        <w:t>References</w:t>
      </w:r>
    </w:p>
    <w:p w14:paraId="3F9D3EF7">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 Tambets R, Kronberg J, Abner E, Võsa U, Rahu I, Taba N, et al. Genome-wide association study for circulating metabolites in 619,372 individuals. medRxiv. 2024. doi:10.1101/2024.10.15.24315557.</w:t>
      </w:r>
    </w:p>
    <w:p w14:paraId="31BA4BFD">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 Bycroft, Clare, Freeman, Colin, Petkova, Desislava, et al. The UK Biobank resource with deep phenotyping and genomic data. Nature 2018;562:203-209. doi:10.1038/s41586-018-0579-z.</w:t>
      </w:r>
    </w:p>
    <w:p w14:paraId="468C0544">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3. Karjalainen, Juha, et al.. Genome-wide characterization of circulating metabolic biomarkers. Nature 2024;628:130--138. doi:10.1038/s41586-024-07148-y.</w:t>
      </w:r>
      <w:bookmarkStart w:id="0" w:name="_GoBack"/>
      <w:bookmarkEnd w:id="0"/>
    </w:p>
    <w:p w14:paraId="73EF27B1">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4. Bulik-Sullivan, Brendan K., Loh, Po-Ru, Finucane, Hilary K., Ripke, Stephan, Yang, Jian, Patterson, Nick, et al. LD Score regression distinguishes confounding from polygenicity in genome-wide association studies. Nature Genetics 2015;47:291-295. doi:10.1038/ng.3211.</w:t>
      </w:r>
    </w:p>
    <w:p w14:paraId="050AD7F6">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5. Grotzinger, Andrew D., Rhemtulla, Mijke, de Vlaming, Ronald, Ritchie, Stuart J., Mallard, Travis T., Hill, W. David, et al. Genomic structural equation modelling provides insights into the multivariate genetic architecture of complex traits. Nature Human Behaviour 2019;3:513-525. doi:10.1038/s41562-019-0566-x.</w:t>
      </w:r>
    </w:p>
    <w:p w14:paraId="5C0275DB">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6. Pichet Binette, Alexa, et al. Proteomic changes in Alzheimer's disease associated with progressive amyloid-beta plaque and tau tangle pathologies. Nature Neuroscience 2024;27:1880-1891. doi:10.1038/s41593-024-01737-w.</w:t>
      </w:r>
    </w:p>
    <w:p w14:paraId="4A03056A">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7. van den Hurk, Mark, Lau, Shong, Marchetto, Maria C., Mertens, Jerome, Stern, Shani, Corti, Olga, et al. Druggable transcriptomic pathways revealed in Parkinson's patient-derived midbrain neurons. npj Parkinson's Disease 2022;8:134. doi:10.1038/s41531-022-00400-0.</w:t>
      </w:r>
    </w:p>
    <w:sectPr>
      <w:pgSz w:w="12240" w:h="15840"/>
      <w:pgMar w:top="1080" w:right="1080" w:bottom="108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37A45BE"/>
    <w:rsid w:val="71A90CE3"/>
    <w:rsid w:val="7E1C56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2"/>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859</Words>
  <Characters>5562</Characters>
  <Lines>0</Lines>
  <Paragraphs>0</Paragraphs>
  <TotalTime>0</TotalTime>
  <ScaleCrop>false</ScaleCrop>
  <LinksUpToDate>false</LinksUpToDate>
  <CharactersWithSpaces>6399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竹下寺</cp:lastModifiedBy>
  <dcterms:modified xsi:type="dcterms:W3CDTF">2026-05-14T01:19:43Z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eyJoZGlkIjoiODFiMTZlMjE2ZGQwMDYyMjA1NjBkYmM3NmMzYjc1MzIiLCJ1c2VySWQiOiI1MDk5NDg3NzcifQ==</vt:lpwstr>
  </property>
  <property fmtid="{D5CDD505-2E9C-101B-9397-08002B2CF9AE}" pid="3" name="KSOProductBuildVer">
    <vt:lpwstr>2052-12.1.0.25865</vt:lpwstr>
  </property>
  <property fmtid="{D5CDD505-2E9C-101B-9397-08002B2CF9AE}" pid="4" name="ICV">
    <vt:lpwstr>C7345F39D0514E73B6C8ADBF6128CE96_12</vt:lpwstr>
  </property>
</Properties>
</file>