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BD942">
      <w:pPr>
        <w:jc w:val="center"/>
        <w:rPr>
          <w:rFonts w:hint="default" w:ascii="Times New Roman" w:hAnsi="Times New Roman" w:cs="Times New Roman"/>
          <w:color w:val="auto"/>
        </w:rPr>
      </w:pPr>
      <w:r>
        <w:rPr>
          <w:rFonts w:hint="default" w:ascii="Times New Roman" w:hAnsi="Times New Roman" w:cs="Times New Roman"/>
          <w:b/>
          <w:color w:val="auto"/>
          <w:sz w:val="32"/>
        </w:rPr>
        <w:t>Supplementary Methods</w:t>
      </w:r>
    </w:p>
    <w:p w14:paraId="44BB042D">
      <w:pPr>
        <w:ind w:left="259"/>
        <w:rPr>
          <w:rFonts w:hint="default" w:ascii="Times New Roman" w:hAnsi="Times New Roman" w:cs="Times New Roman"/>
          <w:color w:val="auto"/>
        </w:rPr>
      </w:pPr>
      <w:r>
        <w:rPr>
          <w:rFonts w:hint="default" w:ascii="Times New Roman" w:hAnsi="Times New Roman" w:cs="Times New Roman"/>
          <w:b/>
          <w:color w:val="auto"/>
          <w:sz w:val="21"/>
        </w:rPr>
        <w:t>1. Study resources and analytic logic</w:t>
      </w:r>
    </w:p>
    <w:p w14:paraId="20C6A923">
      <w:pPr>
        <w:ind w:left="259"/>
        <w:rPr>
          <w:rFonts w:hint="default" w:ascii="Times New Roman" w:hAnsi="Times New Roman" w:cs="Times New Roman"/>
          <w:color w:val="auto"/>
        </w:rPr>
      </w:pPr>
      <w:r>
        <w:rPr>
          <w:rFonts w:hint="default" w:ascii="Times New Roman" w:hAnsi="Times New Roman" w:cs="Times New Roman"/>
          <w:b/>
          <w:color w:val="auto"/>
          <w:sz w:val="21"/>
        </w:rPr>
        <w:t>2. Summary-statistic harmonization and disease GWAS processing</w:t>
      </w:r>
    </w:p>
    <w:p w14:paraId="1001F2B3">
      <w:pPr>
        <w:ind w:left="259"/>
        <w:rPr>
          <w:rFonts w:hint="default" w:ascii="Times New Roman" w:hAnsi="Times New Roman" w:cs="Times New Roman"/>
          <w:color w:val="auto"/>
        </w:rPr>
      </w:pPr>
      <w:r>
        <w:rPr>
          <w:rFonts w:hint="default" w:ascii="Times New Roman" w:hAnsi="Times New Roman" w:cs="Times New Roman"/>
          <w:b/>
          <w:color w:val="auto"/>
          <w:sz w:val="21"/>
        </w:rPr>
        <w:t>3. Metabolic trait universe and LDSC entry criteria</w:t>
      </w:r>
    </w:p>
    <w:p w14:paraId="63AA8B67">
      <w:pPr>
        <w:ind w:left="259"/>
        <w:rPr>
          <w:rFonts w:hint="default" w:ascii="Times New Roman" w:hAnsi="Times New Roman" w:cs="Times New Roman"/>
          <w:color w:val="auto"/>
        </w:rPr>
      </w:pPr>
      <w:r>
        <w:rPr>
          <w:rFonts w:hint="default" w:ascii="Times New Roman" w:hAnsi="Times New Roman" w:cs="Times New Roman"/>
          <w:b/>
          <w:color w:val="auto"/>
          <w:sz w:val="21"/>
        </w:rPr>
        <w:t>4. Staged selection of lipid and non-lipid indicators</w:t>
      </w:r>
    </w:p>
    <w:p w14:paraId="1D41FA67">
      <w:pPr>
        <w:ind w:left="259"/>
        <w:rPr>
          <w:rFonts w:hint="default" w:ascii="Times New Roman" w:hAnsi="Times New Roman" w:cs="Times New Roman"/>
          <w:color w:val="auto"/>
        </w:rPr>
      </w:pPr>
      <w:r>
        <w:rPr>
          <w:rFonts w:hint="default" w:ascii="Times New Roman" w:hAnsi="Times New Roman" w:cs="Times New Roman"/>
          <w:b/>
          <w:color w:val="auto"/>
          <w:sz w:val="21"/>
        </w:rPr>
        <w:t>5. Multivariable LDSC and factor-model construction</w:t>
      </w:r>
    </w:p>
    <w:p w14:paraId="336EED0F">
      <w:pPr>
        <w:ind w:left="259"/>
        <w:rPr>
          <w:rFonts w:hint="default" w:ascii="Times New Roman" w:hAnsi="Times New Roman" w:cs="Times New Roman"/>
          <w:color w:val="auto"/>
        </w:rPr>
      </w:pPr>
      <w:r>
        <w:rPr>
          <w:rFonts w:hint="default" w:ascii="Times New Roman" w:hAnsi="Times New Roman" w:cs="Times New Roman"/>
          <w:b/>
          <w:color w:val="auto"/>
          <w:sz w:val="21"/>
        </w:rPr>
        <w:t>6. Latent factor GWAS generation</w:t>
      </w:r>
    </w:p>
    <w:p w14:paraId="10E5853A">
      <w:pPr>
        <w:ind w:left="259"/>
        <w:rPr>
          <w:rFonts w:hint="default" w:ascii="Times New Roman" w:hAnsi="Times New Roman" w:cs="Times New Roman"/>
          <w:color w:val="auto"/>
        </w:rPr>
      </w:pPr>
      <w:r>
        <w:rPr>
          <w:rFonts w:hint="default" w:ascii="Times New Roman" w:hAnsi="Times New Roman" w:cs="Times New Roman"/>
          <w:b/>
          <w:color w:val="auto"/>
          <w:sz w:val="21"/>
        </w:rPr>
        <w:t>7. Effective sample-size estimation for factor GWAS</w:t>
      </w:r>
    </w:p>
    <w:p w14:paraId="161F7007">
      <w:pPr>
        <w:ind w:left="259"/>
        <w:rPr>
          <w:rFonts w:hint="default" w:ascii="Times New Roman" w:hAnsi="Times New Roman" w:cs="Times New Roman"/>
          <w:color w:val="auto"/>
        </w:rPr>
      </w:pPr>
      <w:r>
        <w:rPr>
          <w:rFonts w:hint="default" w:ascii="Times New Roman" w:hAnsi="Times New Roman" w:cs="Times New Roman"/>
          <w:b/>
          <w:color w:val="auto"/>
          <w:sz w:val="21"/>
        </w:rPr>
        <w:t>8. Factor GWAS quality assessment</w:t>
      </w:r>
    </w:p>
    <w:p w14:paraId="3B55322C">
      <w:pPr>
        <w:ind w:left="259"/>
        <w:rPr>
          <w:rFonts w:hint="default" w:ascii="Times New Roman" w:hAnsi="Times New Roman" w:cs="Times New Roman"/>
          <w:color w:val="auto"/>
        </w:rPr>
      </w:pPr>
      <w:r>
        <w:rPr>
          <w:rFonts w:hint="default" w:ascii="Times New Roman" w:hAnsi="Times New Roman" w:cs="Times New Roman"/>
          <w:b/>
          <w:color w:val="auto"/>
          <w:sz w:val="21"/>
        </w:rPr>
        <w:t>9. Internal factor-to-metabolite validation</w:t>
      </w:r>
    </w:p>
    <w:p w14:paraId="66B35A82">
      <w:pPr>
        <w:ind w:left="259"/>
        <w:rPr>
          <w:rFonts w:hint="default" w:ascii="Times New Roman" w:hAnsi="Times New Roman" w:cs="Times New Roman"/>
          <w:color w:val="auto"/>
        </w:rPr>
      </w:pPr>
      <w:r>
        <w:rPr>
          <w:rFonts w:hint="default" w:ascii="Times New Roman" w:hAnsi="Times New Roman" w:cs="Times New Roman"/>
          <w:b/>
          <w:color w:val="auto"/>
          <w:sz w:val="21"/>
        </w:rPr>
        <w:t>10. Leave-one-out and external metabolite validation</w:t>
      </w:r>
    </w:p>
    <w:p w14:paraId="7ADEF37C">
      <w:pPr>
        <w:ind w:left="259"/>
        <w:rPr>
          <w:rFonts w:hint="default" w:ascii="Times New Roman" w:hAnsi="Times New Roman" w:cs="Times New Roman"/>
          <w:color w:val="auto"/>
        </w:rPr>
      </w:pPr>
      <w:r>
        <w:rPr>
          <w:rFonts w:hint="default" w:ascii="Times New Roman" w:hAnsi="Times New Roman" w:cs="Times New Roman"/>
          <w:b/>
          <w:color w:val="auto"/>
          <w:sz w:val="21"/>
        </w:rPr>
        <w:t>11. Cross-disease LDSC screening</w:t>
      </w:r>
    </w:p>
    <w:p w14:paraId="42AB5B14">
      <w:pPr>
        <w:ind w:left="259"/>
        <w:rPr>
          <w:rFonts w:hint="default" w:ascii="Times New Roman" w:hAnsi="Times New Roman" w:cs="Times New Roman"/>
          <w:color w:val="auto"/>
        </w:rPr>
      </w:pPr>
      <w:r>
        <w:rPr>
          <w:rFonts w:hint="default" w:ascii="Times New Roman" w:hAnsi="Times New Roman" w:cs="Times New Roman"/>
          <w:b/>
          <w:color w:val="auto"/>
          <w:sz w:val="21"/>
        </w:rPr>
        <w:t>12. MiXeR analysis</w:t>
      </w:r>
    </w:p>
    <w:p w14:paraId="2E0C42BA">
      <w:pPr>
        <w:ind w:left="259"/>
        <w:rPr>
          <w:rFonts w:hint="default" w:ascii="Times New Roman" w:hAnsi="Times New Roman" w:cs="Times New Roman"/>
          <w:color w:val="auto"/>
        </w:rPr>
      </w:pPr>
      <w:r>
        <w:rPr>
          <w:rFonts w:hint="default" w:ascii="Times New Roman" w:hAnsi="Times New Roman" w:cs="Times New Roman"/>
          <w:b/>
          <w:color w:val="auto"/>
          <w:sz w:val="21"/>
        </w:rPr>
        <w:t>13. Pleiotropy-informed locus discovery</w:t>
      </w:r>
    </w:p>
    <w:p w14:paraId="082C31DD">
      <w:pPr>
        <w:ind w:left="259"/>
        <w:rPr>
          <w:rFonts w:hint="default" w:ascii="Times New Roman" w:hAnsi="Times New Roman" w:cs="Times New Roman"/>
          <w:color w:val="auto"/>
        </w:rPr>
      </w:pPr>
      <w:r>
        <w:rPr>
          <w:rFonts w:hint="default" w:ascii="Times New Roman" w:hAnsi="Times New Roman" w:cs="Times New Roman"/>
          <w:b/>
          <w:color w:val="auto"/>
          <w:sz w:val="21"/>
        </w:rPr>
        <w:t>14. Colocalization and PWCoCo</w:t>
      </w:r>
    </w:p>
    <w:p w14:paraId="71784B84">
      <w:pPr>
        <w:ind w:left="259"/>
        <w:rPr>
          <w:rFonts w:hint="default" w:ascii="Times New Roman" w:hAnsi="Times New Roman" w:cs="Times New Roman"/>
          <w:color w:val="auto"/>
        </w:rPr>
      </w:pPr>
      <w:r>
        <w:rPr>
          <w:rFonts w:hint="default" w:ascii="Times New Roman" w:hAnsi="Times New Roman" w:cs="Times New Roman"/>
          <w:b/>
          <w:color w:val="auto"/>
          <w:sz w:val="21"/>
        </w:rPr>
        <w:t>15. SNP-to-gene mapping, FUMA, cTWAS, and candidate tiering</w:t>
      </w:r>
    </w:p>
    <w:p w14:paraId="29E62E1B">
      <w:pPr>
        <w:ind w:left="259"/>
        <w:rPr>
          <w:rFonts w:hint="default" w:ascii="Times New Roman" w:hAnsi="Times New Roman" w:cs="Times New Roman"/>
          <w:color w:val="auto"/>
        </w:rPr>
      </w:pPr>
      <w:r>
        <w:rPr>
          <w:rFonts w:hint="default" w:ascii="Times New Roman" w:hAnsi="Times New Roman" w:cs="Times New Roman"/>
          <w:b/>
          <w:color w:val="auto"/>
          <w:sz w:val="21"/>
        </w:rPr>
        <w:t>16. SMR analyses</w:t>
      </w:r>
    </w:p>
    <w:p w14:paraId="6B0EA1D5">
      <w:pPr>
        <w:ind w:left="259"/>
        <w:rPr>
          <w:rFonts w:hint="default" w:ascii="Times New Roman" w:hAnsi="Times New Roman" w:cs="Times New Roman"/>
          <w:color w:val="auto"/>
        </w:rPr>
      </w:pPr>
      <w:r>
        <w:rPr>
          <w:rFonts w:hint="default" w:ascii="Times New Roman" w:hAnsi="Times New Roman" w:cs="Times New Roman"/>
          <w:b/>
          <w:color w:val="auto"/>
          <w:sz w:val="21"/>
        </w:rPr>
        <w:t>17. scPagwas projection</w:t>
      </w:r>
    </w:p>
    <w:p w14:paraId="41841C51">
      <w:pPr>
        <w:ind w:left="259"/>
        <w:rPr>
          <w:rFonts w:hint="default" w:ascii="Times New Roman" w:hAnsi="Times New Roman" w:cs="Times New Roman"/>
          <w:color w:val="auto"/>
        </w:rPr>
      </w:pPr>
      <w:r>
        <w:rPr>
          <w:rFonts w:hint="default" w:ascii="Times New Roman" w:hAnsi="Times New Roman" w:cs="Times New Roman"/>
          <w:b/>
          <w:color w:val="auto"/>
          <w:sz w:val="21"/>
        </w:rPr>
        <w:t>18. scTenifoldKnk virtual knockout</w:t>
      </w:r>
    </w:p>
    <w:p w14:paraId="6F370317">
      <w:pPr>
        <w:ind w:left="259"/>
        <w:rPr>
          <w:rFonts w:hint="default" w:ascii="Times New Roman" w:hAnsi="Times New Roman" w:cs="Times New Roman"/>
          <w:color w:val="auto"/>
        </w:rPr>
      </w:pPr>
      <w:r>
        <w:rPr>
          <w:rFonts w:hint="default" w:ascii="Times New Roman" w:hAnsi="Times New Roman" w:cs="Times New Roman"/>
          <w:b/>
          <w:color w:val="auto"/>
          <w:sz w:val="21"/>
        </w:rPr>
        <w:t>19. Target annotation and binding/modality screening</w:t>
      </w:r>
    </w:p>
    <w:p w14:paraId="604B7A89">
      <w:pPr>
        <w:ind w:left="259"/>
        <w:rPr>
          <w:rFonts w:hint="default" w:ascii="Times New Roman" w:hAnsi="Times New Roman" w:cs="Times New Roman"/>
          <w:color w:val="auto"/>
        </w:rPr>
      </w:pPr>
      <w:r>
        <w:rPr>
          <w:rFonts w:hint="default" w:ascii="Times New Roman" w:hAnsi="Times New Roman" w:cs="Times New Roman"/>
          <w:b/>
          <w:color w:val="auto"/>
          <w:sz w:val="21"/>
        </w:rPr>
        <w:t>20. Supportive public disease-state summaries</w:t>
      </w:r>
    </w:p>
    <w:p w14:paraId="18ACA7A0">
      <w:pPr>
        <w:ind w:left="259"/>
        <w:rPr>
          <w:rFonts w:hint="default" w:ascii="Times New Roman" w:hAnsi="Times New Roman" w:cs="Times New Roman"/>
          <w:color w:val="auto"/>
        </w:rPr>
      </w:pPr>
      <w:r>
        <w:rPr>
          <w:rFonts w:hint="default" w:ascii="Times New Roman" w:hAnsi="Times New Roman" w:cs="Times New Roman"/>
          <w:b/>
          <w:color w:val="auto"/>
          <w:sz w:val="21"/>
        </w:rPr>
        <w:t>References</w:t>
      </w:r>
    </w:p>
    <w:p w14:paraId="50BB35AB">
      <w:pPr>
        <w:rPr>
          <w:rFonts w:hint="default" w:ascii="Times New Roman" w:hAnsi="Times New Roman" w:cs="Times New Roman"/>
          <w:color w:val="auto"/>
        </w:rPr>
      </w:pPr>
      <w:r>
        <w:rPr>
          <w:rFonts w:hint="default" w:ascii="Times New Roman" w:hAnsi="Times New Roman" w:cs="Times New Roman"/>
          <w:color w:val="auto"/>
        </w:rPr>
        <w:br w:type="page"/>
      </w:r>
    </w:p>
    <w:p w14:paraId="64980585">
      <w:pPr>
        <w:pStyle w:val="3"/>
        <w:rPr>
          <w:rFonts w:hint="default" w:ascii="Times New Roman" w:hAnsi="Times New Roman" w:cs="Times New Roman"/>
          <w:color w:val="auto"/>
        </w:rPr>
      </w:pPr>
      <w:r>
        <w:rPr>
          <w:rFonts w:hint="default" w:ascii="Times New Roman" w:hAnsi="Times New Roman" w:cs="Times New Roman"/>
          <w:color w:val="auto"/>
        </w:rPr>
        <w:t>Supplementary Methods</w:t>
      </w:r>
    </w:p>
    <w:p w14:paraId="32DADEA8">
      <w:pPr>
        <w:pStyle w:val="4"/>
        <w:rPr>
          <w:rFonts w:hint="default" w:ascii="Times New Roman" w:hAnsi="Times New Roman" w:cs="Times New Roman"/>
          <w:color w:val="auto"/>
        </w:rPr>
      </w:pPr>
      <w:r>
        <w:rPr>
          <w:rFonts w:hint="default" w:ascii="Times New Roman" w:hAnsi="Times New Roman" w:cs="Times New Roman"/>
          <w:color w:val="auto"/>
        </w:rPr>
        <w:t>1. Study resources and analytic logic</w:t>
      </w:r>
    </w:p>
    <w:p w14:paraId="7ECDB66F">
      <w:pPr>
        <w:spacing w:after="80" w:line="259" w:lineRule="auto"/>
        <w:rPr>
          <w:rFonts w:hint="default" w:ascii="Times New Roman" w:hAnsi="Times New Roman" w:cs="Times New Roman"/>
          <w:color w:val="auto"/>
        </w:rPr>
      </w:pPr>
      <w:r>
        <w:rPr>
          <w:rFonts w:hint="default" w:ascii="Times New Roman" w:hAnsi="Times New Roman" w:cs="Times New Roman"/>
          <w:color w:val="auto"/>
        </w:rPr>
        <w:t>This project used a latent-trait genomic framework to connect circulating metabolic architecture with neurodegenerative disease. The analysis began with a single quality-controlled metabolic trait universe, proceeded through lipid and non-lipid factor construction, generated GWAS summary statistics for six latent factors, and then applied a gated downstream workflow for disease comparison, locus refinement, candidate-gene prioritization, single-cell contextualization, virtual knockout, and target annotation. Throughout the workflow, traits used to estimate latent factors were kept separate from traits and resources used only for validation or interpretation.</w:t>
      </w:r>
    </w:p>
    <w:p w14:paraId="2B79C9FC">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primary metabolic GWAS resource was the Estonian Biobank–UK Biobank European meta-analysis release from the Tambets et al. NMR metabolite GWAS. In the local analysis, 249 meta_EUR summary-statistic files were used and mapped to GWAS Catalog accessions GCST90451106–GCST90451354. These files represented circulating metabolic traits measured using the Nightingale Health platform[1,2]. These files correspond to the meta_EUR release of a large NMR metabolite GWAS resource generated from Nightingale Health circulating metabolite measurements in Estonian Biobank and European-ancestry UK Biobank participants. NMR means nuclear magnetic resonance spectroscopy, the metabolomics assay used by the source studies to quantify circulating lipids, lipoprotein subclasses, fatty acids, amino acids, ketone bodies, glycolysis-related metabolites, and related biomarkers. The resource contained 249 circulating metabolic traits, and the source summary-statistic release used in this project carried a reported meta-analysis sample-size label of 599,249.</w:t>
      </w:r>
    </w:p>
    <w:p w14:paraId="474B481A">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external metabolite validation layer used the independent NMR metabolite GWAS by Karjalainen et al. (Nature, 2024), not the same discovery release [3]. The GWAS Catalog accessions used locally were GCST90301941 and related GCST90301941–GCST90302173 files. This external resource profiled 233 circulating metabolic biomarkers in up to 136,016 individuals from 33 cohorts. The validation traits occupied a highly overlapping Nightingale/NMR biochemical space, but the trait list and naming were not identical to the discovery resource. Therefore, external validation was performed through curated exact matches, terminology variants, size-specific proxies, and same-domain support traits rather than assuming that all discovery and validation phenotypes were identical. The external files retained the ancestry composition reported by the source study.</w:t>
      </w:r>
    </w:p>
    <w:p w14:paraId="1425A2A4">
      <w:pPr>
        <w:spacing w:after="80" w:line="259" w:lineRule="auto"/>
        <w:rPr>
          <w:rFonts w:hint="default" w:ascii="Times New Roman" w:hAnsi="Times New Roman" w:cs="Times New Roman"/>
          <w:color w:val="auto"/>
        </w:rPr>
      </w:pPr>
      <w:r>
        <w:rPr>
          <w:rFonts w:hint="default" w:ascii="Times New Roman" w:hAnsi="Times New Roman" w:cs="Times New Roman"/>
          <w:color w:val="auto"/>
        </w:rPr>
        <w:t>Neurodegenerative disease comparisons used harmonized summary statistics for AD, PD, and LBD. The AD file corresponded to the European Alzheimer &amp; Dementia Biobank stage-I GWAS by Bellenguez et al., including 39,106 clinically diagnosed AD cases, 46,828 proxy-AD cases, and 401,577 controls [4]. The PD file corresponded to the local European-ancestry comparison summary statistics from the multi-ancestry PD GWAS meta-analysis by Kim et al., with 63,555 cases, 17,700 proxy cases, and 1,746,386 controls [5]. The LBD file corresponded to the genome-sequencing association study by Chia et al., with 2,591 cases and 4,027 controls [6].</w:t>
      </w:r>
    </w:p>
    <w:p w14:paraId="105BAC9C">
      <w:pPr>
        <w:pStyle w:val="4"/>
        <w:rPr>
          <w:rFonts w:hint="default" w:ascii="Times New Roman" w:hAnsi="Times New Roman" w:cs="Times New Roman"/>
          <w:color w:val="auto"/>
        </w:rPr>
      </w:pPr>
      <w:r>
        <w:rPr>
          <w:rFonts w:hint="default" w:ascii="Times New Roman" w:hAnsi="Times New Roman" w:cs="Times New Roman"/>
          <w:color w:val="auto"/>
        </w:rPr>
        <w:t>2. Summary-statistic harmonization and disease GWAS processing</w:t>
      </w:r>
    </w:p>
    <w:p w14:paraId="336F826A">
      <w:pPr>
        <w:spacing w:after="80" w:line="259" w:lineRule="auto"/>
        <w:rPr>
          <w:rFonts w:hint="default" w:ascii="Times New Roman" w:hAnsi="Times New Roman" w:cs="Times New Roman"/>
          <w:color w:val="auto"/>
        </w:rPr>
      </w:pPr>
      <w:r>
        <w:rPr>
          <w:rFonts w:hint="default" w:ascii="Times New Roman" w:hAnsi="Times New Roman" w:cs="Times New Roman"/>
          <w:color w:val="auto"/>
        </w:rPr>
        <w:t>All summary statistics were standardized before cross-trait analyses. The harmonized schema included SNP, CHR, BP, A1, A2, FREQ when available, BETA, SE, P, and N. Records were removed if they had missing or invalid positions, non-standard alleles, non-biallelic allele strings, invalid standard errors, invalid P values, unresolved duplicate SNP identifiers, or chromosome assignments outside autosomes 1-22. Where the source disease file was not already in the target coordinate system, variant annotation was repaired and summary statistics were aligned to GRCh37/hg19 before local locus analyses. Allele harmonization for local analyses allowed direct allele matches, swaps, complements, and complement-swaps; unalignable SNPs were excluded.</w:t>
      </w:r>
    </w:p>
    <w:p w14:paraId="54D28489">
      <w:pPr>
        <w:spacing w:after="80" w:line="259" w:lineRule="auto"/>
        <w:rPr>
          <w:rFonts w:hint="default" w:ascii="Times New Roman" w:hAnsi="Times New Roman" w:cs="Times New Roman"/>
          <w:color w:val="auto"/>
        </w:rPr>
      </w:pPr>
      <w:r>
        <w:rPr>
          <w:rFonts w:hint="default" w:ascii="Times New Roman" w:hAnsi="Times New Roman" w:cs="Times New Roman"/>
          <w:color w:val="auto"/>
        </w:rPr>
        <w:t>Disease GWAS were used as standardized comparison inputs. This mattered because downstream steps required different subsets of harmonized fields: LDSC required munge-compatible SNP, allele, effect, standard-error, P-value, and sample-size fields; MiXeR required SNP, CHR, BP, A1, A2, N, and Z score; coloc and PWCoCo required allele-aligned local SNP tables; and SMR required SMR-compatible summary statistics aligned to the selected eQTL references.</w:t>
      </w:r>
    </w:p>
    <w:p w14:paraId="04623883">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disease GWAS, the primary sample-size information remained the original case, proxy-case, and control counts reported by each source study. Some downstream tools required a single scalar N column for each case-control GWAS input. For those MiXeR input files, case-control values were converted using the standard effective-sample-size approximation Neff = 4 / (1/Ncase + 1/Ncontrol), with proxy cases added to clinical cases in the local AD and PD comparison files. This yielded AD Neff = 283,145.35, PD Neff = 310,569.95, and LBD Neff = 6,306.41 for MiXeR input preparation only.</w:t>
      </w:r>
    </w:p>
    <w:p w14:paraId="6D22FA16">
      <w:pPr>
        <w:pStyle w:val="4"/>
        <w:rPr>
          <w:rFonts w:hint="default" w:ascii="Times New Roman" w:hAnsi="Times New Roman" w:cs="Times New Roman"/>
          <w:color w:val="auto"/>
        </w:rPr>
      </w:pPr>
      <w:r>
        <w:rPr>
          <w:rFonts w:hint="default" w:ascii="Times New Roman" w:hAnsi="Times New Roman" w:cs="Times New Roman"/>
          <w:color w:val="auto"/>
        </w:rPr>
        <w:t>3. Metabolic trait universe and LDSC entry criteria</w:t>
      </w:r>
    </w:p>
    <w:p w14:paraId="638714C2">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starting metabolite resource contained 249 NMR-derived circulating metabolic traits from the primary EstBB-UKBB meta_EUR release, not from the external Karjalainen validation atlas. The main modeling universe excluded proportion-only traits and retained traits with robust SNP heritability signal by univariate LDSC [7]. The pre-specified entry rule was SNP heritability Z score greater than 4 (h2 Z &gt; 4). This yielded 112 non-proportion metabolic traits for subsequent multivariable modeling (Supplementary Table S1).</w:t>
      </w:r>
    </w:p>
    <w:p w14:paraId="3C4E2466">
      <w:pPr>
        <w:spacing w:after="80" w:line="259" w:lineRule="auto"/>
        <w:rPr>
          <w:rFonts w:hint="default" w:ascii="Times New Roman" w:hAnsi="Times New Roman" w:cs="Times New Roman"/>
          <w:color w:val="auto"/>
        </w:rPr>
      </w:pPr>
      <w:r>
        <w:rPr>
          <w:rFonts w:hint="default" w:ascii="Times New Roman" w:hAnsi="Times New Roman" w:cs="Times New Roman"/>
          <w:color w:val="auto"/>
        </w:rPr>
        <w:t>This first threshold was intentionally quantitative and applied before biological factor selection. Trait-level LDSC outputs retained SNP counts after munging and LD-score merge, heritability estimates, standard errors, heritability Z scores, mean chi-square statistics, genomic inflation metrics, LDSC intercepts, and intercept ratios. These outputs serve as the traceable record showing that downstream factor construction started from traits with adequate genome-wide signal rather than from traits chosen only by biological preference.</w:t>
      </w:r>
    </w:p>
    <w:p w14:paraId="1080F216">
      <w:pPr>
        <w:pStyle w:val="4"/>
        <w:rPr>
          <w:rFonts w:hint="default" w:ascii="Times New Roman" w:hAnsi="Times New Roman" w:cs="Times New Roman"/>
          <w:color w:val="auto"/>
        </w:rPr>
      </w:pPr>
      <w:r>
        <w:rPr>
          <w:rFonts w:hint="default" w:ascii="Times New Roman" w:hAnsi="Times New Roman" w:cs="Times New Roman"/>
          <w:color w:val="auto"/>
        </w:rPr>
        <w:t>4. Staged selection of lipid and non-lipid indicators</w:t>
      </w:r>
    </w:p>
    <w:p w14:paraId="4D619955">
      <w:pPr>
        <w:spacing w:after="80" w:line="259" w:lineRule="auto"/>
        <w:rPr>
          <w:rFonts w:hint="default" w:ascii="Times New Roman" w:hAnsi="Times New Roman" w:cs="Times New Roman"/>
          <w:color w:val="auto"/>
        </w:rPr>
      </w:pPr>
      <w:r>
        <w:rPr>
          <w:rFonts w:hint="default" w:ascii="Times New Roman" w:hAnsi="Times New Roman" w:cs="Times New Roman"/>
          <w:color w:val="auto"/>
        </w:rPr>
        <w:t>After defining the shared 112-trait universe, traits were divided into lipid-related and non-lipid candidate panels. The lipid branch was reduced from 112 traits to 94 lipid or lipoprotein-related traits by excluding amino-acid, glycolysis-related, ketone-body, fluid-balance, and inflammatory categories. The non-lipid branch was reduced from the same 112 traits to 18 non-lipid candidates by excluding lipid and lipoprotein groups while retaining amino acids, glycolysis-related metabolites, ketone bodies, fluid-balance traits, and inflammation-related traits.</w:t>
      </w:r>
    </w:p>
    <w:p w14:paraId="0899BF7F">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the lipid branch, staged reduction proceeded as follows. Stage 3 reduced 94 lipid-related traits to a compact balanced panel of 20 traits, preserving HDL, VLDL/triglyceride, structural lipid, fatty-acid, and bridge-trait representation while preferring cleaner representatives under high genetic-correlation redundancy. The retained 20-trait lipid panel had no pair with absolute genetic correlation greater than 0.95. Stage 4 reduced the 20-trait panel to 10 ultra-pure markers by prioritizing traits with stable primary factor assignment in both full-genome (ALL) and odd-chromosome (ODD) exploratory runs, high absolute loading, a large gap between primary and secondary loadings, and biological interpretability. Stage 5 removed HDL_size and Total_CE because their exclusion improved projected model fit while preserving the three-factor lipid structure, yielding the final lipid 8-trait panel.</w:t>
      </w:r>
    </w:p>
    <w:p w14:paraId="4604033D">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the non-lipid branch, Stage 3 reduced 18 candidates to 15 by preserving amino-acid, ketone-body, glycolysis-related, and bridge-trait representation while removing obvious redundancy or lower-priority support markers (Ala, Ile, and Acetone). Stage 4 reduced the 15-trait set to the final non-lipid 8-trait panel using stable primary loading, loading-gap support, and compact-subset ESEM search. The compact-subset search favored models with comparative fit index at least 0.95 and standardized root mean square residual below 0.08 (CFI &gt;= 0.95, SRMR &lt; 0.</w:t>
      </w:r>
      <w:r>
        <w:rPr>
          <w:rFonts w:hint="eastAsia" w:eastAsia="宋体" w:cs="Times New Roman"/>
          <w:color w:val="auto"/>
          <w:lang w:val="en-US" w:eastAsia="zh-CN"/>
        </w:rPr>
        <w:t>1</w:t>
      </w:r>
      <w:r>
        <w:rPr>
          <w:rFonts w:hint="default" w:ascii="Times New Roman" w:hAnsi="Times New Roman" w:cs="Times New Roman"/>
          <w:color w:val="auto"/>
        </w:rPr>
        <w:t>). These thresholds were used as model-quality targets rather than as the only selection rule, because the final panel also needed biological coverage and interpretable factor structure.</w:t>
      </w:r>
    </w:p>
    <w:p w14:paraId="0E79B7AE">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final lipid indicators were M_HDL_TG, VLDL_size, MUFA, S_VLDL_TG, ApoA1, HDL_C</w:t>
      </w:r>
      <w:bookmarkStart w:id="0" w:name="_GoBack"/>
      <w:bookmarkEnd w:id="0"/>
      <w:r>
        <w:rPr>
          <w:rFonts w:hint="default" w:ascii="Times New Roman" w:hAnsi="Times New Roman" w:cs="Times New Roman"/>
          <w:color w:val="auto"/>
        </w:rPr>
        <w:t>E, XS_VLDL_FC, and VLDL_CE. The final non-lipid indicators were Acetoacetate, bOHbutyrate, Val, Leu, Phe, Acetate, Glucose, and Lactate (Supplementary Table S2). The staged selection table records input counts, output counts, selection standards, dropped counts, and notes for each stage (Supplementary Table S3). Thus, the final 8+8 indicators were selected by a documented combination of LDSC eligibility, redundancy control, factor-loading stability, loading-gap support, formal fit targets, and biological interpretability.</w:t>
      </w:r>
    </w:p>
    <w:p w14:paraId="412F7339">
      <w:pPr>
        <w:pStyle w:val="4"/>
        <w:rPr>
          <w:rFonts w:hint="default" w:ascii="Times New Roman" w:hAnsi="Times New Roman" w:cs="Times New Roman"/>
          <w:color w:val="auto"/>
        </w:rPr>
      </w:pPr>
      <w:r>
        <w:rPr>
          <w:rFonts w:hint="default" w:ascii="Times New Roman" w:hAnsi="Times New Roman" w:cs="Times New Roman"/>
          <w:color w:val="auto"/>
        </w:rPr>
        <w:t>5. Multivariable LDSC and factor-model construction</w:t>
      </w:r>
    </w:p>
    <w:p w14:paraId="4B6D6A95">
      <w:pPr>
        <w:spacing w:after="80" w:line="259" w:lineRule="auto"/>
        <w:rPr>
          <w:rFonts w:hint="default" w:ascii="Times New Roman" w:hAnsi="Times New Roman" w:cs="Times New Roman"/>
          <w:color w:val="auto"/>
        </w:rPr>
      </w:pPr>
      <w:r>
        <w:rPr>
          <w:rFonts w:hint="default" w:ascii="Times New Roman" w:hAnsi="Times New Roman" w:cs="Times New Roman"/>
          <w:color w:val="auto"/>
        </w:rPr>
        <w:t>Multivariable LDSC was used to estimate the genetic covariance matrix among retained indicators [7,8]. The final-trait genetic covariance matrix and genetic-correlation matrix are exported as matrix-style supplementary tables to allow direct inspection of the multivariable structure (Supplementary Tables S4-S5). These matrices were the empirical input for exploratory factor analysis, ESEM model selection, and final Genomic SEM models.</w:t>
      </w:r>
    </w:p>
    <w:p w14:paraId="7EB461B9">
      <w:pPr>
        <w:spacing w:after="80" w:line="259" w:lineRule="auto"/>
        <w:rPr>
          <w:rFonts w:hint="default" w:ascii="Times New Roman" w:hAnsi="Times New Roman" w:cs="Times New Roman"/>
          <w:color w:val="auto"/>
        </w:rPr>
      </w:pPr>
      <w:r>
        <w:rPr>
          <w:rFonts w:hint="default" w:ascii="Times New Roman" w:hAnsi="Times New Roman" w:cs="Times New Roman"/>
          <w:color w:val="auto"/>
        </w:rPr>
        <w:t>During exploratory model construction, covariance structures were inspected in both full-genome and odd-chromosome settings. When a covariance matrix was not strictly positive definite, nearPD() smoothing was applied before exploratory factor analysis or exploratory SEM. Exploratory factor analysis used minimum residual estimation, and promax rotation was used for multi-factor exploratory solutions. Target-rotation ESEM used the salient loading pattern from exploratory runs, with absolute standardized loading of at least 0.25 used to define target loadings for model exploration. Final model evaluation used Genomic SEM usermodel() on retained indicators only [8], with formal fit statistics reported in Supplementary Table S6 and standardized loadings reported in Supplementary Table S7.</w:t>
      </w:r>
    </w:p>
    <w:p w14:paraId="6C79CF94">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lipid final-8 model produced three latent factors. In the formal Genomic SEM output, the factors were exported as lipid8_F1, lipid8_F2, and lipid8_F3; for manuscript readability, these are referred to by their dominant loading patterns as the TG-rich/VLDL-remodeling axis, HDL-core axis, and cholesteryl-ester/structural lipid axis, respectively. The non-lipid final-8 model produced nonlipid8_F1, nonlipid8_F2, and nonlipid8_F3, referred to as the ketone-body axis, amino-acid axis, and energy-bridge axis. Because the sign of a latent factor is arbitrary, interpretation emphasizes the aligned factor orientation used in the exported GWAS and validation summaries rather than treating raw factor sign as biologically fixed across all modeling stages.</w:t>
      </w:r>
    </w:p>
    <w:p w14:paraId="4C2355EA">
      <w:pPr>
        <w:pStyle w:val="4"/>
        <w:rPr>
          <w:rFonts w:hint="default" w:ascii="Times New Roman" w:hAnsi="Times New Roman" w:cs="Times New Roman"/>
          <w:color w:val="auto"/>
        </w:rPr>
      </w:pPr>
      <w:r>
        <w:rPr>
          <w:rFonts w:hint="default" w:ascii="Times New Roman" w:hAnsi="Times New Roman" w:cs="Times New Roman"/>
          <w:color w:val="auto"/>
        </w:rPr>
        <w:t>6. Latent factor GWAS generation</w:t>
      </w:r>
    </w:p>
    <w:p w14:paraId="40AA5BBB">
      <w:pPr>
        <w:spacing w:after="80" w:line="259" w:lineRule="auto"/>
        <w:rPr>
          <w:rFonts w:hint="default" w:ascii="Times New Roman" w:hAnsi="Times New Roman" w:cs="Times New Roman"/>
          <w:color w:val="auto"/>
        </w:rPr>
      </w:pPr>
      <w:r>
        <w:rPr>
          <w:rFonts w:hint="default" w:ascii="Times New Roman" w:hAnsi="Times New Roman" w:cs="Times New Roman"/>
          <w:color w:val="auto"/>
        </w:rPr>
        <w:t>Factor GWAS were generated with the local Genomic SEM workflow using GenomicSEM::sumstats() and GenomicSEM::userGWAS() [8]. Indicator GWAS were harmonized as continuous-trait summary statistics, restricted to autosomal biallelic SNPs with standard alleles, and processed through the same LDSC-compatible filtering used in factor construction. The final measurement structures were fixed during userGWAS() so that each SNP effect represented association with the retained latent factor conditional on the final measurement model.</w:t>
      </w:r>
    </w:p>
    <w:p w14:paraId="4EE7E4D6">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production factor GWAS were run under the native WSL Genomic SEM pipeline for both lipid and non-lipid final-8 models. Exported factor GWAS files were standardized to SNP, CHR, BP, A1, A2, FREQ, BETA, SE, P, and N. The factor GWAS outputs retained common-factor SNP effects and Q_SNP heterogeneity statistics where available. Q_SNP summaries were later LD-clumped using the 1000 Genomes European reference [11] with P &lt; 5e-8, r2 = 0.1, and kb = 1000 to summarize genome-wide significant factor and heterogeneity loci (Supplementary Tables S19-S22).</w:t>
      </w:r>
    </w:p>
    <w:p w14:paraId="140294FE">
      <w:pPr>
        <w:spacing w:after="80" w:line="259" w:lineRule="auto"/>
        <w:rPr>
          <w:rFonts w:hint="default" w:ascii="Times New Roman" w:hAnsi="Times New Roman" w:cs="Times New Roman"/>
          <w:color w:val="auto"/>
        </w:rPr>
      </w:pPr>
      <w:r>
        <w:rPr>
          <w:rFonts w:hint="default" w:ascii="Times New Roman" w:hAnsi="Times New Roman" w:cs="Times New Roman"/>
          <w:color w:val="auto"/>
        </w:rPr>
        <w:t>Q_SNP was interpreted as a heterogeneity annotation, not as a filter that invalidated a factor. For example, a factor with Q_SNP loci may still represent a coherent shared metabolic axis, but some loci may act partly through indicator-specific biology. Conversely, factors without genome-wide significant Q_SNP signal provide cleaner common-factor summaries. This interpretation is consistent with the role of Q_SNP in Genomic SEM as a test of SNP-level heterogeneity relative to the specified factor structure [8].</w:t>
      </w:r>
    </w:p>
    <w:p w14:paraId="6BA0F78E">
      <w:pPr>
        <w:pStyle w:val="4"/>
        <w:rPr>
          <w:rFonts w:hint="default" w:ascii="Times New Roman" w:hAnsi="Times New Roman" w:cs="Times New Roman"/>
          <w:color w:val="auto"/>
        </w:rPr>
      </w:pPr>
      <w:r>
        <w:rPr>
          <w:rFonts w:hint="default" w:ascii="Times New Roman" w:hAnsi="Times New Roman" w:cs="Times New Roman"/>
          <w:color w:val="auto"/>
        </w:rPr>
        <w:t>7. Effective sample-size estimation for factor GWAS</w:t>
      </w:r>
    </w:p>
    <w:p w14:paraId="72A5DF8D">
      <w:pPr>
        <w:spacing w:after="80" w:line="259" w:lineRule="auto"/>
        <w:rPr>
          <w:rFonts w:hint="default" w:ascii="Times New Roman" w:hAnsi="Times New Roman" w:cs="Times New Roman"/>
          <w:color w:val="auto"/>
        </w:rPr>
      </w:pPr>
      <w:r>
        <w:rPr>
          <w:rFonts w:hint="default" w:ascii="Times New Roman" w:hAnsi="Times New Roman" w:cs="Times New Roman"/>
          <w:color w:val="auto"/>
        </w:rPr>
        <w:t xml:space="preserve">Latent factor GWAS do not have a single directly inherited sample size, because each factor is an inferred summary of multiple indicator GWAS. We therefore estimated factor-specific effective sample size from the exported summary statistics using the approximation Neff = mean(1 / (2 </w:t>
      </w:r>
      <w:r>
        <w:rPr>
          <w:rFonts w:ascii="Times New Roman" w:hAnsi="Times New Roman" w:eastAsia="宋体"/>
          <w:szCs w:val="24"/>
        </w:rPr>
        <w:t>×</w:t>
      </w:r>
      <w:r>
        <w:rPr>
          <w:rFonts w:hint="default" w:ascii="Times New Roman" w:hAnsi="Times New Roman" w:cs="Times New Roman"/>
          <w:color w:val="auto"/>
        </w:rPr>
        <w:t xml:space="preserve"> MAF </w:t>
      </w:r>
      <w:r>
        <w:rPr>
          <w:rFonts w:ascii="Times New Roman" w:hAnsi="Times New Roman" w:eastAsia="宋体"/>
          <w:szCs w:val="24"/>
        </w:rPr>
        <w:t>×</w:t>
      </w:r>
      <w:r>
        <w:rPr>
          <w:rFonts w:hint="default" w:ascii="Times New Roman" w:hAnsi="Times New Roman" w:cs="Times New Roman"/>
          <w:color w:val="auto"/>
        </w:rPr>
        <w:t xml:space="preserve"> (1 - MAF) </w:t>
      </w:r>
      <w:r>
        <w:rPr>
          <w:rFonts w:ascii="Times New Roman" w:hAnsi="Times New Roman" w:eastAsia="宋体"/>
          <w:szCs w:val="24"/>
        </w:rPr>
        <w:t>×</w:t>
      </w:r>
      <w:r>
        <w:rPr>
          <w:rFonts w:hint="default" w:ascii="Times New Roman" w:hAnsi="Times New Roman" w:cs="Times New Roman"/>
          <w:color w:val="auto"/>
        </w:rPr>
        <w:t xml:space="preserve"> SE</w:t>
      </w:r>
      <w:r>
        <w:rPr>
          <w:rFonts w:hint="eastAsia" w:eastAsia="宋体" w:cs="Times New Roman"/>
          <w:color w:val="auto"/>
          <w:vertAlign w:val="superscript"/>
          <w:lang w:val="en-US" w:eastAsia="zh-CN"/>
        </w:rPr>
        <w:t>2</w:t>
      </w:r>
      <w:r>
        <w:rPr>
          <w:rFonts w:hint="default" w:ascii="Times New Roman" w:hAnsi="Times New Roman" w:cs="Times New Roman"/>
          <w:color w:val="auto"/>
        </w:rPr>
        <w:t>)) across common SNPs with 0.1 &lt;= MAF &lt;= 0.4.</w:t>
      </w:r>
    </w:p>
    <w:p w14:paraId="2F246EC2">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estimated effective sample sizes were 276,215 for lipid8_F1, 532,584 for lipid8_F2, 236,386 for lipid8_F3, 101,905 for nonlipid8_F1, 123,638 for nonlipid8_F2, and 34,657 for nonlipid8_F3. Median-based values were also retained as a sensitivity summary and were close to the mean estimates (Supplementary Table S8). These effective sample-size values were used in downstream tools requiring a single N column and should be interpreted as analytic effective sample sizes rather than source cohort sizes.</w:t>
      </w:r>
    </w:p>
    <w:p w14:paraId="53F3C77B">
      <w:pPr>
        <w:pStyle w:val="4"/>
        <w:rPr>
          <w:rFonts w:hint="default" w:ascii="Times New Roman" w:hAnsi="Times New Roman" w:cs="Times New Roman"/>
          <w:color w:val="auto"/>
        </w:rPr>
      </w:pPr>
      <w:r>
        <w:rPr>
          <w:rFonts w:hint="default" w:ascii="Times New Roman" w:hAnsi="Times New Roman" w:cs="Times New Roman"/>
          <w:color w:val="auto"/>
        </w:rPr>
        <w:t>8. Factor GWAS quality assessment</w:t>
      </w:r>
    </w:p>
    <w:p w14:paraId="608DA9CA">
      <w:pPr>
        <w:spacing w:after="80" w:line="259" w:lineRule="auto"/>
        <w:rPr>
          <w:rFonts w:hint="default" w:ascii="Times New Roman" w:hAnsi="Times New Roman" w:cs="Times New Roman"/>
          <w:color w:val="auto"/>
        </w:rPr>
      </w:pPr>
      <w:r>
        <w:rPr>
          <w:rFonts w:hint="default" w:ascii="Times New Roman" w:hAnsi="Times New Roman" w:cs="Times New Roman"/>
          <w:color w:val="auto"/>
        </w:rPr>
        <w:t>Each exported factor GWAS was re-evaluated with univariate LDSC [7]. The QC metrics included the number of SNPs after munging, SNPs after LD-score merge, SNPs removed by the chi-square filter, SNPs retained after chi-square filtering, mean chi-square, lambda GC, LDSC intercept, intercept standard error, and ratio (Supplementary Table S9). In the final QC table, factor GWAS retained approximately 1.14 million LD-score-matched HapMap3-style SNPs, with mean chi-square statistics ranging from 1.5251 to 2.8491 and intercepts ranging from 1.0241 to 1.1767.</w:t>
      </w:r>
    </w:p>
    <w:p w14:paraId="422B34FF">
      <w:pPr>
        <w:spacing w:after="80" w:line="259" w:lineRule="auto"/>
        <w:rPr>
          <w:rFonts w:hint="default" w:ascii="Times New Roman" w:hAnsi="Times New Roman" w:cs="Times New Roman"/>
          <w:color w:val="auto"/>
        </w:rPr>
      </w:pPr>
      <w:r>
        <w:rPr>
          <w:rFonts w:hint="default" w:ascii="Times New Roman" w:hAnsi="Times New Roman" w:cs="Times New Roman"/>
          <w:color w:val="auto"/>
        </w:rPr>
        <w:t>Bivariate LDSC among the six factor GWAS was retained to confirm that exported factors were distinguishable at the summary-statistic level and to quantify within-domain and cross-domain factor relationships after GWAS export (Supplementary Table S10). These factor-factor LDSC results are separate from factor-to-metabolite validation: they address whether latent factor GWAS are genetically distinct from each other.</w:t>
      </w:r>
    </w:p>
    <w:p w14:paraId="3792A7B7">
      <w:pPr>
        <w:pStyle w:val="4"/>
        <w:rPr>
          <w:rFonts w:hint="default" w:ascii="Times New Roman" w:hAnsi="Times New Roman" w:cs="Times New Roman"/>
          <w:color w:val="auto"/>
        </w:rPr>
      </w:pPr>
      <w:r>
        <w:rPr>
          <w:rFonts w:hint="default" w:ascii="Times New Roman" w:hAnsi="Times New Roman" w:cs="Times New Roman"/>
          <w:color w:val="auto"/>
        </w:rPr>
        <w:t>9. Internal factor-to-metabolite validation</w:t>
      </w:r>
    </w:p>
    <w:p w14:paraId="7DF91F47">
      <w:pPr>
        <w:spacing w:after="80" w:line="259" w:lineRule="auto"/>
        <w:rPr>
          <w:rFonts w:hint="default" w:ascii="Times New Roman" w:hAnsi="Times New Roman" w:cs="Times New Roman"/>
          <w:color w:val="auto"/>
        </w:rPr>
      </w:pPr>
      <w:r>
        <w:rPr>
          <w:rFonts w:hint="default" w:ascii="Times New Roman" w:hAnsi="Times New Roman" w:cs="Times New Roman"/>
          <w:color w:val="auto"/>
        </w:rPr>
        <w:t>Internal validation tested whether each factor GWAS recaptured the metabolic pattern it was meant to summarize. The validation used two groups of traits. Model indicators were the traits used to construct the final factor models. Same-domain support traits were biologically adjacent traits used only for validation and never for factor estimation.</w:t>
      </w:r>
    </w:p>
    <w:p w14:paraId="416FE353">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the lipid panel, final model indicators were M_HDL_TG, VLDL_size, MUFA, and S_VLDL_TG for the TG-rich/VLDL-remodeling axis; ApoA1 and HDL_CE for the HDL-core axis; and XS_VLDL_FC and VLDL_CE for the cholesteryl-ester/structural lipid axis. Same-domain validation-only support traits were IDL_TG, L_VLDL_TG, M_LDL_TG, and XL_VLDL_TG for the TG-rich/VLDL-remodeling axis; HDL_C, L_HDL_C, M_HDL_C, and XL_HDL_C for the HDL-core axis; and HDL_FC, VLDL_FC, Total_CE, and L_VLDL_CE for the cholesteryl-ester/structural lipid axis.</w:t>
      </w:r>
    </w:p>
    <w:p w14:paraId="2798AFC2">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the non-lipid panel, final model indicators were Acetoacetate and bOHbutyrate for the ketone-body axis; Val, Leu, and Phe for the amino-acid axis; and Acetate, Glucose, and Lactate for the energy-bridge axis. Validation-only support traits were Acetone for the ketone-body axis; Ala, Gln, His, Ile, and Tyr for the amino-acid axis; and Citrate and GlycA for the energy-bridge axis. Albumin and Creatinine were retained as exploratory bridge support traits, not as final factor indicators.</w:t>
      </w:r>
    </w:p>
    <w:p w14:paraId="4CCAB01C">
      <w:pPr>
        <w:spacing w:after="80" w:line="259" w:lineRule="auto"/>
        <w:rPr>
          <w:rFonts w:hint="default" w:ascii="Times New Roman" w:hAnsi="Times New Roman" w:cs="Times New Roman"/>
          <w:color w:val="auto"/>
        </w:rPr>
      </w:pPr>
      <w:r>
        <w:rPr>
          <w:rFonts w:hint="default" w:ascii="Times New Roman" w:hAnsi="Times New Roman" w:cs="Times New Roman"/>
          <w:color w:val="auto"/>
        </w:rPr>
        <w:t>Bivariate LDSC was run between factor GWAS and the retained indicator/support traits [7], and the results were summarized in compact and full-pair tables (Supplementary Tables S11-S14). Because latent-factor sign is arbitrary, the validation layer emphasized expected domain specificity, magnitude, and sign consistency after aligning each factor to the manuscript-facing orientation.</w:t>
      </w:r>
    </w:p>
    <w:p w14:paraId="5DDB8C17">
      <w:pPr>
        <w:pStyle w:val="4"/>
        <w:rPr>
          <w:rFonts w:hint="default" w:ascii="Times New Roman" w:hAnsi="Times New Roman" w:cs="Times New Roman"/>
          <w:color w:val="auto"/>
        </w:rPr>
      </w:pPr>
      <w:r>
        <w:rPr>
          <w:rFonts w:hint="default" w:ascii="Times New Roman" w:hAnsi="Times New Roman" w:cs="Times New Roman"/>
          <w:color w:val="auto"/>
        </w:rPr>
        <w:t>10. Leave-one-out and external metabolite validation</w:t>
      </w:r>
    </w:p>
    <w:p w14:paraId="4AF416A8">
      <w:pPr>
        <w:spacing w:after="80" w:line="259" w:lineRule="auto"/>
        <w:rPr>
          <w:rFonts w:hint="default" w:ascii="Times New Roman" w:hAnsi="Times New Roman" w:cs="Times New Roman"/>
          <w:color w:val="auto"/>
        </w:rPr>
      </w:pPr>
      <w:r>
        <w:rPr>
          <w:rFonts w:hint="default" w:ascii="Times New Roman" w:hAnsi="Times New Roman" w:cs="Times New Roman"/>
          <w:color w:val="auto"/>
        </w:rPr>
        <w:t>Leave-one-out sensitivity analyses were used to assess whether factor structure depended excessively on a single retained indicator. One retained trait was removed at a time, and the factor structure was re-estimated in the odd-chromosome exploratory framework using the same model-selection logic. The sensitivity outputs record loading stability, factor recoverability, and whether each axis could still be interpreted after indicator removal (Supplementary Table S15). These analyses were used to evaluate robustness, not to reselect the final model.</w:t>
      </w:r>
    </w:p>
    <w:p w14:paraId="6ED5AD46">
      <w:pPr>
        <w:spacing w:after="80" w:line="259" w:lineRule="auto"/>
        <w:rPr>
          <w:rFonts w:hint="default" w:ascii="Times New Roman" w:hAnsi="Times New Roman" w:cs="Times New Roman"/>
          <w:color w:val="auto"/>
        </w:rPr>
      </w:pPr>
      <w:r>
        <w:rPr>
          <w:rFonts w:hint="default" w:ascii="Times New Roman" w:hAnsi="Times New Roman" w:cs="Times New Roman"/>
          <w:color w:val="auto"/>
        </w:rPr>
        <w:t>External validation used the independent Karjalainen et al. NMR metabolite GWAS atlas [3]. External traits first underwent summary-statistic QC and LDSC quality assessment using the same broad conventions as the primary metabolite validation layer (Supplementary Table S16).  A curated pair-selection table mapped each factor to exact trait matches, close biochemical proxies, or same-domain support traits in the external resource (Supplementary Table S17). Pair-selection labels distinguished external_primary_exact, external_same_domain_support, exact terminology variants, platform/terminology variants, and approximate size-specific proxies. Bivariate LDSC was then run between factor GWAS and selected external traits (Supplementary Table S18). This step tested whether factor GWAS corresponded to recognizable metabolic axes outside the construction pipeline, while avoiding the claim that every primary and external phenotype was an identical repeat measurement.</w:t>
      </w:r>
    </w:p>
    <w:p w14:paraId="0DDD071E">
      <w:pPr>
        <w:pStyle w:val="4"/>
        <w:rPr>
          <w:rFonts w:hint="default" w:ascii="Times New Roman" w:hAnsi="Times New Roman" w:cs="Times New Roman"/>
          <w:color w:val="auto"/>
        </w:rPr>
      </w:pPr>
      <w:r>
        <w:rPr>
          <w:rFonts w:hint="default" w:ascii="Times New Roman" w:hAnsi="Times New Roman" w:cs="Times New Roman"/>
          <w:color w:val="auto"/>
        </w:rPr>
        <w:t>11. Cross-disease LDSC screening</w:t>
      </w:r>
    </w:p>
    <w:p w14:paraId="45541789">
      <w:pPr>
        <w:spacing w:after="80" w:line="259" w:lineRule="auto"/>
        <w:rPr>
          <w:rFonts w:hint="default" w:ascii="Times New Roman" w:hAnsi="Times New Roman" w:cs="Times New Roman"/>
          <w:color w:val="auto"/>
        </w:rPr>
      </w:pPr>
      <w:r>
        <w:rPr>
          <w:rFonts w:hint="default" w:ascii="Times New Roman" w:hAnsi="Times New Roman" w:cs="Times New Roman"/>
          <w:color w:val="auto"/>
        </w:rPr>
        <w:t>All six factor GWAS were compared with AD, PD, and LBD in a complete 18-pair LDSC screen using bivariate LDSC [7] (Supplementary Table S23). The output retained covariance estimates, genetic correlations, standard errors, Z statistics, nominal P values, FDR-adjusted P values, and LDSC intercepts. The intercepts were used as an overlap and confounding diagnostic; they were not interpreted as disease biology. Factor-disease branches were taken forward only when the LDSC signal, intercept diagnostics, factor validity, and biological interpretability were coherent enough to justify downstream analysis.</w:t>
      </w:r>
    </w:p>
    <w:p w14:paraId="76BD465A">
      <w:pPr>
        <w:spacing w:after="80" w:line="259" w:lineRule="auto"/>
        <w:rPr>
          <w:rFonts w:hint="default" w:ascii="Times New Roman" w:hAnsi="Times New Roman" w:cs="Times New Roman"/>
          <w:color w:val="auto"/>
        </w:rPr>
      </w:pPr>
      <w:r>
        <w:rPr>
          <w:rFonts w:hint="default" w:ascii="Times New Roman" w:hAnsi="Times New Roman" w:cs="Times New Roman"/>
          <w:color w:val="auto"/>
        </w:rPr>
        <w:t>This design preserves negative and lower-priority comparisons in the supplement. In the main manuscript, the interpretation focuses on the three branches supported by the screening framework: HDL-core axis with AD, ketone-body axis with PD, and TG-rich/VLDL-remodeling axis with PD.</w:t>
      </w:r>
    </w:p>
    <w:p w14:paraId="12FAE3F2">
      <w:pPr>
        <w:pStyle w:val="4"/>
        <w:rPr>
          <w:rFonts w:hint="default" w:ascii="Times New Roman" w:hAnsi="Times New Roman" w:cs="Times New Roman"/>
          <w:color w:val="auto"/>
        </w:rPr>
      </w:pPr>
      <w:r>
        <w:rPr>
          <w:rFonts w:hint="default" w:ascii="Times New Roman" w:hAnsi="Times New Roman" w:cs="Times New Roman"/>
          <w:color w:val="auto"/>
        </w:rPr>
        <w:t>12. MiXeR analysis</w:t>
      </w:r>
    </w:p>
    <w:p w14:paraId="5196897F">
      <w:pPr>
        <w:spacing w:after="80" w:line="259" w:lineRule="auto"/>
        <w:rPr>
          <w:rFonts w:hint="default" w:ascii="Times New Roman" w:hAnsi="Times New Roman" w:cs="Times New Roman"/>
          <w:color w:val="auto"/>
        </w:rPr>
      </w:pPr>
      <w:r>
        <w:rPr>
          <w:rFonts w:hint="default" w:ascii="Times New Roman" w:hAnsi="Times New Roman" w:cs="Times New Roman"/>
          <w:color w:val="auto"/>
        </w:rPr>
        <w:t>Bivariate MiXeR was applied to the three focal factor-disease pairs to quantify polygenic overlap beyond LDSC genetic correlation [10]. MiXeR inputs were generated from cleaned factor and disease summary statistics with columns SNP, CHR, BP, A1, A2, N, and Z, where Z = BETA / SE. For latent factor GWAS, N used the factor-specific effective sample sizes estimated from the exported factor summary statistics. For AD, PD, and LBD, N used the case-control effective sample-size values described in Section 2, because MiXeR required a single scalar sample-size value for each case-control input. The input manifest recorded retained and skipped rows for each trait; for example, 7,457,528 SNP rows were retained for each lipid factor, 7,457,441 for each non-lipid factor, 19,678,284 for AD, 7,928,138 for PD, and 5,826,448 for LBD.</w:t>
      </w:r>
    </w:p>
    <w:p w14:paraId="3C98A9A2">
      <w:pPr>
        <w:spacing w:after="80" w:line="259" w:lineRule="auto"/>
        <w:rPr>
          <w:rFonts w:hint="default" w:ascii="Times New Roman" w:hAnsi="Times New Roman" w:cs="Times New Roman"/>
          <w:color w:val="auto"/>
        </w:rPr>
      </w:pPr>
      <w:r>
        <w:rPr>
          <w:rFonts w:hint="default" w:ascii="Times New Roman" w:hAnsi="Times New Roman" w:cs="Times New Roman"/>
          <w:color w:val="auto"/>
        </w:rPr>
        <w:t>MiXeR was run with the official ghcr.io/precimed/gsa-mixer:2.2.1 Docker image, the 1000 Genomes European Phase 3 PLINK reference [11], the 1000G.EUR.QC.prune_maf0p05_rand2M_r2p8.rep1.snps extract file, 1000G.EUR.QC.@.bim, and 1000G.EUR.QC.@.run4.ld. The production fast runs used fit1, fit2, and test2; excluded the MHC region using --exclude-ranges MHC; used 12 threads; and used the fast fitting sequence --fit-sequence diffevo-fast neldermead-fast --diffevo-fast-repeats 2. The retained production run was fast_rep1.</w:t>
      </w:r>
    </w:p>
    <w:p w14:paraId="0F3D16F8">
      <w:pPr>
        <w:spacing w:after="80" w:line="259" w:lineRule="auto"/>
        <w:rPr>
          <w:rFonts w:hint="default" w:ascii="Times New Roman" w:hAnsi="Times New Roman" w:cs="Times New Roman"/>
          <w:color w:val="auto"/>
        </w:rPr>
      </w:pPr>
      <w:r>
        <w:rPr>
          <w:rFonts w:hint="default" w:ascii="Times New Roman" w:hAnsi="Times New Roman" w:cs="Times New Roman"/>
          <w:color w:val="auto"/>
        </w:rPr>
        <w:t>MiXeR summaries were extracted from fitted JSON files by reading point estimates for rg, rho_beta, pi1, pi2, pi12, pi1u, pi2u, dice, nc1, nc2, nc12, and derived overlap proportions. These outputs were merged with the LDSC screen for the same focal pairs (Supplementary Table S25). In interpretation, MiXeR served as a primary overlap-architecture layer because it helps distinguish selective shared architecture from broadly shared polygenicity even when LDSC correlations are modest.</w:t>
      </w:r>
    </w:p>
    <w:p w14:paraId="738D6BFE">
      <w:pPr>
        <w:pStyle w:val="4"/>
        <w:rPr>
          <w:rFonts w:hint="default" w:ascii="Times New Roman" w:hAnsi="Times New Roman" w:cs="Times New Roman"/>
          <w:color w:val="auto"/>
        </w:rPr>
      </w:pPr>
      <w:r>
        <w:rPr>
          <w:rFonts w:hint="default" w:ascii="Times New Roman" w:hAnsi="Times New Roman" w:cs="Times New Roman"/>
          <w:color w:val="auto"/>
        </w:rPr>
        <w:t>13. Pleiotropy-informed locus discovery</w:t>
      </w:r>
    </w:p>
    <w:p w14:paraId="366E10F9">
      <w:pPr>
        <w:spacing w:after="80" w:line="259" w:lineRule="auto"/>
        <w:rPr>
          <w:rFonts w:hint="default" w:ascii="Times New Roman" w:hAnsi="Times New Roman" w:cs="Times New Roman"/>
          <w:color w:val="auto"/>
        </w:rPr>
      </w:pPr>
      <w:r>
        <w:rPr>
          <w:rFonts w:hint="default" w:ascii="Times New Roman" w:hAnsi="Times New Roman" w:cs="Times New Roman"/>
          <w:color w:val="auto"/>
        </w:rPr>
        <w:t>For the three focal branches, pleiotropy-informed conjunctional false discovery rate analyses were used [12] to identify loci jointly associated with the metabolic factor and disease outcome. The workflow treated factor and disease GWAS as paired inputs, ranked variants by conjunctional FDR, and retained loci passing conjFDR &lt; 0.05; false-discovery-rate terminology follows the Benjamini-Hochberg framework [9]. Lead loci and branch-level summaries were generated from the clumped shared-association output and retained with mapped locus information (Supplementary Tables S26-S27). Conjunctional FDR loci were considered shared-association candidates and were not automatically interpreted as single-causal-variant colocalization events.</w:t>
      </w:r>
    </w:p>
    <w:p w14:paraId="5B4E464A">
      <w:pPr>
        <w:pStyle w:val="4"/>
        <w:rPr>
          <w:rFonts w:hint="default" w:ascii="Times New Roman" w:hAnsi="Times New Roman" w:cs="Times New Roman"/>
          <w:color w:val="auto"/>
        </w:rPr>
      </w:pPr>
      <w:r>
        <w:rPr>
          <w:rFonts w:hint="default" w:ascii="Times New Roman" w:hAnsi="Times New Roman" w:cs="Times New Roman"/>
          <w:color w:val="auto"/>
        </w:rPr>
        <w:t>14. Colocalization and PWCoCo</w:t>
      </w:r>
    </w:p>
    <w:p w14:paraId="55822968">
      <w:pPr>
        <w:spacing w:after="80" w:line="259" w:lineRule="auto"/>
        <w:rPr>
          <w:rFonts w:hint="default" w:ascii="Times New Roman" w:hAnsi="Times New Roman" w:cs="Times New Roman"/>
          <w:color w:val="auto"/>
        </w:rPr>
      </w:pPr>
      <w:r>
        <w:rPr>
          <w:rFonts w:hint="default" w:ascii="Times New Roman" w:hAnsi="Times New Roman" w:cs="Times New Roman"/>
          <w:color w:val="auto"/>
        </w:rPr>
        <w:t>Regional colocalization was performed with coloc.abf [13]. For each prioritized region, factor and disease summary statistics were subset to the tested interval, merged on SNP identity and position, and allele-harmonized. Factor traits were analyzed as quantitative traits, while disease GWAS were analyzed as case-control traits. The coloc priors used in the local scripts were p1 = 1e-4, p2 = 1e-4, and p12 = 1e-5. Posterior support was summarized with the standard H0-H4 framework, and PP.H4.abf &gt;= 0.80 was treated as strong evidence for a shared local association signal (Supplementary Table S28).</w:t>
      </w:r>
    </w:p>
    <w:p w14:paraId="1EC364CF">
      <w:pPr>
        <w:spacing w:after="80" w:line="259" w:lineRule="auto"/>
        <w:rPr>
          <w:rFonts w:hint="default" w:ascii="Times New Roman" w:hAnsi="Times New Roman" w:cs="Times New Roman"/>
          <w:color w:val="auto"/>
        </w:rPr>
      </w:pPr>
      <w:r>
        <w:rPr>
          <w:rFonts w:hint="default" w:ascii="Times New Roman" w:hAnsi="Times New Roman" w:cs="Times New Roman"/>
          <w:color w:val="auto"/>
        </w:rPr>
        <w:t>PWCoCo was used as a complementary conditional framework informed by conditional colocalization principles [14] in loci where regional architecture was more complex or where multiple nearby signals could complicate a single-signal coloc interpretation. The PWCoCo layer retained the best-supported conditional factor-disease evidence within prioritized regions and was used to refine local support rather than to replace coloc (Supplementary Table S29). Regions retained in the integrated shared-locus table therefore include both stringent single-signal coloc-supported regions and regions with conditional support from PWCoCo after local architecture was considered (Supplementary Table S30).</w:t>
      </w:r>
    </w:p>
    <w:p w14:paraId="3B9B824B">
      <w:pPr>
        <w:pStyle w:val="4"/>
        <w:rPr>
          <w:rFonts w:hint="default" w:ascii="Times New Roman" w:hAnsi="Times New Roman" w:cs="Times New Roman"/>
          <w:color w:val="auto"/>
        </w:rPr>
      </w:pPr>
      <w:r>
        <w:rPr>
          <w:rFonts w:hint="default" w:ascii="Times New Roman" w:hAnsi="Times New Roman" w:cs="Times New Roman"/>
          <w:color w:val="auto"/>
        </w:rPr>
        <w:t>15. SNP-to-gene mapping, FUMA, cTWAS, and candidate tiering</w:t>
      </w:r>
    </w:p>
    <w:p w14:paraId="2DE58699">
      <w:pPr>
        <w:spacing w:after="80" w:line="259" w:lineRule="auto"/>
        <w:rPr>
          <w:rFonts w:hint="default" w:ascii="Times New Roman" w:hAnsi="Times New Roman" w:cs="Times New Roman"/>
          <w:color w:val="auto"/>
        </w:rPr>
      </w:pPr>
      <w:r>
        <w:rPr>
          <w:rFonts w:hint="default" w:ascii="Times New Roman" w:hAnsi="Times New Roman" w:cs="Times New Roman"/>
          <w:color w:val="auto"/>
        </w:rPr>
        <w:t>SNP-level and locus-level signals were translated into candidate genes through complementary mapping approaches. FUMA was used for positional and regulatory annotation of prioritized loci [15], and outputs were retained in mapping tables rather than treated as a single definitive gene assignment (Supplementary Tables S30-S31). Single-trait cTWAS was performed separately for factor GWAS and disease GWAS [16] using the local brain-expression reference panels available in the project workflow. The cTWAS layer was not run as a joint factor-disease model; instead, branch support was assessed by comparing factor-facing and disease-facing cTWAS-prioritized genes after harmonizing gene symbols and retaining the strongest available model-level evidence for each gene. Overlap between factor and disease cTWAS-supported genes was evaluated at the branch level (Supplementary Table S32).</w:t>
      </w:r>
    </w:p>
    <w:p w14:paraId="5A56B3C2">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candidate-tiering framework integrated locus evidence, mapping support, cTWAS, SMR, single-cell context, KNK testing, and target annotation. Genes with convergent support across multiple layers were assigned higher priority and summarized as core candidates, whereas broader single-layer or lower-confidence candidates were retained in the master tables for transparency (Supplementary Tables S33-S35).</w:t>
      </w:r>
    </w:p>
    <w:p w14:paraId="617B3A8C">
      <w:pPr>
        <w:pStyle w:val="4"/>
        <w:rPr>
          <w:rFonts w:hint="default" w:ascii="Times New Roman" w:hAnsi="Times New Roman" w:cs="Times New Roman"/>
          <w:color w:val="auto"/>
        </w:rPr>
      </w:pPr>
      <w:r>
        <w:rPr>
          <w:rFonts w:hint="default" w:ascii="Times New Roman" w:hAnsi="Times New Roman" w:cs="Times New Roman"/>
          <w:color w:val="auto"/>
        </w:rPr>
        <w:t>16. SMR analyses</w:t>
      </w:r>
    </w:p>
    <w:p w14:paraId="1E0C16A0">
      <w:pPr>
        <w:spacing w:after="80" w:line="259" w:lineRule="auto"/>
        <w:rPr>
          <w:rFonts w:hint="default" w:ascii="Times New Roman" w:hAnsi="Times New Roman" w:cs="Times New Roman"/>
          <w:color w:val="auto"/>
        </w:rPr>
      </w:pPr>
      <w:r>
        <w:rPr>
          <w:rFonts w:hint="default" w:ascii="Times New Roman" w:hAnsi="Times New Roman" w:cs="Times New Roman"/>
          <w:color w:val="auto"/>
        </w:rPr>
        <w:t>Summary-data-based Mendelian randomization was used as a direction- and context-aware expression-prioritization layer [17]. SMR-ready input files were prepared for focal factor GWAS and disease GWAS and queried against three eQTL resource classes: a bulk-brain cortical meta-eQTL panel, GTEx v8 brain tissues [18], and Bryois brain cell-type eQTL panels [19]. The Bryois cell-type panels included astrocytes, microglia, endothelial cells, excitatory neurons, inhibitory neurons, oligodendrocytes, OPCs/COPs, and pericytes.</w:t>
      </w:r>
    </w:p>
    <w:p w14:paraId="44C8D429">
      <w:pPr>
        <w:spacing w:after="80" w:line="259" w:lineRule="auto"/>
        <w:rPr>
          <w:rFonts w:hint="default" w:ascii="Times New Roman" w:hAnsi="Times New Roman" w:cs="Times New Roman"/>
          <w:color w:val="auto"/>
        </w:rPr>
      </w:pPr>
      <w:r>
        <w:rPr>
          <w:rFonts w:hint="default" w:ascii="Times New Roman" w:hAnsi="Times New Roman" w:cs="Times New Roman"/>
          <w:color w:val="auto"/>
        </w:rPr>
        <w:t>Local summarization scripts applied Benjamini-Hochberg false-discovery-rate correction [9] to SMR P values within each output family and retained HEIDI information as a heterogeneity check where available. For branch interpretation, SMR was used to identify genes with compatible factor-facing and disease-facing expression evidence, not to claim that every eQTL-mediated association was independently causal. Summary and core-gene outputs are reported in Supplementary Tables S36-S41.</w:t>
      </w:r>
    </w:p>
    <w:p w14:paraId="4EE60712">
      <w:pPr>
        <w:pStyle w:val="4"/>
        <w:rPr>
          <w:rFonts w:hint="default" w:ascii="Times New Roman" w:hAnsi="Times New Roman" w:cs="Times New Roman"/>
          <w:color w:val="auto"/>
        </w:rPr>
      </w:pPr>
      <w:r>
        <w:rPr>
          <w:rFonts w:hint="default" w:ascii="Times New Roman" w:hAnsi="Times New Roman" w:cs="Times New Roman"/>
          <w:color w:val="auto"/>
        </w:rPr>
        <w:t>17. scPagwas projection</w:t>
      </w:r>
    </w:p>
    <w:p w14:paraId="5D9904DD">
      <w:pPr>
        <w:spacing w:after="80" w:line="259" w:lineRule="auto"/>
        <w:rPr>
          <w:rFonts w:hint="default" w:ascii="Times New Roman" w:hAnsi="Times New Roman" w:cs="Times New Roman"/>
          <w:color w:val="auto"/>
        </w:rPr>
      </w:pPr>
      <w:r>
        <w:rPr>
          <w:rFonts w:hint="default" w:ascii="Times New Roman" w:hAnsi="Times New Roman" w:cs="Times New Roman"/>
          <w:color w:val="auto"/>
        </w:rPr>
        <w:t>Disease-contextual cell mapping was performed with scPagwas [20] using disease-state single-cell or single-nucleus transcriptomic atlases prepared in the local workflow. The AD branch used an MSSM/PsychAD-aligned AD atlas downsampled to 20,000 cells with diagnosis = AD. The two PD branches used an MSSM/PsychAD-aligned PD atlas downsampled to 20,000 cells with PD_status = PD (Supplementary Table S42). The standardized factor GWAS were used as genetic inputs together with the packaged linkage and pathway resources required by scPagwas_main2.</w:t>
      </w:r>
    </w:p>
    <w:p w14:paraId="15E21CC7">
      <w:pPr>
        <w:spacing w:after="80" w:line="259" w:lineRule="auto"/>
        <w:rPr>
          <w:rFonts w:hint="default" w:ascii="Times New Roman" w:hAnsi="Times New Roman" w:cs="Times New Roman"/>
          <w:color w:val="auto"/>
        </w:rPr>
      </w:pPr>
      <w:r>
        <w:rPr>
          <w:rFonts w:hint="default" w:ascii="Times New Roman" w:hAnsi="Times New Roman" w:cs="Times New Roman"/>
          <w:color w:val="auto"/>
        </w:rPr>
        <w:t>Production scPagwas runs used singlecell = TRUE, celltype = TRUE, and iters_singlecell = 100 [20]. The installed scPagwas environment used KEGG pathway resources for pathway-level follow-up. Cell-type P values were exported by the package and adjusted within analysis using the Benjamini-Hochberg procedure [9]. For significant cell types, pathway-level trait-relevance score analyses related pathway activity to the GWAS-derived trait relevance score across cells, with within-analysis FDR correction. Gene-level PCC outputs exported by scPagwas were retained as supplementary support rather than manually rederived (Supplementary Tables S43-S47).</w:t>
      </w:r>
    </w:p>
    <w:p w14:paraId="159EA4CC">
      <w:pPr>
        <w:pStyle w:val="4"/>
        <w:rPr>
          <w:rFonts w:hint="default" w:ascii="Times New Roman" w:hAnsi="Times New Roman" w:cs="Times New Roman"/>
          <w:color w:val="auto"/>
        </w:rPr>
      </w:pPr>
      <w:r>
        <w:rPr>
          <w:rFonts w:hint="default" w:ascii="Times New Roman" w:hAnsi="Times New Roman" w:cs="Times New Roman"/>
          <w:color w:val="auto"/>
        </w:rPr>
        <w:t>18. scTenifoldKnk virtual knockout</w:t>
      </w:r>
    </w:p>
    <w:p w14:paraId="105B703D">
      <w:pPr>
        <w:spacing w:after="80" w:line="259" w:lineRule="auto"/>
        <w:rPr>
          <w:rFonts w:hint="default" w:ascii="Times New Roman" w:hAnsi="Times New Roman" w:cs="Times New Roman"/>
          <w:color w:val="auto"/>
        </w:rPr>
      </w:pPr>
      <w:r>
        <w:rPr>
          <w:rFonts w:hint="default" w:ascii="Times New Roman" w:hAnsi="Times New Roman" w:cs="Times New Roman"/>
          <w:color w:val="auto"/>
        </w:rPr>
        <w:t>scTenifoldKnk analyses [21] were restricted to gene-cell combinations supported jointly by upstream genetic prioritization and scPagwas cell-context results. Thus, scTenifoldKnk was not used as an all-gene exploratory screen. For the PD ketone-body branch, LRPAP1, PRMT7, GRK4, and DUS2 were tested in scPagwas-supported PD cell contexts including pericytes, oligodendrocyte precursor cells, and VIP GABAergic cortical interneurons. For the PD TG-rich/VLDL-remodeling branch, TMEM175, DGKQ, LRRC37A2, and ARL17B were tested in PD pericytes. For the AD HDL-core branch, previously generated KNK outputs were retained for the pericyte-centered AD branch and integrated with the same summary framework.</w:t>
      </w:r>
    </w:p>
    <w:p w14:paraId="42F2D7EE">
      <w:pPr>
        <w:spacing w:after="80" w:line="259" w:lineRule="auto"/>
        <w:rPr>
          <w:rFonts w:hint="default" w:ascii="Times New Roman" w:hAnsi="Times New Roman" w:cs="Times New Roman"/>
          <w:color w:val="auto"/>
        </w:rPr>
      </w:pPr>
      <w:r>
        <w:rPr>
          <w:rFonts w:hint="default" w:ascii="Times New Roman" w:hAnsi="Times New Roman" w:cs="Times New Roman"/>
          <w:color w:val="auto"/>
        </w:rPr>
        <w:t>The production KNK scripts used scTenifoldKnk and scTenifoldNet [21]. In the PD lipid branch, the production call used qc = FALSE, nc_nNet = 10, and nc_nCells = min(500, max(200, floor(ncol(data_knk) / 4))), with nCores = 1. Pathway follow-up used KEGG gene sets loaded from the local scPagwas/scTenifold environment. KNK pathway outputs were compared with scPagwas pathway/TRS outputs where matching cell-type pathway tables were available (Supplementary Tables S48-S54). These virtual-knockout results were interpreted as perturbational hypotheses, not as experimental validation.</w:t>
      </w:r>
    </w:p>
    <w:p w14:paraId="1747620A">
      <w:pPr>
        <w:pStyle w:val="4"/>
        <w:rPr>
          <w:rFonts w:hint="default" w:ascii="Times New Roman" w:hAnsi="Times New Roman" w:cs="Times New Roman"/>
          <w:color w:val="auto"/>
        </w:rPr>
      </w:pPr>
      <w:r>
        <w:rPr>
          <w:rFonts w:hint="default" w:ascii="Times New Roman" w:hAnsi="Times New Roman" w:cs="Times New Roman"/>
          <w:color w:val="auto"/>
        </w:rPr>
        <w:t>19. Target annotation and binding/modality screening</w:t>
      </w:r>
    </w:p>
    <w:p w14:paraId="7721A45B">
      <w:pPr>
        <w:spacing w:after="80" w:line="259" w:lineRule="auto"/>
        <w:rPr>
          <w:rFonts w:hint="default" w:ascii="Times New Roman" w:hAnsi="Times New Roman" w:cs="Times New Roman"/>
          <w:color w:val="auto"/>
        </w:rPr>
      </w:pPr>
      <w:r>
        <w:rPr>
          <w:rFonts w:hint="default" w:ascii="Times New Roman" w:hAnsi="Times New Roman" w:cs="Times New Roman"/>
          <w:color w:val="auto"/>
        </w:rPr>
        <w:t>Target annotation was performed for the KNK-prioritized core-gene set: ARL17B, DGKQ, DUS2, GRK4, KANSL1, KNOP1, LRPAP1, LRRC37A2, PRMT7, and TMEM175. The annotation combined Open Targets target and disease-knowledge fields [22], DGIdb drug-gene interaction records [23], Human Protein Atlas brain-expression evidence [24], Open Targets interaction/network information [22], chemical-probe evidence, and AlphaFold structure availability [25,26]. The output was organized into target class, AD/PD knowledge-base association, brain-related RNA/protein expression, direct approved-drug evidence, small-molecule or pocket support, chemical-probe support, antibody/surface or subcellular modality support, protein-interaction support, and structural-availability fields (Supplementary Tables S55-S59).</w:t>
      </w:r>
    </w:p>
    <w:p w14:paraId="5771DC5B">
      <w:pPr>
        <w:spacing w:after="80" w:line="259" w:lineRule="auto"/>
        <w:rPr>
          <w:rFonts w:hint="default" w:ascii="Times New Roman" w:hAnsi="Times New Roman" w:cs="Times New Roman"/>
          <w:color w:val="auto"/>
        </w:rPr>
      </w:pPr>
      <w:r>
        <w:rPr>
          <w:rFonts w:hint="default" w:ascii="Times New Roman" w:hAnsi="Times New Roman" w:cs="Times New Roman"/>
          <w:color w:val="auto"/>
        </w:rPr>
        <w:t>This screen was designed as target-tractability annotation rather than drug-efficacy prediction. Direct approved-drug evidence was distinguished from broader modality support. For example, GRK4 carried direct DGIdb approved-drug interaction evidence in the queried resource, whereas PRMT7 and TMEM175 had small-molecule or probe/modality support without the same level of direct approved-drug evidence.</w:t>
      </w:r>
    </w:p>
    <w:p w14:paraId="0DF255AA">
      <w:pPr>
        <w:pStyle w:val="4"/>
        <w:rPr>
          <w:rFonts w:hint="default" w:ascii="Times New Roman" w:hAnsi="Times New Roman" w:cs="Times New Roman"/>
          <w:color w:val="auto"/>
        </w:rPr>
      </w:pPr>
      <w:r>
        <w:rPr>
          <w:rFonts w:hint="default" w:ascii="Times New Roman" w:hAnsi="Times New Roman" w:cs="Times New Roman"/>
          <w:color w:val="auto"/>
        </w:rPr>
        <w:t>20. Supportive public disease-state summaries</w:t>
      </w:r>
    </w:p>
    <w:p w14:paraId="75343DAC">
      <w:pPr>
        <w:spacing w:after="80" w:line="259" w:lineRule="auto"/>
        <w:rPr>
          <w:rFonts w:hint="default" w:ascii="Times New Roman" w:hAnsi="Times New Roman" w:cs="Times New Roman"/>
          <w:color w:val="auto"/>
        </w:rPr>
      </w:pPr>
      <w:r>
        <w:rPr>
          <w:rFonts w:hint="default" w:ascii="Times New Roman" w:hAnsi="Times New Roman" w:cs="Times New Roman"/>
          <w:color w:val="auto"/>
        </w:rPr>
        <w:t>Processed public disease-state summary resources were queried as a modest supplementary validation layer for prioritized genes. For AD, we used processed CSF proteomic supplementary tables from Binette et al. (Nature Neuroscience, 2024) [27], which compared protein abundance across AD pathology categories and validation cohorts. Coverage of the prioritized genes was limited: only LRPAP1 was detected in the extracted AD proteomic tables, and its available comparisons were not significant in the extracted summaries. For PD, we used the processed transcriptomic meta-signature from van den Hurk et al. (npj Parkinson's Disease, 2022) [28], which summarized gene dysregulation across six patient-derived midbrain-neuron transcriptomic datasets. All 10 KNK-prioritized genes were present in this PD meta-signature, with LRPAP1 showing the strongest dysregulation score among the prioritized genes.</w:t>
      </w:r>
    </w:p>
    <w:p w14:paraId="3513A927">
      <w:pPr>
        <w:pStyle w:val="4"/>
        <w:rPr>
          <w:rFonts w:hint="default" w:ascii="Times New Roman" w:hAnsi="Times New Roman" w:cs="Times New Roman"/>
          <w:color w:val="auto"/>
        </w:rPr>
      </w:pPr>
      <w:r>
        <w:rPr>
          <w:rFonts w:hint="default" w:ascii="Times New Roman" w:hAnsi="Times New Roman" w:cs="Times New Roman"/>
          <w:color w:val="auto"/>
        </w:rPr>
        <w:t>References</w:t>
      </w:r>
    </w:p>
    <w:p w14:paraId="23A33E2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 Tambets R, Kronberg J, Abner E, Võsa U, Rahu I, Taba N, et al. Genome-wide association study for circulating metabolites in 619,372 individuals. medRxiv. 2024. doi:10.1101/2024.10.15.24315557.</w:t>
      </w:r>
    </w:p>
    <w:p w14:paraId="1ACE5760">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 Bycroft, Clare, Freeman, Colin, Petkova, Desislava, et al. The UK Biobank resource with deep phenotyping and genomic data. Nature 2018;562:203-209. doi:10.1038/s41586-018-0579-z.</w:t>
      </w:r>
    </w:p>
    <w:p w14:paraId="322C42DA">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3. Karjalainen, Juha, et al. Genome-wide characterization of circulating metabolic biomarkers. Nature 2024;628:130-138. doi:10.1038/s41586-024-07148-y.</w:t>
      </w:r>
    </w:p>
    <w:p w14:paraId="57AE06E0">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4. Bellenguez, Celine, et al. New insights into the genetic etiology of Alzheimer's disease and related dementias. Nature Genetics 2022;54:412-436. doi:10.1038/s41588-022-01024-z.</w:t>
      </w:r>
    </w:p>
    <w:p w14:paraId="0842CC83">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5. Kim, Joo-Yeon, et al. Multi-ancestry genome-wide association meta-analysis of Parkinson's disease. Nature Genetics 2024. doi:10.1038/s41588-024-01669-0.</w:t>
      </w:r>
    </w:p>
    <w:p w14:paraId="5910E311">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6. Chia, Ruth, et al. Genome sequencing analysis identifies new loci associated with Lewy body dementia and provides insights into its genetic architecture. Nature Genetics 2021;53:294-303. doi:10.1038/s41588-021-00785-3.</w:t>
      </w:r>
    </w:p>
    <w:p w14:paraId="2AB9DA7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7. Bulik-Sullivan, Brendan K., Loh, Po-Ru, Finucane, Hilary K., Ripke, Stephan, Yang, Jian, Patterson, Nick, et al. LD Score regression distinguishes confounding from polygenicity in genome-wide association studies. Nature Genetics 2015;47:291-295. doi:10.1038/ng.3211.</w:t>
      </w:r>
    </w:p>
    <w:p w14:paraId="40957FAA">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8. Grotzinger, Andrew D., Rhemtulla, Mijke, de Vlaming, Ronald, Ritchie, Stuart J., Mallard, Travis T., Hill, W. David, et al. Genomic structural equation modelling provides insights into the multivariate genetic architecture of complex traits. Nature Human Behaviour 2019;3:513-525. doi:10.1038/s41562-019-0566-x.</w:t>
      </w:r>
    </w:p>
    <w:p w14:paraId="09AA38D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9. Benjamini, Yoav, Hochberg, Yosef. Controlling the false discovery rate: a practical and powerful approach to multiple testing. Journal of the Royal Statistical Society: Series B 1995;57:289-300. doi:10.1111/j.2517-6161.1995.tb02031.x.</w:t>
      </w:r>
    </w:p>
    <w:p w14:paraId="125709BB">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10. Frei, Oleksandr, Holland, Dominic, Smeland, Olav B., et al. Bivariate causal mixture model quantifies polygenic overlap between complex traits beyond genetic correlation. Nature Communications 2019;10:2417. doi:10.1038/s41467-019-10310-0.</w:t>
      </w:r>
    </w:p>
    <w:p w14:paraId="0C4E116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11. 1000 Genomes Project Consortium. A global reference for human genetic variation. Nature 2015;526:68-74. doi:10.1038/nature15393.</w:t>
      </w:r>
    </w:p>
    <w:p w14:paraId="36AA01B1">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12. Andreassen, Ole A., Thompson, Wesley K., Schork, Andrew J., et al. Improved detection of common variants associated with schizophrenia and bipolar disorder using pleiotropy-informed conditional false discovery rate. PLoS Genetics 2013;9:e1003455. doi:10.1371/journal.pgen.1003455.</w:t>
      </w:r>
    </w:p>
    <w:p w14:paraId="6D2CCE24">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13. Giambartolomei, Claudia, Vukcevic, Damjan, Schadt, Eric E., Franke, Lude, Hingorani, Aroon D., Wallace, Chris, et al. Bayesian test for colocalisation between pairs of genetic association studies using summary statistics. PLOS Genetics 2014;10:e1004383. doi:10.1371/journal.pgen.1004383.</w:t>
      </w:r>
    </w:p>
    <w:p w14:paraId="70E15B23">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14. Wallace, Chris. A more accurate method for colocalisation analysis allowing for multiple causal variants. PLoS Genetics 2021;17:e1009440. doi:10.1371/journal.pgen.1009440.</w:t>
      </w:r>
    </w:p>
    <w:p w14:paraId="7BC49D2A">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15. Watanabe, Kyoko, Taskesen, Erdogan, van Bochoven, Arjen, Posthuma, Danielle. Functional mapping and annotation of genetic associations with FUMA. Nature Communications 2017;8:1826. doi:10.1038/s41467-017-01261-5.</w:t>
      </w:r>
    </w:p>
    <w:p w14:paraId="5824672F">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16. Zhao, Siming, Crouse, Wesley, Qian, Sheng, Luo, Kaixuan, Stephens, Matthew, He, Xin. Adjusting for genetic confounders in transcriptome-wide association studies improves discovery of risk genes of complex traits. Nature Genetics 2024;56:336-347. doi:10.1038/s41588-023-01648-9.</w:t>
      </w:r>
    </w:p>
    <w:p w14:paraId="711A2541">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17. Zhu, Zhihong, Zhang, Futao, Hu, Han, Bakshi, Andrew, Robinson, Matthew R., Powell, Joseph E., et al. Integration of summary data from GWAS and eQTL studies predicts complex trait gene targets. Nature Genetics 2016;48:481-487. doi:10.1038/ng.3538.</w:t>
      </w:r>
    </w:p>
    <w:p w14:paraId="457570B8">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18. GTEx Consortium. The GTEx Consortium atlas of genetic regulatory effects across human tissues. Science 2020;369:1318-1330. doi:10.1126/science.aaz1776.</w:t>
      </w:r>
    </w:p>
    <w:p w14:paraId="4F2345C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19. Bryois, Julien, et al. Cell-type-specific cis-eQTLs in eight human brain cell types identify novel risk genes for psychiatric and neurological disorders. Nature Neuroscience 2022;25:1104-1112. doi:10.1038/s41593-022-01128-z.</w:t>
      </w:r>
    </w:p>
    <w:p w14:paraId="4AC63C9C">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20. Ma Y, Deng C, Zhou Y, Zhang Y, Qiu F, Jiang D, et al. Polygenic regression uncovers trait-relevant cellular contexts through pathway activation transformation of single-cell RNA sequencing data. Cell Genomics 2023;3:100383. doi:10.1016/j.xgen.2023.100383.</w:t>
      </w:r>
    </w:p>
    <w:p w14:paraId="2643CA60">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21. Osorio, Daniel, Zhong, Yan, Li, Gang, Cai, James J. scTenifoldKnk: An efficient virtual knockout tool for gene function predictions via single-cell gene regulatory network perturbation. Patterns 2022. doi:10.1016/j.patter.2022.100434.</w:t>
      </w:r>
    </w:p>
    <w:p w14:paraId="4A06A674">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22. Ochoa D, Hercules A, Carmona M, Suveges D, Gonzalez-Uriarte A, Malangone C, et al. Open Targets Platform: supporting systematic drug-target identification and prioritisation. Nucleic Acids Research 2021;49:D1302-D1310. doi:10.1093/nar/gkaa1027.</w:t>
      </w:r>
    </w:p>
    <w:p w14:paraId="178E2AB3">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23. Freshour, Sharon L., Kiwala, Soma, Cotto, Kelsy C., et al. Integration of the Drug-Gene Interaction Database (DGIdb 4.0) with open crowdsource efforts. Nucleic Acids Research 2021;49:D1144-D1151. doi:10.1093/nar/gkaa1084.</w:t>
      </w:r>
    </w:p>
    <w:p w14:paraId="743990C1">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24. Uhlen, Mathias, Fagerberg, Linn, Hallstrom, Bjorn M., et al. Tissue-based map of the human proteome. Science 2015;347:1260419. doi:10.1126/science.1260419.</w:t>
      </w:r>
    </w:p>
    <w:p w14:paraId="74490A29">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25. Jumper, John, Evans, Richard, Pritzel, Alexander, et al. Highly accurate protein structure prediction with AlphaFold. Nature 2021;596:583-589. doi:10.1038/s41586-021-03819-2.</w:t>
      </w:r>
    </w:p>
    <w:p w14:paraId="5B616392">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26. Tunyasuvunakool, Kathryn, Adler, Jonas, Wu, Zachary, et al. Highly accurate protein structure prediction for the human proteome. Nature 2021;596:590-596. doi:10.1038/s41586-021-03828-1.</w:t>
      </w:r>
    </w:p>
    <w:p w14:paraId="1D8C496F">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27. Pichet Binette, Alexa, et al. Proteomic changes in Alzheimer's disease associated with progressive amyloid-beta plaque and tau tangle pathologies. Nature Neuroscience 2024;27:1880-1891. doi:10.1038/s41593-024-01737-w.</w:t>
      </w:r>
    </w:p>
    <w:p w14:paraId="40A6D635">
      <w:pPr>
        <w:spacing w:after="80" w:line="259" w:lineRule="auto"/>
        <w:ind w:left="317" w:hanging="317"/>
        <w:rPr>
          <w:rFonts w:hint="default" w:ascii="Times New Roman" w:hAnsi="Times New Roman" w:cs="Times New Roman"/>
          <w:color w:val="auto"/>
        </w:rPr>
      </w:pPr>
      <w:r>
        <w:rPr>
          <w:rFonts w:hint="default" w:ascii="Times New Roman" w:hAnsi="Times New Roman" w:cs="Times New Roman"/>
          <w:color w:val="auto"/>
        </w:rPr>
        <w:t>28. van den Hurk, Mark, Lau, Shong, Marchetto, Maria C., Mertens, Jerome, Stern, Shani, Corti, Olga, et al. Druggable transcriptomic pathways revealed in Parkinson's patient-derived midbrain neurons. npj Parkinson's Disease 2022;8:134. doi:10.1038/s41531-022-00400-0.</w:t>
      </w:r>
    </w:p>
    <w:sectPr>
      <w:pgSz w:w="12240" w:h="15840"/>
      <w:pgMar w:top="1080" w:right="1080" w:bottom="1080" w:left="10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82C454A"/>
    <w:rsid w:val="1F625271"/>
    <w:rsid w:val="23574737"/>
    <w:rsid w:val="2E5C537D"/>
    <w:rsid w:val="2FF73487"/>
    <w:rsid w:val="3C43237A"/>
    <w:rsid w:val="49984EE3"/>
    <w:rsid w:val="70DE2D98"/>
    <w:rsid w:val="731442C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32"/>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4"/>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sz w:val="22"/>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4814</Words>
  <Characters>31849</Characters>
  <Lines>0</Lines>
  <Paragraphs>0</Paragraphs>
  <TotalTime>0</TotalTime>
  <ScaleCrop>false</ScaleCrop>
  <LinksUpToDate>false</LinksUpToDate>
  <CharactersWithSpaces>36544</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竹下寺</cp:lastModifiedBy>
  <dcterms:modified xsi:type="dcterms:W3CDTF">2026-05-14T01:14:59Z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eyJoZGlkIjoiODFiMTZlMjE2ZGQwMDYyMjA1NjBkYmM3NmMzYjc1MzIiLCJ1c2VySWQiOiI1MDk5NDg3NzcifQ==</vt:lpwstr>
  </property>
  <property fmtid="{D5CDD505-2E9C-101B-9397-08002B2CF9AE}" pid="3" name="KSOProductBuildVer">
    <vt:lpwstr>2052-12.1.0.25865</vt:lpwstr>
  </property>
  <property fmtid="{D5CDD505-2E9C-101B-9397-08002B2CF9AE}" pid="4" name="ICV">
    <vt:lpwstr>8F9B984E95F643EF829716B169F237BB_12</vt:lpwstr>
  </property>
</Properties>
</file>