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95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554"/>
        <w:gridCol w:w="444"/>
        <w:gridCol w:w="4357"/>
        <w:gridCol w:w="7247"/>
        <w:gridCol w:w="993"/>
      </w:tblGrid>
      <w:tr w:rsidR="00300AF0" w:rsidRPr="00B33B0B" w14:paraId="6ACFC5E0" w14:textId="77777777" w:rsidTr="00932EC1">
        <w:trPr>
          <w:trHeight w:val="339"/>
        </w:trPr>
        <w:tc>
          <w:tcPr>
            <w:tcW w:w="1554" w:type="dxa"/>
            <w:vMerge w:val="restart"/>
            <w:tcBorders>
              <w:top w:val="single" w:sz="6" w:space="0" w:color="000000"/>
              <w:left w:val="sing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6F2F1DE1" w14:textId="77777777" w:rsidR="00300AF0" w:rsidRPr="00B33B0B" w:rsidRDefault="00300AF0" w:rsidP="005E50CB">
            <w:pPr>
              <w:pStyle w:val="Default"/>
              <w:ind w:left="-86" w:right="-115"/>
              <w:rPr>
                <w:rFonts w:ascii="Arial" w:hAnsi="Arial" w:cs="Arial"/>
                <w:color w:val="FFFFFF"/>
                <w:sz w:val="22"/>
                <w:szCs w:val="22"/>
                <w:lang w:val="en-GB"/>
              </w:rPr>
            </w:pPr>
            <w:r w:rsidRPr="00B33B0B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 xml:space="preserve">Paper Section/Topic </w:t>
            </w:r>
          </w:p>
        </w:tc>
        <w:tc>
          <w:tcPr>
            <w:tcW w:w="444" w:type="dxa"/>
            <w:vMerge w:val="restart"/>
            <w:tcBorders>
              <w:top w:val="single" w:sz="6" w:space="0" w:color="000000"/>
              <w:left w:val="sing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E3DFFAA" w14:textId="77777777" w:rsidR="00300AF0" w:rsidRPr="00B33B0B" w:rsidRDefault="00300AF0" w:rsidP="00603F77">
            <w:pPr>
              <w:pStyle w:val="Default"/>
              <w:ind w:left="-108" w:right="-108"/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en-GB"/>
              </w:rPr>
            </w:pPr>
            <w:r w:rsidRPr="00B33B0B">
              <w:rPr>
                <w:rFonts w:ascii="Arial" w:hAnsi="Arial" w:cs="Arial"/>
                <w:b/>
                <w:bCs/>
                <w:color w:val="FFFFFF"/>
                <w:sz w:val="20"/>
                <w:szCs w:val="22"/>
                <w:lang w:val="en-GB"/>
              </w:rPr>
              <w:t>Item No.</w:t>
            </w:r>
          </w:p>
        </w:tc>
        <w:tc>
          <w:tcPr>
            <w:tcW w:w="4357" w:type="dxa"/>
            <w:vMerge w:val="restart"/>
            <w:tcBorders>
              <w:top w:val="single" w:sz="6" w:space="0" w:color="000000"/>
              <w:left w:val="sing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47A575C5" w14:textId="77777777" w:rsidR="00300AF0" w:rsidRPr="00B33B0B" w:rsidRDefault="00300AF0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  <w:lang w:val="en-GB"/>
              </w:rPr>
            </w:pPr>
            <w:r w:rsidRPr="00B33B0B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en-GB"/>
              </w:rPr>
              <w:t>Descriptor</w:t>
            </w:r>
          </w:p>
        </w:tc>
        <w:tc>
          <w:tcPr>
            <w:tcW w:w="8240" w:type="dxa"/>
            <w:gridSpan w:val="2"/>
            <w:tcBorders>
              <w:top w:val="single" w:sz="6" w:space="0" w:color="000000"/>
              <w:left w:val="single" w:sz="5" w:space="0" w:color="000000"/>
              <w:bottom w:val="double" w:sz="5" w:space="0" w:color="000000"/>
              <w:right w:val="single" w:sz="6" w:space="0" w:color="000000"/>
            </w:tcBorders>
            <w:shd w:val="clear" w:color="auto" w:fill="63639A"/>
            <w:vAlign w:val="center"/>
          </w:tcPr>
          <w:p w14:paraId="3C70635C" w14:textId="77777777" w:rsidR="00300AF0" w:rsidRPr="00B33B0B" w:rsidRDefault="00300AF0" w:rsidP="00D855E2">
            <w:pPr>
              <w:pStyle w:val="Default"/>
              <w:ind w:left="-18" w:right="-76"/>
              <w:rPr>
                <w:rFonts w:ascii="Arial" w:hAnsi="Arial" w:cs="Arial"/>
                <w:color w:val="FFFFFF"/>
                <w:sz w:val="22"/>
                <w:szCs w:val="22"/>
                <w:lang w:val="en-GB"/>
              </w:rPr>
            </w:pPr>
            <w:r w:rsidRPr="00B33B0B">
              <w:rPr>
                <w:rFonts w:ascii="Arial" w:hAnsi="Arial" w:cs="Arial"/>
                <w:color w:val="FFFFFF"/>
                <w:sz w:val="22"/>
                <w:szCs w:val="22"/>
                <w:lang w:val="en-GB"/>
              </w:rPr>
              <w:t>Reported?</w:t>
            </w:r>
          </w:p>
        </w:tc>
      </w:tr>
      <w:tr w:rsidR="00300AF0" w:rsidRPr="00B33B0B" w14:paraId="2807C9FE" w14:textId="77777777" w:rsidTr="00932EC1">
        <w:trPr>
          <w:trHeight w:val="246"/>
        </w:trPr>
        <w:tc>
          <w:tcPr>
            <w:tcW w:w="1554" w:type="dxa"/>
            <w:vMerge/>
            <w:tcBorders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672A6659" w14:textId="77777777" w:rsidR="00300AF0" w:rsidRPr="00B33B0B" w:rsidRDefault="00300AF0" w:rsidP="00550BF1">
            <w:pPr>
              <w:pStyle w:val="Default"/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en-GB"/>
              </w:rPr>
            </w:pPr>
          </w:p>
        </w:tc>
        <w:tc>
          <w:tcPr>
            <w:tcW w:w="444" w:type="dxa"/>
            <w:vMerge/>
            <w:tcBorders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0A37501D" w14:textId="77777777" w:rsidR="00300AF0" w:rsidRPr="00B33B0B" w:rsidRDefault="00300AF0" w:rsidP="00603F77">
            <w:pPr>
              <w:pStyle w:val="Default"/>
              <w:ind w:left="-108" w:right="-108"/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en-GB"/>
              </w:rPr>
            </w:pPr>
          </w:p>
        </w:tc>
        <w:tc>
          <w:tcPr>
            <w:tcW w:w="4357" w:type="dxa"/>
            <w:vMerge/>
            <w:tcBorders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5DAB6C7B" w14:textId="77777777" w:rsidR="00300AF0" w:rsidRPr="00B33B0B" w:rsidRDefault="00300AF0" w:rsidP="00550BF1">
            <w:pPr>
              <w:pStyle w:val="Default"/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en-GB"/>
              </w:rPr>
            </w:pPr>
          </w:p>
        </w:tc>
        <w:tc>
          <w:tcPr>
            <w:tcW w:w="7247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02EB378F" w14:textId="77777777" w:rsidR="00300AF0" w:rsidRPr="00B33B0B" w:rsidRDefault="00300AF0" w:rsidP="00300AF0">
            <w:pPr>
              <w:pStyle w:val="Default"/>
              <w:numPr>
                <w:ilvl w:val="0"/>
                <w:numId w:val="15"/>
              </w:numPr>
              <w:jc w:val="right"/>
              <w:rPr>
                <w:rFonts w:ascii="Arial" w:hAnsi="Arial" w:cs="Arial"/>
                <w:color w:val="FFFFFF"/>
                <w:sz w:val="22"/>
                <w:szCs w:val="22"/>
                <w:lang w:val="en-GB"/>
              </w:rPr>
            </w:pPr>
          </w:p>
        </w:tc>
        <w:tc>
          <w:tcPr>
            <w:tcW w:w="993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6" w:space="0" w:color="000000"/>
            </w:tcBorders>
            <w:shd w:val="clear" w:color="auto" w:fill="63639A"/>
            <w:vAlign w:val="center"/>
          </w:tcPr>
          <w:p w14:paraId="38AE3FF9" w14:textId="77777777" w:rsidR="00300AF0" w:rsidRPr="00B33B0B" w:rsidRDefault="00D855E2" w:rsidP="00300AF0">
            <w:pPr>
              <w:pStyle w:val="Default"/>
              <w:ind w:left="-108" w:right="-54"/>
              <w:jc w:val="center"/>
              <w:rPr>
                <w:rFonts w:ascii="Arial" w:hAnsi="Arial" w:cs="Arial"/>
                <w:color w:val="FFFFFF"/>
                <w:sz w:val="22"/>
                <w:szCs w:val="22"/>
                <w:lang w:val="en-GB"/>
              </w:rPr>
            </w:pPr>
            <w:r w:rsidRPr="00B33B0B">
              <w:rPr>
                <w:rFonts w:ascii="Arial" w:hAnsi="Arial" w:cs="Arial"/>
                <w:color w:val="FFFFFF"/>
                <w:sz w:val="22"/>
                <w:szCs w:val="22"/>
                <w:lang w:val="en-GB"/>
              </w:rPr>
              <w:t>Pg</w:t>
            </w:r>
            <w:r w:rsidR="00300AF0" w:rsidRPr="00B33B0B">
              <w:rPr>
                <w:rFonts w:ascii="Arial" w:hAnsi="Arial" w:cs="Arial"/>
                <w:color w:val="FFFFFF"/>
                <w:sz w:val="22"/>
                <w:szCs w:val="22"/>
                <w:lang w:val="en-GB"/>
              </w:rPr>
              <w:t xml:space="preserve"> #</w:t>
            </w:r>
          </w:p>
        </w:tc>
      </w:tr>
      <w:tr w:rsidR="00603F77" w:rsidRPr="00B33B0B" w14:paraId="43B476FE" w14:textId="77777777" w:rsidTr="00932EC1">
        <w:trPr>
          <w:trHeight w:val="219"/>
        </w:trPr>
        <w:tc>
          <w:tcPr>
            <w:tcW w:w="6355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66D40E5C" w14:textId="77777777" w:rsidR="00603F77" w:rsidRPr="00B33B0B" w:rsidRDefault="00603F77" w:rsidP="005E50CB">
            <w:pPr>
              <w:pStyle w:val="Default"/>
              <w:ind w:left="-9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33B0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TITLE and </w:t>
            </w:r>
            <w:r w:rsidR="001E42D3" w:rsidRPr="00B33B0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ABSTRACT</w:t>
            </w:r>
          </w:p>
        </w:tc>
        <w:tc>
          <w:tcPr>
            <w:tcW w:w="7247" w:type="dxa"/>
            <w:tcBorders>
              <w:top w:val="doub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FFFFCC"/>
          </w:tcPr>
          <w:p w14:paraId="6A05A809" w14:textId="77777777" w:rsidR="00603F77" w:rsidRPr="00B33B0B" w:rsidRDefault="00603F77">
            <w:pPr>
              <w:pStyle w:val="Default"/>
              <w:jc w:val="right"/>
              <w:rPr>
                <w:rFonts w:ascii="Arial" w:hAnsi="Arial" w:cs="Arial"/>
                <w:color w:val="auto"/>
                <w:lang w:val="en-GB"/>
              </w:rPr>
            </w:pPr>
          </w:p>
        </w:tc>
        <w:tc>
          <w:tcPr>
            <w:tcW w:w="993" w:type="dxa"/>
            <w:tcBorders>
              <w:top w:val="doub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</w:tcPr>
          <w:p w14:paraId="5A39BBE3" w14:textId="77777777" w:rsidR="00603F77" w:rsidRPr="00B33B0B" w:rsidRDefault="00603F77">
            <w:pPr>
              <w:pStyle w:val="Default"/>
              <w:jc w:val="right"/>
              <w:rPr>
                <w:rFonts w:ascii="Arial" w:hAnsi="Arial" w:cs="Arial"/>
                <w:color w:val="auto"/>
                <w:lang w:val="en-GB"/>
              </w:rPr>
            </w:pPr>
          </w:p>
        </w:tc>
      </w:tr>
      <w:tr w:rsidR="00603F77" w:rsidRPr="00B33B0B" w14:paraId="2500FFE3" w14:textId="77777777" w:rsidTr="00932EC1">
        <w:trPr>
          <w:trHeight w:val="114"/>
        </w:trPr>
        <w:tc>
          <w:tcPr>
            <w:tcW w:w="155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FDDDA7F" w14:textId="77777777" w:rsidR="00603F77" w:rsidRPr="00E57A6A" w:rsidRDefault="00603F77" w:rsidP="005979B8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Title and Abstract</w:t>
            </w:r>
          </w:p>
        </w:tc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49841BE" w14:textId="77777777" w:rsidR="00603F77" w:rsidRPr="00E57A6A" w:rsidRDefault="00603F77" w:rsidP="00603F77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</w:p>
        </w:tc>
        <w:tc>
          <w:tcPr>
            <w:tcW w:w="4357" w:type="dxa"/>
            <w:tcBorders>
              <w:top w:val="single" w:sz="5" w:space="0" w:color="000000"/>
              <w:left w:val="single" w:sz="5" w:space="0" w:color="000000"/>
              <w:bottom w:val="dashed" w:sz="4" w:space="0" w:color="auto"/>
              <w:right w:val="single" w:sz="5" w:space="0" w:color="000000"/>
            </w:tcBorders>
            <w:vAlign w:val="center"/>
          </w:tcPr>
          <w:p w14:paraId="23FD83B8" w14:textId="77777777" w:rsidR="00603F77" w:rsidRPr="00E57A6A" w:rsidRDefault="00603F77" w:rsidP="00771E0E">
            <w:pPr>
              <w:pStyle w:val="Default"/>
              <w:numPr>
                <w:ilvl w:val="0"/>
                <w:numId w:val="1"/>
              </w:numPr>
              <w:ind w:left="158" w:hanging="15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Information on how units were allocated to interventions</w:t>
            </w:r>
          </w:p>
        </w:tc>
        <w:tc>
          <w:tcPr>
            <w:tcW w:w="7247" w:type="dxa"/>
            <w:tcBorders>
              <w:top w:val="single" w:sz="6" w:space="0" w:color="000000"/>
              <w:left w:val="single" w:sz="5" w:space="0" w:color="000000"/>
              <w:bottom w:val="dashed" w:sz="4" w:space="0" w:color="auto"/>
              <w:right w:val="single" w:sz="6" w:space="0" w:color="000000"/>
            </w:tcBorders>
          </w:tcPr>
          <w:p w14:paraId="41C8F396" w14:textId="77777777" w:rsidR="00603F77" w:rsidRPr="00E57A6A" w:rsidRDefault="00603F77" w:rsidP="00771E0E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Title states: 'Results of a single-arm intervention study with comparison to historical controls'. Abstract Methods: single-arm intervention study; all enrolled participants received the intervention.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72A3D3EC" w14:textId="77777777" w:rsidR="00603F77" w:rsidRPr="00E57A6A" w:rsidRDefault="00603F77" w:rsidP="00B33B0B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</w:t>
            </w:r>
          </w:p>
        </w:tc>
      </w:tr>
      <w:tr w:rsidR="00603F77" w:rsidRPr="00B33B0B" w14:paraId="44B86FFC" w14:textId="77777777" w:rsidTr="00932EC1">
        <w:trPr>
          <w:trHeight w:val="200"/>
        </w:trPr>
        <w:tc>
          <w:tcPr>
            <w:tcW w:w="1554" w:type="dxa"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0D0B940D" w14:textId="77777777" w:rsidR="00603F77" w:rsidRPr="00E57A6A" w:rsidRDefault="00603F77" w:rsidP="005979B8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E27B00A" w14:textId="77777777" w:rsidR="00603F77" w:rsidRPr="00E57A6A" w:rsidRDefault="00603F77" w:rsidP="00603F77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77855128" w14:textId="77777777" w:rsidR="00603F77" w:rsidRPr="00E57A6A" w:rsidRDefault="00603F77" w:rsidP="00771E0E">
            <w:pPr>
              <w:pStyle w:val="Default"/>
              <w:numPr>
                <w:ilvl w:val="0"/>
                <w:numId w:val="1"/>
              </w:numPr>
              <w:ind w:left="158" w:hanging="15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Structured abstract recommended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0061E4C" w14:textId="77777777" w:rsidR="00603F77" w:rsidRPr="00E57A6A" w:rsidRDefault="00603F77" w:rsidP="00771E0E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Abstract structured as Background, Methods, Results, Conclusion, Trial registration.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44EAFD9C" w14:textId="77777777" w:rsidR="00603F77" w:rsidRPr="00E57A6A" w:rsidRDefault="00603F77" w:rsidP="00B33B0B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2</w:t>
            </w:r>
          </w:p>
        </w:tc>
      </w:tr>
      <w:tr w:rsidR="00603F77" w:rsidRPr="00B33B0B" w14:paraId="73BE0BC3" w14:textId="77777777" w:rsidTr="00932EC1">
        <w:trPr>
          <w:trHeight w:val="170"/>
        </w:trPr>
        <w:tc>
          <w:tcPr>
            <w:tcW w:w="1554" w:type="dxa"/>
            <w:tcBorders>
              <w:top w:val="nil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4B94D5A5" w14:textId="77777777" w:rsidR="00603F77" w:rsidRPr="00E57A6A" w:rsidRDefault="00603F77" w:rsidP="005979B8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3DEEC669" w14:textId="77777777" w:rsidR="00603F77" w:rsidRPr="00E57A6A" w:rsidRDefault="00603F77" w:rsidP="00603F77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vAlign w:val="center"/>
          </w:tcPr>
          <w:p w14:paraId="33C20AD6" w14:textId="77777777" w:rsidR="00603F77" w:rsidRPr="00E57A6A" w:rsidRDefault="00603F77" w:rsidP="00771E0E">
            <w:pPr>
              <w:pStyle w:val="Default"/>
              <w:numPr>
                <w:ilvl w:val="0"/>
                <w:numId w:val="1"/>
              </w:numPr>
              <w:ind w:left="158" w:hanging="15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Information on target population or study sample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5" w:space="0" w:color="000000"/>
              <w:bottom w:val="double" w:sz="6" w:space="0" w:color="000000"/>
              <w:right w:val="single" w:sz="6" w:space="0" w:color="000000"/>
            </w:tcBorders>
          </w:tcPr>
          <w:p w14:paraId="3656B9AB" w14:textId="3A823782" w:rsidR="00603F77" w:rsidRPr="00E57A6A" w:rsidRDefault="00603F77" w:rsidP="00771E0E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 xml:space="preserve">Yes. Abstract Background and Methods: frail older adults acutely hospitalised; 141 recruited; comparative analysis of 118 meeting FORTRESS criteria (age </w:t>
            </w:r>
            <w:r w:rsidR="00932EC1">
              <w:t xml:space="preserve">≥ </w:t>
            </w:r>
            <w:r>
              <w:t xml:space="preserve">75, MMSE </w:t>
            </w:r>
            <w:r w:rsidR="00932EC1">
              <w:t xml:space="preserve">≥ </w:t>
            </w:r>
            <w:r>
              <w:t>24) vs 110 historical controls.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45FB0818" w14:textId="77777777" w:rsidR="00603F77" w:rsidRPr="00E57A6A" w:rsidRDefault="00603F77" w:rsidP="00B33B0B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1-2</w:t>
            </w:r>
          </w:p>
        </w:tc>
      </w:tr>
      <w:tr w:rsidR="00603F77" w:rsidRPr="00B33B0B" w14:paraId="2C8B4F07" w14:textId="77777777" w:rsidTr="00932EC1">
        <w:trPr>
          <w:trHeight w:val="219"/>
        </w:trPr>
        <w:tc>
          <w:tcPr>
            <w:tcW w:w="6355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265ADDB" w14:textId="77777777" w:rsidR="00603F77" w:rsidRPr="00E57A6A" w:rsidRDefault="00603F77" w:rsidP="005E50CB">
            <w:pPr>
              <w:pStyle w:val="Default"/>
              <w:ind w:left="-9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INTRODUCTION</w:t>
            </w:r>
          </w:p>
        </w:tc>
        <w:tc>
          <w:tcPr>
            <w:tcW w:w="7247" w:type="dxa"/>
            <w:tcBorders>
              <w:top w:val="doub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049F31CB" w14:textId="77777777" w:rsidR="00603F77" w:rsidRPr="00E57A6A" w:rsidRDefault="00603F77">
            <w:pPr>
              <w:pStyle w:val="Default"/>
              <w:jc w:val="righ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  <w:tcBorders>
              <w:top w:val="double" w:sz="6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FFFFCC"/>
          </w:tcPr>
          <w:p w14:paraId="53128261" w14:textId="77777777" w:rsidR="00603F77" w:rsidRPr="00E57A6A" w:rsidRDefault="00603F77">
            <w:pPr>
              <w:pStyle w:val="Default"/>
              <w:jc w:val="righ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</w:p>
        </w:tc>
      </w:tr>
      <w:tr w:rsidR="00603F77" w:rsidRPr="00B33B0B" w14:paraId="3F9EECBF" w14:textId="77777777" w:rsidTr="00932EC1">
        <w:trPr>
          <w:trHeight w:val="309"/>
        </w:trPr>
        <w:tc>
          <w:tcPr>
            <w:tcW w:w="1554" w:type="dxa"/>
            <w:tcBorders>
              <w:top w:val="single" w:sz="6" w:space="0" w:color="000000"/>
              <w:left w:val="single" w:sz="5" w:space="0" w:color="000000"/>
              <w:bottom w:val="nil"/>
              <w:right w:val="single" w:sz="6" w:space="0" w:color="000000"/>
            </w:tcBorders>
          </w:tcPr>
          <w:p w14:paraId="66EF5347" w14:textId="77777777" w:rsidR="00603F77" w:rsidRPr="00E57A6A" w:rsidRDefault="00603F77" w:rsidP="005979B8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 xml:space="preserve">Background 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8F999B5" w14:textId="77777777" w:rsidR="00603F77" w:rsidRPr="00E57A6A" w:rsidRDefault="00603F77" w:rsidP="00005F88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2</w:t>
            </w:r>
          </w:p>
        </w:tc>
        <w:tc>
          <w:tcPr>
            <w:tcW w:w="435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22D503A8" w14:textId="77777777" w:rsidR="00603F77" w:rsidRPr="00E57A6A" w:rsidRDefault="00603F77" w:rsidP="00771E0E">
            <w:pPr>
              <w:pStyle w:val="Default"/>
              <w:numPr>
                <w:ilvl w:val="0"/>
                <w:numId w:val="2"/>
              </w:numPr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Scientific background and explanation of rationale</w:t>
            </w:r>
          </w:p>
        </w:tc>
        <w:tc>
          <w:tcPr>
            <w:tcW w:w="724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2486C05" w14:textId="77777777" w:rsidR="00603F77" w:rsidRPr="00E57A6A" w:rsidRDefault="00603F77" w:rsidP="00771E0E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Background: frailty burden in hospitalised older adults, limited intensive rehabilitation, FORTRESS rationale and audit of evidence-practice gaps in usual care.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4101652C" w14:textId="77777777" w:rsidR="00603F77" w:rsidRPr="00E57A6A" w:rsidRDefault="00603F77" w:rsidP="00EB7EDE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3-4</w:t>
            </w:r>
          </w:p>
        </w:tc>
      </w:tr>
      <w:tr w:rsidR="00005F88" w:rsidRPr="00B33B0B" w14:paraId="046EDA2D" w14:textId="77777777" w:rsidTr="00932EC1">
        <w:trPr>
          <w:trHeight w:val="215"/>
        </w:trPr>
        <w:tc>
          <w:tcPr>
            <w:tcW w:w="1554" w:type="dxa"/>
            <w:tcBorders>
              <w:top w:val="nil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4B99056E" w14:textId="77777777" w:rsidR="00005F88" w:rsidRPr="00E57A6A" w:rsidRDefault="00005F88" w:rsidP="005979B8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1299C43A" w14:textId="77777777" w:rsidR="00005F88" w:rsidRPr="00E57A6A" w:rsidRDefault="00005F88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5F695103" w14:textId="77777777" w:rsidR="00005F88" w:rsidRPr="00E57A6A" w:rsidRDefault="00005F88" w:rsidP="00771E0E">
            <w:pPr>
              <w:pStyle w:val="Default"/>
              <w:numPr>
                <w:ilvl w:val="0"/>
                <w:numId w:val="2"/>
              </w:numPr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 xml:space="preserve">Theories used in designing </w:t>
            </w:r>
            <w:proofErr w:type="spellStart"/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behavioral</w:t>
            </w:r>
            <w:proofErr w:type="spellEnd"/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 xml:space="preserve"> interventions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4DDBEF00" w14:textId="77777777" w:rsidR="00005F88" w:rsidRPr="00E57A6A" w:rsidRDefault="00005F88" w:rsidP="00771E0E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Not applicable in the formal sense: no named behavioural or social science theory was used. Intervention development was based on the prior FORTRESS trial and a clinical audit of usual care.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14:paraId="3461D779" w14:textId="77777777" w:rsidR="00005F88" w:rsidRPr="00E57A6A" w:rsidRDefault="00005F88" w:rsidP="00B33B0B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3-4</w:t>
            </w:r>
          </w:p>
        </w:tc>
      </w:tr>
      <w:tr w:rsidR="00603F77" w:rsidRPr="00B33B0B" w14:paraId="76E6F24E" w14:textId="77777777" w:rsidTr="00932EC1">
        <w:trPr>
          <w:trHeight w:val="255"/>
        </w:trPr>
        <w:tc>
          <w:tcPr>
            <w:tcW w:w="6355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73381B9" w14:textId="77777777" w:rsidR="00603F77" w:rsidRPr="00B33B0B" w:rsidRDefault="00603F77" w:rsidP="005E50CB">
            <w:pPr>
              <w:pStyle w:val="Default"/>
              <w:ind w:left="-9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33B0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METHODS </w:t>
            </w:r>
          </w:p>
        </w:tc>
        <w:tc>
          <w:tcPr>
            <w:tcW w:w="7247" w:type="dxa"/>
            <w:tcBorders>
              <w:top w:val="doub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FFFFCC"/>
          </w:tcPr>
          <w:p w14:paraId="3CF2D8B6" w14:textId="77777777" w:rsidR="00603F77" w:rsidRPr="00B33B0B" w:rsidRDefault="00603F77">
            <w:pPr>
              <w:pStyle w:val="Default"/>
              <w:jc w:val="right"/>
              <w:rPr>
                <w:rFonts w:ascii="Arial" w:hAnsi="Arial" w:cs="Arial"/>
                <w:color w:val="auto"/>
                <w:lang w:val="en-GB"/>
              </w:rPr>
            </w:pPr>
          </w:p>
        </w:tc>
        <w:tc>
          <w:tcPr>
            <w:tcW w:w="993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FFFFCC"/>
          </w:tcPr>
          <w:p w14:paraId="0FB78278" w14:textId="77777777" w:rsidR="00603F77" w:rsidRPr="00B33B0B" w:rsidRDefault="00603F77">
            <w:pPr>
              <w:pStyle w:val="Default"/>
              <w:jc w:val="right"/>
              <w:rPr>
                <w:rFonts w:ascii="Arial" w:hAnsi="Arial" w:cs="Arial"/>
                <w:color w:val="auto"/>
                <w:lang w:val="en-GB"/>
              </w:rPr>
            </w:pPr>
          </w:p>
        </w:tc>
      </w:tr>
      <w:tr w:rsidR="00FC3839" w:rsidRPr="00B33B0B" w14:paraId="03FF2F03" w14:textId="77777777" w:rsidTr="00932EC1">
        <w:trPr>
          <w:trHeight w:val="519"/>
        </w:trPr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8A5D19C" w14:textId="77777777" w:rsidR="00FC3839" w:rsidRPr="00E57A6A" w:rsidRDefault="00FC3839" w:rsidP="00AE3E2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Participants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FCD5EC4" w14:textId="77777777" w:rsidR="00FC3839" w:rsidRPr="00E57A6A" w:rsidRDefault="00FC3839" w:rsidP="00AE3E20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3</w:t>
            </w:r>
          </w:p>
        </w:tc>
        <w:tc>
          <w:tcPr>
            <w:tcW w:w="435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1939E062" w14:textId="77777777" w:rsidR="00FC3839" w:rsidRPr="00E57A6A" w:rsidRDefault="00FC3839" w:rsidP="00771E0E">
            <w:pPr>
              <w:pStyle w:val="Default"/>
              <w:numPr>
                <w:ilvl w:val="0"/>
                <w:numId w:val="3"/>
              </w:numPr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Eligibility criteria for participants, including criteria at different levels in recruitment/sampling plan (e.g., cities, clinics, subjects)</w:t>
            </w:r>
          </w:p>
        </w:tc>
        <w:tc>
          <w:tcPr>
            <w:tcW w:w="724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FC39945" w14:textId="2D419112" w:rsidR="00FC3839" w:rsidRPr="00E57A6A" w:rsidRDefault="00FC3839" w:rsidP="00AE3E20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 xml:space="preserve">Yes. Methods - Recruitment: community-dwelling adults aged &gt;=70, acute medical illness, FRAIL scale </w:t>
            </w:r>
            <w:r w:rsidR="00932EC1">
              <w:t xml:space="preserve">≥ </w:t>
            </w:r>
            <w:r>
              <w:t xml:space="preserve">3, MMSE </w:t>
            </w:r>
            <w:r w:rsidR="00932EC1">
              <w:t xml:space="preserve">≥ </w:t>
            </w:r>
            <w:r>
              <w:t xml:space="preserve">22, expected survival </w:t>
            </w:r>
            <w:r w:rsidR="00932EC1">
              <w:t xml:space="preserve">≥ </w:t>
            </w:r>
            <w:r>
              <w:t xml:space="preserve">12 months (Illness Severity Rating), sufficient English; exclusions: palliative care, not community-dwelling, new stroke. Broader than FORTRESS (age </w:t>
            </w:r>
            <w:r w:rsidR="00932EC1">
              <w:t xml:space="preserve">≥ </w:t>
            </w:r>
            <w:r>
              <w:t xml:space="preserve">75, MMSE </w:t>
            </w:r>
            <w:r w:rsidR="00932EC1">
              <w:t xml:space="preserve">≥ </w:t>
            </w:r>
            <w:r>
              <w:t>24); comparative analysis restricted to participants meeting FORTRESS criteria.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0562CB0E" w14:textId="77777777" w:rsidR="00FC3839" w:rsidRPr="00E57A6A" w:rsidRDefault="00FC3839" w:rsidP="00085159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7-8</w:t>
            </w:r>
          </w:p>
        </w:tc>
      </w:tr>
      <w:tr w:rsidR="00603F77" w:rsidRPr="00B33B0B" w14:paraId="39F1532C" w14:textId="77777777" w:rsidTr="00932EC1">
        <w:trPr>
          <w:trHeight w:val="452"/>
        </w:trPr>
        <w:tc>
          <w:tcPr>
            <w:tcW w:w="1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4CE0A41" w14:textId="77777777" w:rsidR="00603F77" w:rsidRPr="00E57A6A" w:rsidRDefault="00603F77" w:rsidP="00AE3E2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2EBF3C5" w14:textId="77777777" w:rsidR="00603F77" w:rsidRPr="00E57A6A" w:rsidRDefault="00603F77" w:rsidP="00AE3E2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2BC45285" w14:textId="77777777" w:rsidR="00603F77" w:rsidRPr="00E57A6A" w:rsidRDefault="00603F77" w:rsidP="00771E0E">
            <w:pPr>
              <w:pStyle w:val="Default"/>
              <w:numPr>
                <w:ilvl w:val="0"/>
                <w:numId w:val="3"/>
              </w:numPr>
              <w:spacing w:before="40" w:after="40"/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Method of recruitment (e.g., referral, self-selection), including the sampling method if a systematic sampling plan was implemented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D98A12B" w14:textId="4E63B0EB" w:rsidR="00603F77" w:rsidRPr="00E57A6A" w:rsidRDefault="00603F77" w:rsidP="00AE3E20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Methods</w:t>
            </w:r>
            <w:r w:rsidR="00932EC1">
              <w:t xml:space="preserve">; </w:t>
            </w:r>
            <w:r>
              <w:t>Recruitment: identified via review of electronic medical records; in-person screening on the wards by a study nurse; opt-out consent process approved by the ethics committee; screening outcomes and reasons for non-enrolment recorded in REDCap.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2946DB82" w14:textId="77777777" w:rsidR="00603F77" w:rsidRPr="00E57A6A" w:rsidRDefault="00603F77" w:rsidP="00B33B0B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7-8</w:t>
            </w:r>
          </w:p>
        </w:tc>
      </w:tr>
      <w:tr w:rsidR="00FC3839" w:rsidRPr="00B33B0B" w14:paraId="2A259AB1" w14:textId="77777777" w:rsidTr="00932EC1">
        <w:trPr>
          <w:trHeight w:val="209"/>
        </w:trPr>
        <w:tc>
          <w:tcPr>
            <w:tcW w:w="1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997CC1D" w14:textId="77777777" w:rsidR="00FC3839" w:rsidRPr="00E57A6A" w:rsidRDefault="00FC3839" w:rsidP="00AE3E2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10FFD37" w14:textId="77777777" w:rsidR="00FC3839" w:rsidRPr="00E57A6A" w:rsidRDefault="00FC3839" w:rsidP="00AE3E2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21D45404" w14:textId="77777777" w:rsidR="00FC3839" w:rsidRPr="00E57A6A" w:rsidRDefault="00FC3839" w:rsidP="00771E0E">
            <w:pPr>
              <w:pStyle w:val="Default"/>
              <w:numPr>
                <w:ilvl w:val="0"/>
                <w:numId w:val="3"/>
              </w:numPr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Recruitment setting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B699379" w14:textId="77777777" w:rsidR="00FC3839" w:rsidRPr="00E57A6A" w:rsidRDefault="00FC3839" w:rsidP="00771E0E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Three acute hospital wards (2D, 3D, 4D) at Hornsby Ku-ring-gai Hospital, Sydney, Australia.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3FE9F23F" w14:textId="77777777" w:rsidR="00FC3839" w:rsidRPr="00E57A6A" w:rsidRDefault="00FC3839" w:rsidP="00B33B0B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7</w:t>
            </w:r>
          </w:p>
        </w:tc>
      </w:tr>
      <w:tr w:rsidR="00FC3839" w:rsidRPr="00B33B0B" w14:paraId="322210C0" w14:textId="77777777" w:rsidTr="00932EC1">
        <w:trPr>
          <w:trHeight w:val="170"/>
        </w:trPr>
        <w:tc>
          <w:tcPr>
            <w:tcW w:w="1554" w:type="dxa"/>
            <w:tcBorders>
              <w:top w:val="nil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1F72F646" w14:textId="77777777" w:rsidR="00FC3839" w:rsidRPr="00E57A6A" w:rsidRDefault="00FC3839" w:rsidP="00AE3E2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E6F91" w14:textId="77777777" w:rsidR="00FC3839" w:rsidRPr="00E57A6A" w:rsidRDefault="00FC3839" w:rsidP="00AE3E20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C290E" w14:textId="77777777" w:rsidR="00FC3839" w:rsidRPr="00E57A6A" w:rsidRDefault="00FC3839" w:rsidP="00771E0E">
            <w:pPr>
              <w:pStyle w:val="Default"/>
              <w:numPr>
                <w:ilvl w:val="0"/>
                <w:numId w:val="3"/>
              </w:numPr>
              <w:spacing w:before="40" w:after="40"/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Settings and locations where the data were collected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DCEAD" w14:textId="77777777" w:rsidR="00FC3839" w:rsidRPr="00E57A6A" w:rsidRDefault="00FC3839" w:rsidP="00AE3E20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 xml:space="preserve">Yes. Assessments during the index admission, at home visits and by telephone with the exercise physiologist, and from electronic medical </w:t>
            </w:r>
            <w:r>
              <w:lastRenderedPageBreak/>
              <w:t>records.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9E253" w14:textId="77777777" w:rsidR="00FC3839" w:rsidRPr="00E57A6A" w:rsidRDefault="00FC3839" w:rsidP="00B33B0B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lastRenderedPageBreak/>
              <w:t>8-10, 13-14</w:t>
            </w:r>
          </w:p>
        </w:tc>
      </w:tr>
      <w:tr w:rsidR="00603F77" w:rsidRPr="00B33B0B" w14:paraId="7F1D2E6F" w14:textId="77777777" w:rsidTr="00932EC1">
        <w:trPr>
          <w:trHeight w:val="510"/>
        </w:trPr>
        <w:tc>
          <w:tcPr>
            <w:tcW w:w="1554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ADC6FBA" w14:textId="77777777" w:rsidR="00603F77" w:rsidRPr="00E57A6A" w:rsidRDefault="00603F77" w:rsidP="005979B8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Interventions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598DEE6" w14:textId="77777777" w:rsidR="00603F77" w:rsidRPr="00E57A6A" w:rsidRDefault="00603F77" w:rsidP="00005F88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4</w:t>
            </w:r>
          </w:p>
        </w:tc>
        <w:tc>
          <w:tcPr>
            <w:tcW w:w="4357" w:type="dxa"/>
            <w:tcBorders>
              <w:top w:val="single" w:sz="6" w:space="0" w:color="000000"/>
              <w:left w:val="single" w:sz="5" w:space="0" w:color="000000"/>
              <w:bottom w:val="dashed" w:sz="4" w:space="0" w:color="auto"/>
              <w:right w:val="single" w:sz="5" w:space="0" w:color="000000"/>
            </w:tcBorders>
            <w:vAlign w:val="center"/>
          </w:tcPr>
          <w:p w14:paraId="6C4DA957" w14:textId="77777777" w:rsidR="00603F77" w:rsidRPr="00E57A6A" w:rsidRDefault="00603F77" w:rsidP="00771E0E">
            <w:pPr>
              <w:pStyle w:val="Default"/>
              <w:numPr>
                <w:ilvl w:val="0"/>
                <w:numId w:val="5"/>
              </w:numPr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Details of the interventions intended for each study condition and how and when they were actually administered, specifically including:</w:t>
            </w:r>
          </w:p>
        </w:tc>
        <w:tc>
          <w:tcPr>
            <w:tcW w:w="7247" w:type="dxa"/>
            <w:tcBorders>
              <w:top w:val="single" w:sz="6" w:space="0" w:color="000000"/>
              <w:left w:val="single" w:sz="5" w:space="0" w:color="000000"/>
              <w:bottom w:val="dashed" w:sz="4" w:space="0" w:color="auto"/>
              <w:right w:val="single" w:sz="6" w:space="0" w:color="000000"/>
            </w:tcBorders>
          </w:tcPr>
          <w:p w14:paraId="23DE523C" w14:textId="55589EE7" w:rsidR="00603F77" w:rsidRPr="00E57A6A" w:rsidRDefault="00603F77" w:rsidP="00771E0E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Methods</w:t>
            </w:r>
            <w:r w:rsidR="00933FC5">
              <w:t xml:space="preserve">; </w:t>
            </w:r>
            <w:r>
              <w:t>The FORTRESS intervention and The FORTRESS Plus intervention sections.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52E56223" w14:textId="77777777" w:rsidR="00603F77" w:rsidRPr="00E57A6A" w:rsidRDefault="00603F77" w:rsidP="00823E0B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8-11</w:t>
            </w:r>
          </w:p>
        </w:tc>
      </w:tr>
      <w:tr w:rsidR="007452C8" w:rsidRPr="00B33B0B" w14:paraId="69585ACC" w14:textId="77777777" w:rsidTr="00932EC1">
        <w:trPr>
          <w:trHeight w:val="197"/>
        </w:trPr>
        <w:tc>
          <w:tcPr>
            <w:tcW w:w="1554" w:type="dxa"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07547A01" w14:textId="77777777" w:rsidR="007452C8" w:rsidRPr="00E57A6A" w:rsidRDefault="007452C8" w:rsidP="005979B8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043CB0F" w14:textId="77777777" w:rsidR="007452C8" w:rsidRPr="00E57A6A" w:rsidRDefault="007452C8" w:rsidP="00005F88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7A29A3DA" w14:textId="77777777" w:rsidR="007452C8" w:rsidRPr="00E57A6A" w:rsidRDefault="007452C8" w:rsidP="00771E0E">
            <w:pPr>
              <w:pStyle w:val="Default"/>
              <w:numPr>
                <w:ilvl w:val="1"/>
                <w:numId w:val="5"/>
              </w:numPr>
              <w:ind w:left="342" w:hanging="19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Content: what was given?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7459315" w14:textId="77777777" w:rsidR="007452C8" w:rsidRPr="00E57A6A" w:rsidRDefault="007452C8" w:rsidP="00771E0E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FORTRESS Plus: comprehensive geriatric assessment, pharmacy review with deprescribing recommendations, dietetic intervention where indicated, individualised Frailty Management Plan, up to seven weekly supervised home-based exercise visits adapted from the Otago Exercise Programme.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537F28F" w14:textId="77777777" w:rsidR="007452C8" w:rsidRPr="00E57A6A" w:rsidRDefault="007452C8" w:rsidP="00771E0E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10</w:t>
            </w:r>
          </w:p>
        </w:tc>
      </w:tr>
      <w:tr w:rsidR="007452C8" w:rsidRPr="00B33B0B" w14:paraId="2C940AB5" w14:textId="77777777" w:rsidTr="00932EC1">
        <w:trPr>
          <w:trHeight w:val="125"/>
        </w:trPr>
        <w:tc>
          <w:tcPr>
            <w:tcW w:w="1554" w:type="dxa"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6DFB9E20" w14:textId="77777777" w:rsidR="007452C8" w:rsidRPr="00E57A6A" w:rsidRDefault="007452C8" w:rsidP="005979B8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0DF9E56" w14:textId="77777777" w:rsidR="007452C8" w:rsidRPr="00E57A6A" w:rsidRDefault="007452C8" w:rsidP="00005F88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3F839E89" w14:textId="77777777" w:rsidR="007452C8" w:rsidRPr="00E57A6A" w:rsidRDefault="007452C8" w:rsidP="00771E0E">
            <w:pPr>
              <w:pStyle w:val="Default"/>
              <w:numPr>
                <w:ilvl w:val="1"/>
                <w:numId w:val="4"/>
              </w:numPr>
              <w:ind w:left="342" w:hanging="19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Delivery method: how was the content given?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4E871BC" w14:textId="77777777" w:rsidR="007452C8" w:rsidRPr="00E57A6A" w:rsidRDefault="007452C8" w:rsidP="00771E0E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In-hospital delivery by the study team; post-discharge supervised home visits by an exercise physiologist; motivational interviewing to establish participant-nominated SMART goals.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44A5D23" w14:textId="77777777" w:rsidR="007452C8" w:rsidRPr="00E57A6A" w:rsidRDefault="007452C8" w:rsidP="00F71F95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11-12</w:t>
            </w:r>
          </w:p>
        </w:tc>
      </w:tr>
      <w:tr w:rsidR="00346406" w:rsidRPr="00B33B0B" w14:paraId="2A3E17D8" w14:textId="77777777" w:rsidTr="00932EC1">
        <w:trPr>
          <w:trHeight w:val="215"/>
        </w:trPr>
        <w:tc>
          <w:tcPr>
            <w:tcW w:w="1554" w:type="dxa"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738610EB" w14:textId="77777777" w:rsidR="00346406" w:rsidRPr="00E57A6A" w:rsidRDefault="00346406" w:rsidP="005979B8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37805D2" w14:textId="77777777" w:rsidR="00346406" w:rsidRPr="00E57A6A" w:rsidRDefault="00346406" w:rsidP="00005F88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1D5F0543" w14:textId="77777777" w:rsidR="00346406" w:rsidRPr="00E57A6A" w:rsidRDefault="007452C8" w:rsidP="00771E0E">
            <w:pPr>
              <w:pStyle w:val="Default"/>
              <w:numPr>
                <w:ilvl w:val="1"/>
                <w:numId w:val="4"/>
              </w:numPr>
              <w:ind w:left="342" w:hanging="19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 xml:space="preserve">Unit of delivery: how were subjects grouped during delivery? 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63F29E8" w14:textId="64D40148" w:rsidR="00346406" w:rsidRPr="00E57A6A" w:rsidRDefault="00346406" w:rsidP="00771E0E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Individual participants (one-</w:t>
            </w:r>
            <w:r w:rsidR="00932EC1">
              <w:t>on</w:t>
            </w:r>
            <w:r>
              <w:t>-one home visits).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3B7B4B86" w14:textId="77777777" w:rsidR="00346406" w:rsidRPr="00E57A6A" w:rsidRDefault="00346406" w:rsidP="00771E0E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10</w:t>
            </w:r>
          </w:p>
        </w:tc>
      </w:tr>
      <w:tr w:rsidR="00346406" w:rsidRPr="00B33B0B" w14:paraId="42ECC385" w14:textId="77777777" w:rsidTr="00932EC1">
        <w:trPr>
          <w:trHeight w:val="299"/>
        </w:trPr>
        <w:tc>
          <w:tcPr>
            <w:tcW w:w="1554" w:type="dxa"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3A0FF5F2" w14:textId="77777777" w:rsidR="00346406" w:rsidRPr="00E57A6A" w:rsidRDefault="00346406" w:rsidP="005979B8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630AD66" w14:textId="77777777" w:rsidR="00346406" w:rsidRPr="00E57A6A" w:rsidRDefault="00346406" w:rsidP="00005F88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0E213C93" w14:textId="77777777" w:rsidR="00346406" w:rsidRPr="00E57A6A" w:rsidRDefault="00346406" w:rsidP="00771E0E">
            <w:pPr>
              <w:pStyle w:val="Default"/>
              <w:numPr>
                <w:ilvl w:val="1"/>
                <w:numId w:val="4"/>
              </w:numPr>
              <w:ind w:left="342" w:hanging="19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 xml:space="preserve">Deliverer: who delivered the intervention? 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1829076" w14:textId="42459864" w:rsidR="00346406" w:rsidRPr="00E57A6A" w:rsidRDefault="00346406" w:rsidP="00771E0E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 xml:space="preserve">Yes. Exercise physiologist delivered the post-discharge exercise programme; study </w:t>
            </w:r>
            <w:r w:rsidR="00C230E5">
              <w:t>P</w:t>
            </w:r>
            <w:r>
              <w:t>harmacist conducted medication reconciliation and review.</w:t>
            </w:r>
            <w:r w:rsidR="00C230E5">
              <w:t xml:space="preserve"> Study Geriatrician delivered the comprehensive geriatric assessment in the hospital. Ward Dietician provided assessment during the index hospital admission. 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BA226A1" w14:textId="77777777" w:rsidR="00346406" w:rsidRPr="00E57A6A" w:rsidRDefault="00346406" w:rsidP="00771E0E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9-10</w:t>
            </w:r>
          </w:p>
        </w:tc>
      </w:tr>
      <w:tr w:rsidR="00FB15AC" w:rsidRPr="00B33B0B" w14:paraId="036D9BB4" w14:textId="77777777" w:rsidTr="00932EC1">
        <w:trPr>
          <w:trHeight w:val="227"/>
        </w:trPr>
        <w:tc>
          <w:tcPr>
            <w:tcW w:w="1554" w:type="dxa"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17AD93B2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DE4B5B7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7666FFB4" w14:textId="77777777" w:rsidR="00FB15AC" w:rsidRPr="00E57A6A" w:rsidRDefault="00FB15AC" w:rsidP="00FB15AC">
            <w:pPr>
              <w:pStyle w:val="Default"/>
              <w:numPr>
                <w:ilvl w:val="1"/>
                <w:numId w:val="4"/>
              </w:numPr>
              <w:ind w:left="342" w:hanging="19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 xml:space="preserve">Setting: where was the intervention delivered? 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6204FF1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Hospital (index admission) and participants' homes after discharge.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2DBF0D7D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9-10</w:t>
            </w:r>
          </w:p>
        </w:tc>
      </w:tr>
      <w:tr w:rsidR="00FB15AC" w:rsidRPr="00B33B0B" w14:paraId="6D771564" w14:textId="77777777" w:rsidTr="00932EC1">
        <w:trPr>
          <w:trHeight w:val="425"/>
        </w:trPr>
        <w:tc>
          <w:tcPr>
            <w:tcW w:w="1554" w:type="dxa"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6B62F1B3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2F2C34E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73DEC43C" w14:textId="77777777" w:rsidR="00FB15AC" w:rsidRPr="00E57A6A" w:rsidRDefault="00FB15AC" w:rsidP="00FB15AC">
            <w:pPr>
              <w:pStyle w:val="Default"/>
              <w:numPr>
                <w:ilvl w:val="1"/>
                <w:numId w:val="4"/>
              </w:numPr>
              <w:ind w:left="342" w:hanging="19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 xml:space="preserve">Exposure quantity and duration: how many sessions or episodes or events were intended to be delivered? How long were they intended to last? 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80A4E5D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Up to seven weekly supervised home visits of approximately 30-60 minutes; median 7 attended (IQR 5-7); 54 of 84 completed all seven sessions.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9219836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10, 23</w:t>
            </w:r>
          </w:p>
        </w:tc>
      </w:tr>
      <w:tr w:rsidR="00FB15AC" w:rsidRPr="00B33B0B" w14:paraId="12B3BF81" w14:textId="77777777" w:rsidTr="00932EC1">
        <w:trPr>
          <w:trHeight w:val="333"/>
        </w:trPr>
        <w:tc>
          <w:tcPr>
            <w:tcW w:w="1554" w:type="dxa"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296FEF7D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194DBDC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5B38BFE5" w14:textId="77777777" w:rsidR="00FB15AC" w:rsidRPr="00E57A6A" w:rsidRDefault="00FB15AC" w:rsidP="00FB15AC">
            <w:pPr>
              <w:pStyle w:val="Default"/>
              <w:numPr>
                <w:ilvl w:val="1"/>
                <w:numId w:val="4"/>
              </w:numPr>
              <w:ind w:left="342" w:hanging="19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 xml:space="preserve">Time span: how long was it intended to take to deliver the intervention to each unit? 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69D0D3C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Visits commenced within one week of discharge where possible and continued weekly for up to seven weeks.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4CD245A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10</w:t>
            </w:r>
          </w:p>
        </w:tc>
      </w:tr>
      <w:tr w:rsidR="00FB15AC" w:rsidRPr="00B33B0B" w14:paraId="2A861A9A" w14:textId="77777777" w:rsidTr="00932EC1">
        <w:trPr>
          <w:trHeight w:val="125"/>
        </w:trPr>
        <w:tc>
          <w:tcPr>
            <w:tcW w:w="15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1BE67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EB5B0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6C053" w14:textId="77777777" w:rsidR="00FB15AC" w:rsidRPr="00E57A6A" w:rsidRDefault="00FB15AC" w:rsidP="00FB15AC">
            <w:pPr>
              <w:pStyle w:val="Default"/>
              <w:numPr>
                <w:ilvl w:val="1"/>
                <w:numId w:val="4"/>
              </w:numPr>
              <w:ind w:left="342" w:hanging="19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 xml:space="preserve">Activities to increase compliance or adherence (e.g., incentives) 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30D7AA69" w14:textId="5F03A2E5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 xml:space="preserve">Yes. Participant-maintained exercise logs and exercise physiologist records; encouragement to exercise between visits and attend community-based programmes; adherence reported in Results (mean 4.9 self-reported sessions/week; 62/84 rated </w:t>
            </w:r>
            <w:r w:rsidR="00932EC1">
              <w:t>“</w:t>
            </w:r>
            <w:r>
              <w:t>very</w:t>
            </w:r>
            <w:r w:rsidR="00932EC1">
              <w:t xml:space="preserve"> adherent” </w:t>
            </w:r>
            <w:r>
              <w:t xml:space="preserve">or </w:t>
            </w:r>
            <w:r w:rsidR="00932EC1">
              <w:t>“</w:t>
            </w:r>
            <w:r>
              <w:t>quite adherent</w:t>
            </w:r>
            <w:r w:rsidR="00932EC1">
              <w:t>”</w:t>
            </w:r>
            <w:r>
              <w:t>).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6D064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10-11, 23</w:t>
            </w:r>
          </w:p>
        </w:tc>
      </w:tr>
      <w:tr w:rsidR="00FB15AC" w:rsidRPr="00B33B0B" w14:paraId="16716202" w14:textId="77777777" w:rsidTr="00932EC1">
        <w:trPr>
          <w:trHeight w:val="435"/>
        </w:trPr>
        <w:tc>
          <w:tcPr>
            <w:tcW w:w="155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106DD217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Objectives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8941E47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</w:p>
        </w:tc>
        <w:tc>
          <w:tcPr>
            <w:tcW w:w="435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5E81FD" w14:textId="77777777" w:rsidR="00FB15AC" w:rsidRPr="00E57A6A" w:rsidRDefault="00FB15AC" w:rsidP="00FB15AC">
            <w:pPr>
              <w:pStyle w:val="Default"/>
              <w:numPr>
                <w:ilvl w:val="0"/>
                <w:numId w:val="5"/>
              </w:numPr>
              <w:spacing w:before="40" w:after="40"/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Specific objectives and hypotheses</w:t>
            </w:r>
          </w:p>
        </w:tc>
        <w:tc>
          <w:tcPr>
            <w:tcW w:w="724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FF1C98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Background, final paragraph: whether the FORTRESS Plus intervention was associated with greater improvement in health-related quality of life than the less intensive FORTRESS intervention, and description of changes in physical function, mood, medication burden, social support and readmissions.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center"/>
          </w:tcPr>
          <w:p w14:paraId="6D072C0D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5-6</w:t>
            </w:r>
          </w:p>
        </w:tc>
      </w:tr>
      <w:tr w:rsidR="00FB15AC" w:rsidRPr="00B33B0B" w14:paraId="5E2D304C" w14:textId="77777777" w:rsidTr="00932EC1">
        <w:trPr>
          <w:trHeight w:val="237"/>
        </w:trPr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ABB3E09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lastRenderedPageBreak/>
              <w:t>Outcomes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9B4EA11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6</w:t>
            </w:r>
          </w:p>
        </w:tc>
        <w:tc>
          <w:tcPr>
            <w:tcW w:w="435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5" w:space="0" w:color="000000"/>
            </w:tcBorders>
            <w:vAlign w:val="center"/>
          </w:tcPr>
          <w:p w14:paraId="48BAE867" w14:textId="77777777" w:rsidR="00FB15AC" w:rsidRPr="00E57A6A" w:rsidRDefault="00FB15AC" w:rsidP="00FB15AC">
            <w:pPr>
              <w:pStyle w:val="Default"/>
              <w:numPr>
                <w:ilvl w:val="0"/>
                <w:numId w:val="5"/>
              </w:numPr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Clearly defined primary and secondary outcome measures</w:t>
            </w:r>
          </w:p>
        </w:tc>
        <w:tc>
          <w:tcPr>
            <w:tcW w:w="7247" w:type="dxa"/>
            <w:tcBorders>
              <w:top w:val="single" w:sz="6" w:space="0" w:color="000000"/>
              <w:left w:val="single" w:sz="5" w:space="0" w:color="000000"/>
              <w:bottom w:val="dashed" w:sz="4" w:space="0" w:color="auto"/>
              <w:right w:val="single" w:sz="5" w:space="0" w:color="000000"/>
            </w:tcBorders>
          </w:tcPr>
          <w:p w14:paraId="48A21919" w14:textId="1644DBCF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Methods</w:t>
            </w:r>
            <w:r w:rsidR="00932EC1">
              <w:t xml:space="preserve">; </w:t>
            </w:r>
            <w:r>
              <w:t>Outcomes and assessments: primary outcome EQ-5D-5L index; secondary EQ-5D VAS, SPPB, GDS-15, readmissions, social support, Drug Burden Index; schedule in Table 1.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5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6BD18F9B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13-15</w:t>
            </w:r>
          </w:p>
        </w:tc>
      </w:tr>
      <w:tr w:rsidR="00FB15AC" w:rsidRPr="00B33B0B" w14:paraId="193B9BE0" w14:textId="77777777" w:rsidTr="00932EC1">
        <w:trPr>
          <w:trHeight w:val="272"/>
        </w:trPr>
        <w:tc>
          <w:tcPr>
            <w:tcW w:w="1554" w:type="dxa"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238601FE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F3CABC7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70C466F1" w14:textId="77777777" w:rsidR="00FB15AC" w:rsidRPr="00E57A6A" w:rsidRDefault="00FB15AC" w:rsidP="00FB15AC">
            <w:pPr>
              <w:pStyle w:val="Default"/>
              <w:numPr>
                <w:ilvl w:val="0"/>
                <w:numId w:val="5"/>
              </w:numPr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Methods used to collect data and any methods used to enhance the quality of measurements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B08B5D1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Assessments at admission, first home visit, 4 and 12 months; readmissions and prior hospitalisation from electronic medical records; REDCap data capture.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16DEB4AB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13-15</w:t>
            </w:r>
          </w:p>
        </w:tc>
      </w:tr>
      <w:tr w:rsidR="00FB15AC" w:rsidRPr="00B33B0B" w14:paraId="73781726" w14:textId="77777777" w:rsidTr="00932EC1">
        <w:trPr>
          <w:trHeight w:val="107"/>
        </w:trPr>
        <w:tc>
          <w:tcPr>
            <w:tcW w:w="15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9C6F4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F511A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8141E5A" w14:textId="77777777" w:rsidR="00FB15AC" w:rsidRPr="00E57A6A" w:rsidRDefault="00FB15AC" w:rsidP="00FB15AC">
            <w:pPr>
              <w:pStyle w:val="Default"/>
              <w:numPr>
                <w:ilvl w:val="0"/>
                <w:numId w:val="5"/>
              </w:numPr>
              <w:spacing w:before="40" w:after="40"/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Information on validated instruments such as psychometric and biometric properties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F9C3DC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Validated instruments cited: EQ-5D-5L Australian value set (ref 17), SPPB (ref 18), GDS-15 (ref 16), FRAIL scale (ref 11), SMMSE (ref 12).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center"/>
          </w:tcPr>
          <w:p w14:paraId="5023141B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13-14</w:t>
            </w:r>
          </w:p>
        </w:tc>
      </w:tr>
      <w:tr w:rsidR="00FB15AC" w:rsidRPr="00B33B0B" w14:paraId="50EE22F6" w14:textId="77777777" w:rsidTr="00932EC1">
        <w:trPr>
          <w:trHeight w:val="333"/>
        </w:trPr>
        <w:tc>
          <w:tcPr>
            <w:tcW w:w="155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881E2B9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Sample size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697EEC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7</w:t>
            </w:r>
          </w:p>
        </w:tc>
        <w:tc>
          <w:tcPr>
            <w:tcW w:w="4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5DABFA" w14:textId="77777777" w:rsidR="00FB15AC" w:rsidRPr="00E57A6A" w:rsidRDefault="00FB15AC" w:rsidP="00FB15AC">
            <w:pPr>
              <w:pStyle w:val="Default"/>
              <w:numPr>
                <w:ilvl w:val="0"/>
                <w:numId w:val="6"/>
              </w:numPr>
              <w:spacing w:before="40" w:after="40"/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How sample size was determined and, when applicable, explanation of any interim analyses and stopping rules</w:t>
            </w:r>
          </w:p>
        </w:tc>
        <w:tc>
          <w:tcPr>
            <w:tcW w:w="7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B1409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Planned 106 participants meeting FORTRESS criteria; 80% power, two-sided alpha 0.05, standardised difference 0.5; 141 recruited. No interim analyses or stopping rules.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center"/>
          </w:tcPr>
          <w:p w14:paraId="562C75D1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13</w:t>
            </w:r>
          </w:p>
        </w:tc>
      </w:tr>
      <w:tr w:rsidR="00FB15AC" w:rsidRPr="00B33B0B" w14:paraId="7C48E287" w14:textId="77777777" w:rsidTr="00932EC1">
        <w:trPr>
          <w:trHeight w:val="240"/>
        </w:trPr>
        <w:tc>
          <w:tcPr>
            <w:tcW w:w="1554" w:type="dxa"/>
            <w:vMerge w:val="restart"/>
            <w:tcBorders>
              <w:top w:val="single" w:sz="6" w:space="0" w:color="000000"/>
              <w:left w:val="single" w:sz="5" w:space="0" w:color="000000"/>
              <w:right w:val="single" w:sz="6" w:space="0" w:color="000000"/>
            </w:tcBorders>
          </w:tcPr>
          <w:p w14:paraId="377D11F7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Assignment method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4B0A208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8</w:t>
            </w:r>
          </w:p>
        </w:tc>
        <w:tc>
          <w:tcPr>
            <w:tcW w:w="4357" w:type="dxa"/>
            <w:tcBorders>
              <w:top w:val="single" w:sz="5" w:space="0" w:color="000000"/>
              <w:left w:val="single" w:sz="6" w:space="0" w:color="000000"/>
              <w:bottom w:val="dashed" w:sz="4" w:space="0" w:color="auto"/>
              <w:right w:val="single" w:sz="5" w:space="0" w:color="000000"/>
            </w:tcBorders>
            <w:vAlign w:val="center"/>
          </w:tcPr>
          <w:p w14:paraId="15B07664" w14:textId="77777777" w:rsidR="00FB15AC" w:rsidRPr="00E57A6A" w:rsidRDefault="00FB15AC" w:rsidP="00FB15AC">
            <w:pPr>
              <w:pStyle w:val="Default"/>
              <w:numPr>
                <w:ilvl w:val="0"/>
                <w:numId w:val="6"/>
              </w:numPr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Unit of assignment (the unit being assigned to study condition, e.g., individual, group, community)</w:t>
            </w:r>
          </w:p>
        </w:tc>
        <w:tc>
          <w:tcPr>
            <w:tcW w:w="7247" w:type="dxa"/>
            <w:tcBorders>
              <w:top w:val="single" w:sz="5" w:space="0" w:color="000000"/>
              <w:left w:val="single" w:sz="5" w:space="0" w:color="000000"/>
              <w:bottom w:val="dashed" w:sz="4" w:space="0" w:color="auto"/>
              <w:right w:val="single" w:sz="5" w:space="0" w:color="000000"/>
            </w:tcBorders>
          </w:tcPr>
          <w:p w14:paraId="664355AD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Individual participants; all enrolled participants received the FORTRESS Plus intervention. Historical controls from the FORTRESS study intervention arm were not assigned within this study.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1A965116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6</w:t>
            </w:r>
          </w:p>
        </w:tc>
      </w:tr>
      <w:tr w:rsidR="00FB15AC" w:rsidRPr="00B33B0B" w14:paraId="5E77C43E" w14:textId="77777777" w:rsidTr="00932EC1">
        <w:trPr>
          <w:trHeight w:val="440"/>
        </w:trPr>
        <w:tc>
          <w:tcPr>
            <w:tcW w:w="1554" w:type="dxa"/>
            <w:vMerge/>
            <w:tcBorders>
              <w:left w:val="single" w:sz="5" w:space="0" w:color="000000"/>
              <w:right w:val="single" w:sz="6" w:space="0" w:color="000000"/>
            </w:tcBorders>
          </w:tcPr>
          <w:p w14:paraId="7DF4E37C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44FB30F8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5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4BC5AC38" w14:textId="77777777" w:rsidR="00FB15AC" w:rsidRPr="00E57A6A" w:rsidRDefault="00FB15AC" w:rsidP="00FB15AC">
            <w:pPr>
              <w:pStyle w:val="Default"/>
              <w:numPr>
                <w:ilvl w:val="0"/>
                <w:numId w:val="6"/>
              </w:numPr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Method used to assign units to study conditions, including details of any restriction (e.g., blocking, stratification, minimization)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DA6542E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Not applicable: no assignment to study conditions occurred. Single-arm design; comparison is with historical controls recruited in the earlier FORTRESS study.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3041E394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6</w:t>
            </w:r>
          </w:p>
        </w:tc>
      </w:tr>
      <w:tr w:rsidR="00FB15AC" w:rsidRPr="00B33B0B" w14:paraId="669694FE" w14:textId="77777777" w:rsidTr="00932EC1">
        <w:trPr>
          <w:trHeight w:val="242"/>
        </w:trPr>
        <w:tc>
          <w:tcPr>
            <w:tcW w:w="1554" w:type="dxa"/>
            <w:vMerge/>
            <w:tcBorders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722B00AE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6D796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5B8A18" w14:textId="77777777" w:rsidR="00FB15AC" w:rsidRPr="00E57A6A" w:rsidRDefault="00FB15AC" w:rsidP="00FB15AC">
            <w:pPr>
              <w:pStyle w:val="Default"/>
              <w:numPr>
                <w:ilvl w:val="0"/>
                <w:numId w:val="6"/>
              </w:numPr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Inclusion of aspects employed to help minimize potential bias induced due to non-randomization (e.g., matching)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1831B3" w14:textId="0DA16DE9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 xml:space="preserve">Yes. Methods - Study design: same wards and screening procedure as FORTRESS; comparative cohort restricted to original FORTRESS eligibility criteria (age </w:t>
            </w:r>
            <w:r w:rsidR="00932EC1">
              <w:t xml:space="preserve">≥ </w:t>
            </w:r>
            <w:r>
              <w:t xml:space="preserve">75, MMSE </w:t>
            </w:r>
            <w:r w:rsidR="00932EC1">
              <w:t xml:space="preserve">≥ </w:t>
            </w:r>
            <w:r>
              <w:t>24); identical outcome instruments and value set; prespecified covariate adjustment (age, sex, baseline FRAIL, baseline MMSE, prior hospitalisation; ward and participant random effects); causal-inference analysis (augmented inverse probability weighting).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center"/>
          </w:tcPr>
          <w:p w14:paraId="54E11D2A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6-7</w:t>
            </w:r>
          </w:p>
        </w:tc>
      </w:tr>
      <w:tr w:rsidR="00FB15AC" w:rsidRPr="00B33B0B" w14:paraId="51F8245A" w14:textId="77777777" w:rsidTr="00932EC1">
        <w:trPr>
          <w:trHeight w:val="399"/>
        </w:trPr>
        <w:tc>
          <w:tcPr>
            <w:tcW w:w="1554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DC834E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Blinding (masking)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2B7304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9</w:t>
            </w:r>
          </w:p>
        </w:tc>
        <w:tc>
          <w:tcPr>
            <w:tcW w:w="4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7C942E" w14:textId="77777777" w:rsidR="00FB15AC" w:rsidRPr="00E57A6A" w:rsidRDefault="00FB15AC" w:rsidP="00FB15AC">
            <w:pPr>
              <w:pStyle w:val="Default"/>
              <w:numPr>
                <w:ilvl w:val="0"/>
                <w:numId w:val="7"/>
              </w:numPr>
              <w:spacing w:before="40" w:after="40"/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Whether or not participants, those administering the interventions, and those assessing the outcomes were blinded to study condition assignment; if so, statement regarding how the blinding was accomplished and how it was assessed</w:t>
            </w:r>
          </w:p>
        </w:tc>
        <w:tc>
          <w:tcPr>
            <w:tcW w:w="7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126E5D" w14:textId="1635C46B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Methods</w:t>
            </w:r>
            <w:r w:rsidR="00932EC1">
              <w:t xml:space="preserve">; </w:t>
            </w:r>
            <w:r>
              <w:t>Blinding: no blinding. Participants and intervention providers aware of exposure; the exercise physiologist delivered the intervention and conducted follow-up assessments and was not blinded; historical data abstractors were blinded to hypotheses and cohort status.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center"/>
          </w:tcPr>
          <w:p w14:paraId="2DE403A5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12</w:t>
            </w:r>
          </w:p>
        </w:tc>
      </w:tr>
      <w:tr w:rsidR="00FB15AC" w:rsidRPr="00B33B0B" w14:paraId="45E8C869" w14:textId="77777777" w:rsidTr="00932EC1">
        <w:trPr>
          <w:trHeight w:val="438"/>
        </w:trPr>
        <w:tc>
          <w:tcPr>
            <w:tcW w:w="155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E7409D3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Unit of Analysis</w:t>
            </w:r>
          </w:p>
        </w:tc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D369756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10</w:t>
            </w:r>
          </w:p>
        </w:tc>
        <w:tc>
          <w:tcPr>
            <w:tcW w:w="4357" w:type="dxa"/>
            <w:tcBorders>
              <w:top w:val="single" w:sz="5" w:space="0" w:color="000000"/>
              <w:left w:val="single" w:sz="5" w:space="0" w:color="000000"/>
              <w:bottom w:val="dashed" w:sz="4" w:space="0" w:color="auto"/>
              <w:right w:val="single" w:sz="5" w:space="0" w:color="000000"/>
            </w:tcBorders>
            <w:vAlign w:val="center"/>
          </w:tcPr>
          <w:p w14:paraId="5911EC0D" w14:textId="77777777" w:rsidR="00FB15AC" w:rsidRPr="00E57A6A" w:rsidRDefault="00FB15AC" w:rsidP="00FB15AC">
            <w:pPr>
              <w:pStyle w:val="Default"/>
              <w:numPr>
                <w:ilvl w:val="0"/>
                <w:numId w:val="7"/>
              </w:numPr>
              <w:spacing w:before="40" w:after="40"/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 xml:space="preserve">Description of the smallest unit that is being analysed to assess intervention effects (e.g., individual, group, or community) </w:t>
            </w:r>
          </w:p>
        </w:tc>
        <w:tc>
          <w:tcPr>
            <w:tcW w:w="7247" w:type="dxa"/>
            <w:tcBorders>
              <w:top w:val="single" w:sz="5" w:space="0" w:color="000000"/>
              <w:left w:val="single" w:sz="5" w:space="0" w:color="000000"/>
              <w:bottom w:val="dashed" w:sz="4" w:space="0" w:color="auto"/>
              <w:right w:val="single" w:sz="5" w:space="0" w:color="000000"/>
            </w:tcBorders>
          </w:tcPr>
          <w:p w14:paraId="62431CDC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Individual participant; repeated observations within participants modelled using participant-level random effects.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49E398E2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16</w:t>
            </w:r>
          </w:p>
        </w:tc>
      </w:tr>
      <w:tr w:rsidR="00FB15AC" w:rsidRPr="00B33B0B" w14:paraId="1C94176A" w14:textId="77777777" w:rsidTr="00932EC1">
        <w:trPr>
          <w:trHeight w:val="494"/>
        </w:trPr>
        <w:tc>
          <w:tcPr>
            <w:tcW w:w="1554" w:type="dxa"/>
            <w:tcBorders>
              <w:top w:val="nil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16287F21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93A62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81FED0" w14:textId="77777777" w:rsidR="00FB15AC" w:rsidRPr="00E57A6A" w:rsidRDefault="00FB15AC" w:rsidP="00FB15AC">
            <w:pPr>
              <w:pStyle w:val="Default"/>
              <w:numPr>
                <w:ilvl w:val="0"/>
                <w:numId w:val="7"/>
              </w:numPr>
              <w:spacing w:before="40" w:after="40"/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 xml:space="preserve">If the unit of analysis differs from the unit of assignment, the analytical method used to </w:t>
            </w: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lastRenderedPageBreak/>
              <w:t>account for this (e.g., adjusting the standard error estimates by the design effect or using multilevel analysis)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BA73E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lastRenderedPageBreak/>
              <w:t xml:space="preserve">Not applicable: unit of analysis (individual participant) equals the unit of </w:t>
            </w:r>
            <w:r>
              <w:lastRenderedPageBreak/>
              <w:t>exposure.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3F2EB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lastRenderedPageBreak/>
              <w:t>16</w:t>
            </w:r>
          </w:p>
        </w:tc>
      </w:tr>
      <w:tr w:rsidR="00FB15AC" w:rsidRPr="00B33B0B" w14:paraId="65389607" w14:textId="77777777" w:rsidTr="00932EC1">
        <w:trPr>
          <w:trHeight w:val="480"/>
        </w:trPr>
        <w:tc>
          <w:tcPr>
            <w:tcW w:w="1554" w:type="dxa"/>
            <w:vMerge w:val="restart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6A3C9329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Statistical methods</w:t>
            </w:r>
          </w:p>
        </w:tc>
        <w:tc>
          <w:tcPr>
            <w:tcW w:w="444" w:type="dxa"/>
            <w:vMerge w:val="restart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4737E36C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11</w:t>
            </w:r>
          </w:p>
        </w:tc>
        <w:tc>
          <w:tcPr>
            <w:tcW w:w="435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5" w:space="0" w:color="000000"/>
            </w:tcBorders>
            <w:vAlign w:val="center"/>
          </w:tcPr>
          <w:p w14:paraId="62437BA6" w14:textId="77777777" w:rsidR="00FB15AC" w:rsidRPr="00E57A6A" w:rsidRDefault="00FB15AC" w:rsidP="00FB15AC">
            <w:pPr>
              <w:pStyle w:val="Default"/>
              <w:numPr>
                <w:ilvl w:val="0"/>
                <w:numId w:val="8"/>
              </w:numPr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Statistical methods used to compare study groups for primary methods outcome(s), including complex methods for correlated data</w:t>
            </w:r>
          </w:p>
        </w:tc>
        <w:tc>
          <w:tcPr>
            <w:tcW w:w="7247" w:type="dxa"/>
            <w:tcBorders>
              <w:top w:val="single" w:sz="6" w:space="0" w:color="000000"/>
              <w:left w:val="single" w:sz="5" w:space="0" w:color="000000"/>
              <w:bottom w:val="dashed" w:sz="4" w:space="0" w:color="auto"/>
              <w:right w:val="single" w:sz="5" w:space="0" w:color="000000"/>
            </w:tcBorders>
          </w:tcPr>
          <w:p w14:paraId="7D34F5C7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Mixed-effects models with fixed effects (time, study group, age, sex, baseline FRAIL, baseline MMSE, prior hospitalisation) and random effects (ward, participant); primary comparison via time-by-study interaction.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5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0B4020A7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16-17</w:t>
            </w:r>
          </w:p>
        </w:tc>
      </w:tr>
      <w:tr w:rsidR="00FB15AC" w:rsidRPr="00B33B0B" w14:paraId="3C0EE988" w14:textId="77777777" w:rsidTr="00932EC1">
        <w:trPr>
          <w:trHeight w:val="255"/>
        </w:trPr>
        <w:tc>
          <w:tcPr>
            <w:tcW w:w="1554" w:type="dxa"/>
            <w:vMerge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1D7B270A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vMerge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4F904CB7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06FA6476" w14:textId="77777777" w:rsidR="00FB15AC" w:rsidRPr="00E57A6A" w:rsidRDefault="00FB15AC" w:rsidP="00FB15AC">
            <w:pPr>
              <w:pStyle w:val="Default"/>
              <w:numPr>
                <w:ilvl w:val="0"/>
                <w:numId w:val="8"/>
              </w:numPr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Statistical methods used for additional analyses, such as subgroup analyses and adjusted analysis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6971CD3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Cox proportional hazards, competing-risk models (subdistribution and cause-specific hazards), modified Poisson regression, Kruskal-Wallis tests; within-cohort mixed models.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2A1F701D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17-18</w:t>
            </w:r>
          </w:p>
        </w:tc>
      </w:tr>
      <w:tr w:rsidR="00FB15AC" w:rsidRPr="00B33B0B" w14:paraId="3308B9AB" w14:textId="77777777" w:rsidTr="00932EC1">
        <w:trPr>
          <w:trHeight w:val="237"/>
        </w:trPr>
        <w:tc>
          <w:tcPr>
            <w:tcW w:w="1554" w:type="dxa"/>
            <w:vMerge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03EFCA41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vMerge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</w:tcPr>
          <w:p w14:paraId="5F96A722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004891C6" w14:textId="77777777" w:rsidR="00FB15AC" w:rsidRPr="00E57A6A" w:rsidRDefault="00FB15AC" w:rsidP="00FB15AC">
            <w:pPr>
              <w:pStyle w:val="Default"/>
              <w:numPr>
                <w:ilvl w:val="0"/>
                <w:numId w:val="8"/>
              </w:numPr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Methods for imputing missing data, if used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B95CD12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Missingness-at-random assumption in mixed models; multiple imputation before causal inference analysis; sensitivity analysis assigning EQ-5D-5L index of -1 for participants who died before 12 months.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5220BBB2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17-18</w:t>
            </w:r>
          </w:p>
        </w:tc>
      </w:tr>
      <w:tr w:rsidR="00FB15AC" w:rsidRPr="00B33B0B" w14:paraId="174FCD4A" w14:textId="77777777" w:rsidTr="00932EC1">
        <w:trPr>
          <w:trHeight w:val="70"/>
        </w:trPr>
        <w:tc>
          <w:tcPr>
            <w:tcW w:w="15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B595B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C8D39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0DF17690" w14:textId="77777777" w:rsidR="00FB15AC" w:rsidRPr="00E57A6A" w:rsidRDefault="00FB15AC" w:rsidP="00FB15AC">
            <w:pPr>
              <w:pStyle w:val="Default"/>
              <w:numPr>
                <w:ilvl w:val="0"/>
                <w:numId w:val="8"/>
              </w:numPr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Statistical software or programs used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675E05EE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SAS version 9.4 (SAS Institute, Cary, NC, USA).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17F8B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16</w:t>
            </w:r>
          </w:p>
        </w:tc>
      </w:tr>
      <w:tr w:rsidR="00FB15AC" w:rsidRPr="00B33B0B" w14:paraId="16D4EACF" w14:textId="77777777" w:rsidTr="00932EC1">
        <w:trPr>
          <w:trHeight w:val="174"/>
        </w:trPr>
        <w:tc>
          <w:tcPr>
            <w:tcW w:w="6355" w:type="dxa"/>
            <w:gridSpan w:val="3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2EB29458" w14:textId="77777777" w:rsidR="00FB15AC" w:rsidRPr="00B33B0B" w:rsidRDefault="00FB15AC" w:rsidP="00FB15AC">
            <w:pPr>
              <w:pStyle w:val="Default"/>
              <w:ind w:left="-9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33B0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RESULTS </w:t>
            </w:r>
          </w:p>
        </w:tc>
        <w:tc>
          <w:tcPr>
            <w:tcW w:w="724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0A4F7224" w14:textId="77777777" w:rsidR="00FB15AC" w:rsidRPr="00B33B0B" w:rsidRDefault="00FB15AC" w:rsidP="00FB15AC">
            <w:pPr>
              <w:pStyle w:val="Default"/>
              <w:jc w:val="right"/>
              <w:rPr>
                <w:rFonts w:ascii="Arial" w:hAnsi="Arial" w:cs="Arial"/>
                <w:color w:val="auto"/>
                <w:lang w:val="en-GB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FFFFCC"/>
          </w:tcPr>
          <w:p w14:paraId="5AE48A43" w14:textId="77777777" w:rsidR="00FB15AC" w:rsidRPr="00B33B0B" w:rsidRDefault="00FB15AC" w:rsidP="00FB15AC">
            <w:pPr>
              <w:pStyle w:val="Default"/>
              <w:jc w:val="right"/>
              <w:rPr>
                <w:rFonts w:ascii="Arial" w:hAnsi="Arial" w:cs="Arial"/>
                <w:color w:val="auto"/>
                <w:lang w:val="en-GB"/>
              </w:rPr>
            </w:pPr>
          </w:p>
        </w:tc>
      </w:tr>
      <w:tr w:rsidR="00FB15AC" w:rsidRPr="00B33B0B" w14:paraId="785EBD89" w14:textId="77777777" w:rsidTr="00932EC1">
        <w:trPr>
          <w:trHeight w:val="392"/>
        </w:trPr>
        <w:tc>
          <w:tcPr>
            <w:tcW w:w="155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C7602FD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Participant flow</w:t>
            </w:r>
          </w:p>
        </w:tc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B73E586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12</w:t>
            </w:r>
          </w:p>
          <w:p w14:paraId="50F40DEB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5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44BDC1D5" w14:textId="77777777" w:rsidR="00FB15AC" w:rsidRPr="00E57A6A" w:rsidRDefault="00FB15AC" w:rsidP="00FB15AC">
            <w:pPr>
              <w:pStyle w:val="Default"/>
              <w:numPr>
                <w:ilvl w:val="0"/>
                <w:numId w:val="9"/>
              </w:numPr>
              <w:spacing w:before="40" w:after="40"/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 xml:space="preserve">Flow of participants through each stage of the study: </w:t>
            </w:r>
            <w:proofErr w:type="spellStart"/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enrollment</w:t>
            </w:r>
            <w:proofErr w:type="spellEnd"/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, assignment, allocation and intervention exposure, follow-up, analysis (a diagram is strongly recommended)</w:t>
            </w:r>
          </w:p>
        </w:tc>
        <w:tc>
          <w:tcPr>
            <w:tcW w:w="7247" w:type="dxa"/>
            <w:tcBorders>
              <w:top w:val="single" w:sz="5" w:space="0" w:color="000000"/>
              <w:left w:val="single" w:sz="6" w:space="0" w:color="000000"/>
              <w:bottom w:val="dashed" w:sz="4" w:space="0" w:color="auto"/>
              <w:right w:val="single" w:sz="5" w:space="0" w:color="000000"/>
            </w:tcBorders>
          </w:tcPr>
          <w:p w14:paraId="77A52294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Figure 1: 57 did not receive the intervention (withdrawn 27, discharged to residential aged care 15, unable to contact 7, deceased 8); 84 received the intervention; 4 discontinued mid-intervention.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007DCDA8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19-21</w:t>
            </w:r>
          </w:p>
        </w:tc>
      </w:tr>
      <w:tr w:rsidR="00FB15AC" w:rsidRPr="00B33B0B" w14:paraId="0900B1F2" w14:textId="77777777" w:rsidTr="00932EC1">
        <w:trPr>
          <w:trHeight w:val="449"/>
        </w:trPr>
        <w:tc>
          <w:tcPr>
            <w:tcW w:w="1554" w:type="dxa"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450EA2D7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DD355C9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40459A0C" w14:textId="77777777" w:rsidR="00FB15AC" w:rsidRPr="00E57A6A" w:rsidRDefault="00FB15AC" w:rsidP="00FB15AC">
            <w:pPr>
              <w:pStyle w:val="Default"/>
              <w:numPr>
                <w:ilvl w:val="1"/>
                <w:numId w:val="9"/>
              </w:numPr>
              <w:ind w:left="342" w:hanging="198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Enrollment</w:t>
            </w:r>
            <w:proofErr w:type="spellEnd"/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: the numbers of participants screened for eligibility, found to be eligible or not eligible, declined to be enrolled, and enrolled in the study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1A81F0B1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Figure 1: 826 screened; 685 excluded with reasons listed; 141 enrolled under opt-out consent.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717AAFBA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19-21</w:t>
            </w:r>
          </w:p>
        </w:tc>
      </w:tr>
      <w:tr w:rsidR="00FB15AC" w:rsidRPr="00B33B0B" w14:paraId="498FBE1D" w14:textId="77777777" w:rsidTr="00932EC1">
        <w:trPr>
          <w:trHeight w:val="299"/>
        </w:trPr>
        <w:tc>
          <w:tcPr>
            <w:tcW w:w="1554" w:type="dxa"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56EE48EE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908EB2C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5" w:space="0" w:color="000000"/>
            </w:tcBorders>
            <w:vAlign w:val="center"/>
          </w:tcPr>
          <w:p w14:paraId="454B8BB1" w14:textId="77777777" w:rsidR="00FB15AC" w:rsidRPr="00E57A6A" w:rsidRDefault="00FB15AC" w:rsidP="00FB15AC">
            <w:pPr>
              <w:pStyle w:val="Default"/>
              <w:numPr>
                <w:ilvl w:val="1"/>
                <w:numId w:val="9"/>
              </w:numPr>
              <w:ind w:left="342" w:hanging="19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Assignment: the numbers of participants assigned to a study condition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5" w:space="0" w:color="000000"/>
              <w:bottom w:val="dashed" w:sz="4" w:space="0" w:color="auto"/>
              <w:right w:val="single" w:sz="5" w:space="0" w:color="000000"/>
            </w:tcBorders>
          </w:tcPr>
          <w:p w14:paraId="121FD38A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Not applicable: no assignment; all 141 enrolled participants were allocated to the FORTRESS Plus intervention.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5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1FE2DD96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19-21</w:t>
            </w:r>
          </w:p>
        </w:tc>
      </w:tr>
      <w:tr w:rsidR="00FB15AC" w:rsidRPr="00B33B0B" w14:paraId="57279577" w14:textId="77777777" w:rsidTr="00932EC1">
        <w:trPr>
          <w:trHeight w:val="458"/>
        </w:trPr>
        <w:tc>
          <w:tcPr>
            <w:tcW w:w="1554" w:type="dxa"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27357532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7F023C8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57747EFE" w14:textId="77777777" w:rsidR="00FB15AC" w:rsidRPr="00E57A6A" w:rsidRDefault="00FB15AC" w:rsidP="00FB15AC">
            <w:pPr>
              <w:pStyle w:val="Default"/>
              <w:numPr>
                <w:ilvl w:val="1"/>
                <w:numId w:val="9"/>
              </w:numPr>
              <w:ind w:left="342" w:hanging="19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Allocation and intervention exposure: the number of participants assigned to each study condition and the number of participants who received each intervention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BDB5498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Figure 1: of 141 enrolled, 57 did not receive the intervention (withdrawn before commencement 27, discharged to residential aged care 15, unable to contact after discharge 7, deceased 8); 84 received the intervention; 4 discontinued mid-intervention (moved into residential aged care 3, withdrew after 3 visits 1).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2916C19D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19-21</w:t>
            </w:r>
          </w:p>
        </w:tc>
      </w:tr>
      <w:tr w:rsidR="00FB15AC" w:rsidRPr="00B33B0B" w14:paraId="6DC02BAA" w14:textId="77777777" w:rsidTr="00932EC1">
        <w:trPr>
          <w:trHeight w:val="440"/>
        </w:trPr>
        <w:tc>
          <w:tcPr>
            <w:tcW w:w="1554" w:type="dxa"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74869460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87F57B8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5" w:space="0" w:color="000000"/>
            </w:tcBorders>
            <w:vAlign w:val="center"/>
          </w:tcPr>
          <w:p w14:paraId="5092A705" w14:textId="77777777" w:rsidR="00FB15AC" w:rsidRPr="00E57A6A" w:rsidRDefault="00FB15AC" w:rsidP="00FB15AC">
            <w:pPr>
              <w:pStyle w:val="Default"/>
              <w:numPr>
                <w:ilvl w:val="1"/>
                <w:numId w:val="9"/>
              </w:numPr>
              <w:ind w:left="342" w:hanging="19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Follow-up: the number of participants who completed the follow-up or did not complete the follow-up (i.e., lost to follow-up), by study condition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5" w:space="0" w:color="000000"/>
              <w:bottom w:val="dashed" w:sz="4" w:space="0" w:color="auto"/>
              <w:right w:val="single" w:sz="5" w:space="0" w:color="000000"/>
            </w:tcBorders>
          </w:tcPr>
          <w:p w14:paraId="54738AF4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Figure 1 and Results: 79 completed 4-month and 60 completed 12-month assessments (full cohort); follow-up data available for 64 and 48 comparative-study participants.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5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46ABBD8F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19-21</w:t>
            </w:r>
          </w:p>
        </w:tc>
      </w:tr>
      <w:tr w:rsidR="00FB15AC" w:rsidRPr="00B33B0B" w14:paraId="34673C5D" w14:textId="77777777" w:rsidTr="00932EC1">
        <w:trPr>
          <w:trHeight w:val="70"/>
        </w:trPr>
        <w:tc>
          <w:tcPr>
            <w:tcW w:w="155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6BBA33E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464FCBC1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1E1DF84A" w14:textId="77777777" w:rsidR="00FB15AC" w:rsidRPr="00E57A6A" w:rsidRDefault="00FB15AC" w:rsidP="00FB15AC">
            <w:pPr>
              <w:pStyle w:val="Default"/>
              <w:numPr>
                <w:ilvl w:val="1"/>
                <w:numId w:val="9"/>
              </w:numPr>
              <w:ind w:left="342" w:hanging="19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Analysis: the number of participants included in or excluded from the main analysis, by study condition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5C8C6B09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Results: comparative analyses n=118 vs 110; within-cohort analyses n=141; follow-up denominators stated for each time point.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3382A365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19-21, 24-32</w:t>
            </w:r>
          </w:p>
        </w:tc>
      </w:tr>
      <w:tr w:rsidR="00FB15AC" w:rsidRPr="00B33B0B" w14:paraId="14B368CC" w14:textId="77777777" w:rsidTr="00932EC1">
        <w:trPr>
          <w:trHeight w:val="332"/>
        </w:trPr>
        <w:tc>
          <w:tcPr>
            <w:tcW w:w="1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14:paraId="5C71F136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62199465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6D6D6A7D" w14:textId="77777777" w:rsidR="00FB15AC" w:rsidRPr="00E57A6A" w:rsidRDefault="00FB15AC" w:rsidP="00FB15AC">
            <w:pPr>
              <w:pStyle w:val="Default"/>
              <w:numPr>
                <w:ilvl w:val="0"/>
                <w:numId w:val="9"/>
              </w:numPr>
              <w:spacing w:before="40" w:after="40"/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Description of protocol deviations from study as planned, along with reasons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A123B1" w14:textId="1835910E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Figure 1 records participants who did not receive or complete the planned intervention (57 not commenced; 4 discontinued); 23 participants recruited under broader eligibility criteria were analysed within-cohort only, not in the comparative analysis, as reported in Methods</w:t>
            </w:r>
            <w:r w:rsidR="009E452F">
              <w:t xml:space="preserve">; </w:t>
            </w:r>
            <w:r>
              <w:t>Sample size and Results.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center"/>
          </w:tcPr>
          <w:p w14:paraId="4C4CEA3D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12-13, 19-21</w:t>
            </w:r>
          </w:p>
        </w:tc>
      </w:tr>
      <w:tr w:rsidR="00FB15AC" w:rsidRPr="00B33B0B" w14:paraId="301D5639" w14:textId="77777777" w:rsidTr="00932EC1">
        <w:trPr>
          <w:trHeight w:val="300"/>
        </w:trPr>
        <w:tc>
          <w:tcPr>
            <w:tcW w:w="1554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BC01F1D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Recruitment</w:t>
            </w:r>
          </w:p>
        </w:tc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9F18D26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13</w:t>
            </w:r>
          </w:p>
        </w:tc>
        <w:tc>
          <w:tcPr>
            <w:tcW w:w="4357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A569D9" w14:textId="77777777" w:rsidR="00FB15AC" w:rsidRPr="00E57A6A" w:rsidRDefault="00FB15AC" w:rsidP="00FB15AC">
            <w:pPr>
              <w:pStyle w:val="Default"/>
              <w:numPr>
                <w:ilvl w:val="0"/>
                <w:numId w:val="10"/>
              </w:numPr>
              <w:spacing w:before="40" w:after="40"/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Dates defining the periods of recruitment and follow-up</w:t>
            </w:r>
          </w:p>
        </w:tc>
        <w:tc>
          <w:tcPr>
            <w:tcW w:w="7247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0895670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FORTRESS Plus: October 2023 to July 2024. FORTRESS historical cohort: September 2021 to December 2022. Follow-up at 4 and 12 months; readmissions to 365 days after the index admission.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38C1F859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7-8, 13, 15</w:t>
            </w:r>
          </w:p>
        </w:tc>
      </w:tr>
      <w:tr w:rsidR="00FB15AC" w:rsidRPr="00B33B0B" w14:paraId="52B3EB1B" w14:textId="77777777" w:rsidTr="00932EC1">
        <w:trPr>
          <w:trHeight w:val="240"/>
        </w:trPr>
        <w:tc>
          <w:tcPr>
            <w:tcW w:w="1554" w:type="dxa"/>
            <w:tcBorders>
              <w:top w:val="single" w:sz="6" w:space="0" w:color="000000"/>
              <w:left w:val="single" w:sz="5" w:space="0" w:color="000000"/>
              <w:bottom w:val="nil"/>
              <w:right w:val="single" w:sz="6" w:space="0" w:color="000000"/>
            </w:tcBorders>
          </w:tcPr>
          <w:p w14:paraId="214E8E7D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Baseline data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E1E336A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14</w:t>
            </w:r>
          </w:p>
        </w:tc>
        <w:tc>
          <w:tcPr>
            <w:tcW w:w="435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6915208E" w14:textId="77777777" w:rsidR="00FB15AC" w:rsidRPr="00E57A6A" w:rsidRDefault="00FB15AC" w:rsidP="00FB15AC">
            <w:pPr>
              <w:pStyle w:val="Default"/>
              <w:numPr>
                <w:ilvl w:val="0"/>
                <w:numId w:val="10"/>
              </w:numPr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Baseline demographic and clinical characteristics of participants in each study condition</w:t>
            </w:r>
          </w:p>
        </w:tc>
        <w:tc>
          <w:tcPr>
            <w:tcW w:w="724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0C8FE7CE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Table 2: age, sex, MMSE, FRAIL score, ward, prior hospitalisation, baseline EQ-5D-5L index and VAS for all FORTRESS Plus (n=141), comparative cohort (n=118) and historical controls (n=110).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41004F19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21-22</w:t>
            </w:r>
          </w:p>
        </w:tc>
      </w:tr>
      <w:tr w:rsidR="00FB15AC" w:rsidRPr="00B33B0B" w14:paraId="524DB325" w14:textId="77777777" w:rsidTr="00932EC1">
        <w:trPr>
          <w:trHeight w:val="225"/>
        </w:trPr>
        <w:tc>
          <w:tcPr>
            <w:tcW w:w="155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7C0C651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08D56CC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5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25316E0D" w14:textId="77777777" w:rsidR="00FB15AC" w:rsidRPr="00E57A6A" w:rsidRDefault="00FB15AC" w:rsidP="00FB15AC">
            <w:pPr>
              <w:pStyle w:val="Default"/>
              <w:numPr>
                <w:ilvl w:val="0"/>
                <w:numId w:val="10"/>
              </w:numPr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Baseline characteristics for each study condition relevant to specific disease prevention research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97E50C6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Not reported: disease-specific baseline characteristics beyond those in Table 2 (age, sex, MMSE, FRAIL score, ward, prior hospitalisation, baseline EQ-5D-5L index and VAS) were not collected or reported.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7B04FA47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21-22</w:t>
            </w:r>
          </w:p>
        </w:tc>
      </w:tr>
      <w:tr w:rsidR="00FB15AC" w:rsidRPr="00B33B0B" w14:paraId="3CC0E08D" w14:textId="77777777" w:rsidTr="00932EC1">
        <w:trPr>
          <w:trHeight w:val="225"/>
        </w:trPr>
        <w:tc>
          <w:tcPr>
            <w:tcW w:w="1554" w:type="dxa"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568C698B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A939487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35D60B60" w14:textId="77777777" w:rsidR="00FB15AC" w:rsidRPr="00E57A6A" w:rsidRDefault="00FB15AC" w:rsidP="00FB15AC">
            <w:pPr>
              <w:pStyle w:val="Default"/>
              <w:numPr>
                <w:ilvl w:val="0"/>
                <w:numId w:val="10"/>
              </w:numPr>
              <w:ind w:left="158" w:hanging="15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Baseline comparisons of those lost to follow-up and those retained, overall and by study condition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6AA258D8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Not reported: baseline characteristics were not compared between participants lost to follow-up and those retained.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6FFBD3EC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-</w:t>
            </w:r>
          </w:p>
        </w:tc>
      </w:tr>
      <w:tr w:rsidR="00FB15AC" w:rsidRPr="00B33B0B" w14:paraId="7C60231D" w14:textId="77777777" w:rsidTr="00932EC1">
        <w:trPr>
          <w:trHeight w:val="68"/>
        </w:trPr>
        <w:tc>
          <w:tcPr>
            <w:tcW w:w="1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CCCAD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AF6883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EAB4B" w14:textId="77777777" w:rsidR="00FB15AC" w:rsidRPr="00E57A6A" w:rsidRDefault="00FB15AC" w:rsidP="00FB15AC">
            <w:pPr>
              <w:pStyle w:val="Default"/>
              <w:numPr>
                <w:ilvl w:val="0"/>
                <w:numId w:val="10"/>
              </w:numPr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Comparison between study population at baseline and target population of interest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529ED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Not reported: the recruited sample was not compared with the broader target population of frail hospitalised older adults.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157D6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-</w:t>
            </w:r>
          </w:p>
        </w:tc>
      </w:tr>
      <w:tr w:rsidR="00FB15AC" w:rsidRPr="00B33B0B" w14:paraId="65D5A59A" w14:textId="77777777" w:rsidTr="00932EC1">
        <w:trPr>
          <w:trHeight w:val="444"/>
        </w:trPr>
        <w:tc>
          <w:tcPr>
            <w:tcW w:w="1554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468E8F2B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Baseline equivalence</w:t>
            </w:r>
          </w:p>
        </w:tc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3CFEC6B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15</w:t>
            </w:r>
          </w:p>
        </w:tc>
        <w:tc>
          <w:tcPr>
            <w:tcW w:w="4357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BAC9C" w14:textId="77777777" w:rsidR="00FB15AC" w:rsidRPr="00E57A6A" w:rsidRDefault="00FB15AC" w:rsidP="00FB15AC">
            <w:pPr>
              <w:pStyle w:val="Default"/>
              <w:numPr>
                <w:ilvl w:val="0"/>
                <w:numId w:val="11"/>
              </w:numPr>
              <w:spacing w:before="40" w:after="40"/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Data on study group equivalence at baseline and statistical methods used to control for baseline differences</w:t>
            </w:r>
          </w:p>
        </w:tc>
        <w:tc>
          <w:tcPr>
            <w:tcW w:w="7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3691E7B2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Results: cohorts broadly comparable in age, sex and cognition; FORTRESS Plus had a somewhat milder frailty profile and more prior hospitalisation (Table 2). All comparative models prespecified adjustment for these covariates; the causal-inference analysis balanced the same covariates plus baseline EQ-5D-5L index and ward.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770CE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20, 16-17</w:t>
            </w:r>
          </w:p>
        </w:tc>
      </w:tr>
      <w:tr w:rsidR="00FB15AC" w:rsidRPr="00B33B0B" w14:paraId="016BE2E6" w14:textId="77777777" w:rsidTr="00932EC1">
        <w:trPr>
          <w:trHeight w:val="255"/>
        </w:trPr>
        <w:tc>
          <w:tcPr>
            <w:tcW w:w="1554" w:type="dxa"/>
            <w:tcBorders>
              <w:top w:val="single" w:sz="6" w:space="0" w:color="000000"/>
              <w:left w:val="single" w:sz="5" w:space="0" w:color="000000"/>
              <w:bottom w:val="nil"/>
              <w:right w:val="single" w:sz="6" w:space="0" w:color="000000"/>
            </w:tcBorders>
          </w:tcPr>
          <w:p w14:paraId="54CF49C1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 xml:space="preserve">Numbers </w:t>
            </w:r>
            <w:proofErr w:type="spellStart"/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analyzed</w:t>
            </w:r>
            <w:proofErr w:type="spellEnd"/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EB5E791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16</w:t>
            </w:r>
          </w:p>
        </w:tc>
        <w:tc>
          <w:tcPr>
            <w:tcW w:w="435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4F013DDC" w14:textId="77777777" w:rsidR="00FB15AC" w:rsidRPr="00E57A6A" w:rsidRDefault="00FB15AC" w:rsidP="00FB15AC">
            <w:pPr>
              <w:pStyle w:val="Default"/>
              <w:numPr>
                <w:ilvl w:val="0"/>
                <w:numId w:val="11"/>
              </w:numPr>
              <w:spacing w:before="40" w:after="40"/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Number of participants (denominator) included in each analysis for each study condition, particularly when the denominators change for different outcomes; statement of the results in absolute numbers when feasible</w:t>
            </w:r>
          </w:p>
        </w:tc>
        <w:tc>
          <w:tcPr>
            <w:tcW w:w="724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CBEED82" w14:textId="3A9FC226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Methods</w:t>
            </w:r>
            <w:r w:rsidR="00932EC1">
              <w:t xml:space="preserve">; </w:t>
            </w:r>
            <w:r>
              <w:t>Statistical analysis and Results: comparative analyses 118 FORTRESS Plus vs 110 controls; within-cohort analyses 141; follow-up denominators for each time point reported.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6E36661F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16, 19-21</w:t>
            </w:r>
          </w:p>
        </w:tc>
      </w:tr>
      <w:tr w:rsidR="00FB15AC" w:rsidRPr="00B33B0B" w14:paraId="50AAA225" w14:textId="77777777" w:rsidTr="00932EC1">
        <w:trPr>
          <w:trHeight w:val="132"/>
        </w:trPr>
        <w:tc>
          <w:tcPr>
            <w:tcW w:w="1554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8645DC7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135E58C4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104A40" w14:textId="77777777" w:rsidR="00FB15AC" w:rsidRPr="00E57A6A" w:rsidRDefault="00FB15AC" w:rsidP="00FB15AC">
            <w:pPr>
              <w:pStyle w:val="Default"/>
              <w:numPr>
                <w:ilvl w:val="0"/>
                <w:numId w:val="11"/>
              </w:numPr>
              <w:spacing w:before="40" w:after="40"/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Indication of whether the analysis strategy was “intention to treat” or, if not, description of how non-compliers were treated in the analyses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62EBF9A1" w14:textId="1AB6AB9D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Methods</w:t>
            </w:r>
            <w:r w:rsidR="00932EC1">
              <w:t xml:space="preserve">; </w:t>
            </w:r>
            <w:r>
              <w:t>Statistical analysis: all analyses followed the intention-to-treat principle.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C2CD5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16</w:t>
            </w:r>
          </w:p>
        </w:tc>
      </w:tr>
      <w:tr w:rsidR="00FB15AC" w:rsidRPr="00B33B0B" w14:paraId="0C5FB947" w14:textId="77777777" w:rsidTr="00932EC1">
        <w:trPr>
          <w:trHeight w:val="65"/>
        </w:trPr>
        <w:tc>
          <w:tcPr>
            <w:tcW w:w="1554" w:type="dxa"/>
            <w:tcBorders>
              <w:top w:val="single" w:sz="6" w:space="0" w:color="000000"/>
              <w:left w:val="single" w:sz="5" w:space="0" w:color="000000"/>
              <w:bottom w:val="nil"/>
              <w:right w:val="single" w:sz="6" w:space="0" w:color="000000"/>
            </w:tcBorders>
          </w:tcPr>
          <w:p w14:paraId="03609DA7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Outcomes and estimation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11B77A1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17</w:t>
            </w:r>
          </w:p>
        </w:tc>
        <w:tc>
          <w:tcPr>
            <w:tcW w:w="4357" w:type="dxa"/>
            <w:tcBorders>
              <w:top w:val="single" w:sz="5" w:space="0" w:color="000000"/>
              <w:left w:val="single" w:sz="6" w:space="0" w:color="000000"/>
              <w:bottom w:val="dashed" w:sz="4" w:space="0" w:color="auto"/>
              <w:right w:val="single" w:sz="5" w:space="0" w:color="000000"/>
            </w:tcBorders>
            <w:vAlign w:val="center"/>
          </w:tcPr>
          <w:p w14:paraId="4F431E4A" w14:textId="77777777" w:rsidR="00FB15AC" w:rsidRPr="00E57A6A" w:rsidRDefault="00FB15AC" w:rsidP="00FB15AC">
            <w:pPr>
              <w:pStyle w:val="Default"/>
              <w:numPr>
                <w:ilvl w:val="0"/>
                <w:numId w:val="12"/>
              </w:numPr>
              <w:spacing w:before="40" w:after="40"/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For each primary and secondary outcome, a summary of results for each estimation study condition, and the estimated effect size and a confidence interval to indicate the precision</w:t>
            </w:r>
          </w:p>
        </w:tc>
        <w:tc>
          <w:tcPr>
            <w:tcW w:w="7247" w:type="dxa"/>
            <w:tcBorders>
              <w:top w:val="single" w:sz="6" w:space="0" w:color="000000"/>
              <w:left w:val="single" w:sz="5" w:space="0" w:color="000000"/>
              <w:bottom w:val="dashed" w:sz="4" w:space="0" w:color="auto"/>
              <w:right w:val="single" w:sz="5" w:space="0" w:color="000000"/>
            </w:tcBorders>
          </w:tcPr>
          <w:p w14:paraId="709E88E4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 xml:space="preserve">Yes. Results and Tables 3-9: adjusted means and between-group differences with 95% CIs for EQ-5D-5L index and VAS (Tables 3, 5); ATE estimates with CIs and p-values (Table 4); hazard ratios, subdistribution and cause-specific hazard ratios, relative risks (Table 7); readmission </w:t>
            </w:r>
            <w:r>
              <w:lastRenderedPageBreak/>
              <w:t>counts and hospital nights (Table 8); within-cohort EQ-5D, SPPB, GDS-15, DBI and social support results with CIs (Results, Table 9).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5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508C98E9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lastRenderedPageBreak/>
              <w:t>24-32</w:t>
            </w:r>
          </w:p>
        </w:tc>
      </w:tr>
      <w:tr w:rsidR="00FB15AC" w:rsidRPr="00B33B0B" w14:paraId="29187640" w14:textId="77777777" w:rsidTr="00932EC1">
        <w:trPr>
          <w:trHeight w:val="227"/>
        </w:trPr>
        <w:tc>
          <w:tcPr>
            <w:tcW w:w="1554" w:type="dxa"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779F8E76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818863E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47E96BE7" w14:textId="77777777" w:rsidR="00FB15AC" w:rsidRPr="00E57A6A" w:rsidRDefault="00FB15AC" w:rsidP="00FB15AC">
            <w:pPr>
              <w:pStyle w:val="Default"/>
              <w:numPr>
                <w:ilvl w:val="0"/>
                <w:numId w:val="12"/>
              </w:numPr>
              <w:ind w:left="158" w:hanging="15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Inclusion of null and negative findings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4F69B9A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Null findings reported in full: no significant differences in readmission outcomes (Results, Tables 6-8); non-significant 4-to-12-month changes within FORTRESS Plus (Table 9).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5F07D11E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28-32</w:t>
            </w:r>
          </w:p>
        </w:tc>
      </w:tr>
      <w:tr w:rsidR="00FB15AC" w:rsidRPr="00B33B0B" w14:paraId="11133C04" w14:textId="77777777" w:rsidTr="00932EC1">
        <w:trPr>
          <w:trHeight w:val="260"/>
        </w:trPr>
        <w:tc>
          <w:tcPr>
            <w:tcW w:w="1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508A3C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D6B1D6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2BF138" w14:textId="77777777" w:rsidR="00FB15AC" w:rsidRPr="00E57A6A" w:rsidRDefault="00FB15AC" w:rsidP="00FB15AC">
            <w:pPr>
              <w:pStyle w:val="Default"/>
              <w:numPr>
                <w:ilvl w:val="0"/>
                <w:numId w:val="12"/>
              </w:numPr>
              <w:spacing w:before="40" w:after="40"/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Inclusion of results from testing pre-specified causal pathways through which the intervention was intended to operate, if any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DBC151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Not applicable: no prespecified causal pathway (mediation) analyses were undertaken; this is stated in the Discussion as within-cohort changes not establishing causal effects.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center"/>
          </w:tcPr>
          <w:p w14:paraId="6F8BD81B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38, 41</w:t>
            </w:r>
          </w:p>
        </w:tc>
      </w:tr>
      <w:tr w:rsidR="00FB15AC" w:rsidRPr="00B33B0B" w14:paraId="34B827D9" w14:textId="77777777" w:rsidTr="00932EC1">
        <w:trPr>
          <w:trHeight w:val="150"/>
        </w:trPr>
        <w:tc>
          <w:tcPr>
            <w:tcW w:w="1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6E1683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Ancillary analyses</w:t>
            </w:r>
          </w:p>
        </w:tc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D80A2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18</w:t>
            </w:r>
          </w:p>
        </w:tc>
        <w:tc>
          <w:tcPr>
            <w:tcW w:w="4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F79AE9" w14:textId="77777777" w:rsidR="00FB15AC" w:rsidRPr="00E57A6A" w:rsidRDefault="00FB15AC" w:rsidP="00FB15AC">
            <w:pPr>
              <w:pStyle w:val="Default"/>
              <w:numPr>
                <w:ilvl w:val="0"/>
                <w:numId w:val="13"/>
              </w:numPr>
              <w:spacing w:before="40" w:after="40"/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Summary of other analyses performed, including subgroup or restricted analyses, indicating which are pre-specified or exploratory</w:t>
            </w:r>
          </w:p>
        </w:tc>
        <w:tc>
          <w:tcPr>
            <w:tcW w:w="7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13E9C1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Causal-inference analysis (augmented inverse probability weighting) prespecified as secondary analysis (Table 4); competing-risk analyses of readmission with death as a competing event (Table 7); sensitivity analysis assigning -1 for deaths (Table 4). No subgroup analyses were undertaken.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center"/>
          </w:tcPr>
          <w:p w14:paraId="1037B8A3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25-26, 29</w:t>
            </w:r>
          </w:p>
        </w:tc>
      </w:tr>
      <w:tr w:rsidR="00FB15AC" w:rsidRPr="00B33B0B" w14:paraId="4C47367A" w14:textId="77777777" w:rsidTr="00932EC1">
        <w:trPr>
          <w:trHeight w:val="438"/>
        </w:trPr>
        <w:tc>
          <w:tcPr>
            <w:tcW w:w="1554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D70921D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Adverse events</w:t>
            </w:r>
          </w:p>
        </w:tc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847A633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19</w:t>
            </w:r>
          </w:p>
        </w:tc>
        <w:tc>
          <w:tcPr>
            <w:tcW w:w="435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48A93804" w14:textId="77777777" w:rsidR="00FB15AC" w:rsidRPr="00E57A6A" w:rsidRDefault="00FB15AC" w:rsidP="00FB15AC">
            <w:pPr>
              <w:pStyle w:val="Default"/>
              <w:numPr>
                <w:ilvl w:val="0"/>
                <w:numId w:val="13"/>
              </w:numPr>
              <w:spacing w:before="40" w:after="40"/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Summary of all important adverse events or unintended effects in each study condition (including summary measures, effect size estimates, and confidence intervals)</w:t>
            </w:r>
          </w:p>
        </w:tc>
        <w:tc>
          <w:tcPr>
            <w:tcW w:w="7247" w:type="dxa"/>
            <w:tcBorders>
              <w:top w:val="single" w:sz="5" w:space="0" w:color="000000"/>
              <w:left w:val="single" w:sz="5" w:space="0" w:color="000000"/>
              <w:bottom w:val="double" w:sz="4" w:space="0" w:color="auto"/>
              <w:right w:val="single" w:sz="5" w:space="0" w:color="000000"/>
            </w:tcBorders>
          </w:tcPr>
          <w:p w14:paraId="687C6DE0" w14:textId="019B45AD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Methods</w:t>
            </w:r>
            <w:r w:rsidR="00932EC1">
              <w:t xml:space="preserve">; </w:t>
            </w:r>
            <w:r>
              <w:t>Outcomes and assessments: adverse events, serious adverse events, deaths and withdrawals recorded; deaths recorded separately with timing. Results - Intervention exposure, adherence and safety: 20 deaths (4 during admission, 16 post-discharge), none judged related to the intervention; falls and rehospitalisations documented in visit records; no other serious adverse events.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5B2F9378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15-16, 23</w:t>
            </w:r>
          </w:p>
        </w:tc>
      </w:tr>
      <w:tr w:rsidR="00FB15AC" w:rsidRPr="00B33B0B" w14:paraId="05CB31B0" w14:textId="77777777" w:rsidTr="00932EC1">
        <w:trPr>
          <w:trHeight w:val="291"/>
        </w:trPr>
        <w:tc>
          <w:tcPr>
            <w:tcW w:w="6355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shd w:val="clear" w:color="auto" w:fill="FFFFCC"/>
            <w:vAlign w:val="center"/>
          </w:tcPr>
          <w:p w14:paraId="04208A19" w14:textId="77777777" w:rsidR="00FB15AC" w:rsidRPr="004F23CD" w:rsidRDefault="00FB15AC" w:rsidP="00FB15AC">
            <w:pPr>
              <w:pStyle w:val="Default"/>
              <w:ind w:left="-9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F23C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DISCUSSION </w:t>
            </w:r>
          </w:p>
        </w:tc>
        <w:tc>
          <w:tcPr>
            <w:tcW w:w="7247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</w:tcPr>
          <w:p w14:paraId="58E6DD4E" w14:textId="77777777" w:rsidR="00FB15AC" w:rsidRPr="004F23CD" w:rsidRDefault="00FB15AC" w:rsidP="00FB15AC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CC"/>
          </w:tcPr>
          <w:p w14:paraId="7D3BEE8F" w14:textId="77777777" w:rsidR="00FB15AC" w:rsidRPr="004F23CD" w:rsidRDefault="00FB15AC" w:rsidP="00FB15AC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  <w:lang w:val="en-GB"/>
              </w:rPr>
            </w:pPr>
          </w:p>
        </w:tc>
      </w:tr>
      <w:tr w:rsidR="00FB15AC" w:rsidRPr="00B33B0B" w14:paraId="6DEDB89B" w14:textId="77777777" w:rsidTr="00932EC1">
        <w:trPr>
          <w:trHeight w:val="84"/>
        </w:trPr>
        <w:tc>
          <w:tcPr>
            <w:tcW w:w="1554" w:type="dxa"/>
            <w:tcBorders>
              <w:top w:val="single" w:sz="6" w:space="0" w:color="000000"/>
              <w:left w:val="single" w:sz="5" w:space="0" w:color="000000"/>
              <w:bottom w:val="nil"/>
              <w:right w:val="single" w:sz="6" w:space="0" w:color="000000"/>
            </w:tcBorders>
          </w:tcPr>
          <w:p w14:paraId="4F2BBB04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Interpretation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007C906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20</w:t>
            </w:r>
          </w:p>
        </w:tc>
        <w:tc>
          <w:tcPr>
            <w:tcW w:w="4357" w:type="dxa"/>
            <w:tcBorders>
              <w:top w:val="single" w:sz="5" w:space="0" w:color="000000"/>
              <w:left w:val="single" w:sz="6" w:space="0" w:color="000000"/>
              <w:bottom w:val="dashed" w:sz="4" w:space="0" w:color="auto"/>
              <w:right w:val="single" w:sz="5" w:space="0" w:color="000000"/>
            </w:tcBorders>
            <w:vAlign w:val="center"/>
          </w:tcPr>
          <w:p w14:paraId="2FEBABCA" w14:textId="77777777" w:rsidR="00FB15AC" w:rsidRPr="00E57A6A" w:rsidRDefault="00FB15AC" w:rsidP="00FB15AC">
            <w:pPr>
              <w:pStyle w:val="Default"/>
              <w:numPr>
                <w:ilvl w:val="0"/>
                <w:numId w:val="13"/>
              </w:numPr>
              <w:spacing w:before="40" w:after="40"/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Interpretation of the results, taking into account study hypotheses, sources of potential bias, imprecision of measures, multiplicative analyses, and other limitations or weaknesses of the study</w:t>
            </w:r>
          </w:p>
        </w:tc>
        <w:tc>
          <w:tcPr>
            <w:tcW w:w="7247" w:type="dxa"/>
            <w:tcBorders>
              <w:top w:val="single" w:sz="5" w:space="0" w:color="000000"/>
              <w:left w:val="single" w:sz="5" w:space="0" w:color="000000"/>
              <w:bottom w:val="dashed" w:sz="4" w:space="0" w:color="auto"/>
              <w:right w:val="single" w:sz="5" w:space="0" w:color="000000"/>
            </w:tcBorders>
          </w:tcPr>
          <w:p w14:paraId="3B88899E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Discussion, including Strengths and limitations: non-randomised historical-control design, residual confounding, attrition (48/118 with 12-month comparative follow-up), no historical comparators for SPPB, GDS-15 and DBI, missing baseline home-visit assessments, non-blinded outcome assessment, single site, opt-out consent, English requirement.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69E2BB2B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35-41</w:t>
            </w:r>
          </w:p>
        </w:tc>
      </w:tr>
      <w:tr w:rsidR="00FB15AC" w:rsidRPr="00B33B0B" w14:paraId="7E8B3C1B" w14:textId="77777777" w:rsidTr="00932EC1">
        <w:trPr>
          <w:trHeight w:val="359"/>
        </w:trPr>
        <w:tc>
          <w:tcPr>
            <w:tcW w:w="1554" w:type="dxa"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57C0D796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D142F6F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00FE6910" w14:textId="77777777" w:rsidR="00FB15AC" w:rsidRPr="00E57A6A" w:rsidRDefault="00FB15AC" w:rsidP="00FB15AC">
            <w:pPr>
              <w:pStyle w:val="Default"/>
              <w:numPr>
                <w:ilvl w:val="0"/>
                <w:numId w:val="13"/>
              </w:numPr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Discussion of results taking into account the mechanism by which the intervention was intended to work (causal pathways) or alternative mechanisms or explanations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4475AD14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Discussion: dose and intensity of community-based exercise as the plausible mechanism for improved quality of life, supported by dose-response evidence (refs 19-22); improvement in EQ-5D-5L without reduction in readmissions interpreted against differing determinants of perceived health and hospital use.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120C4E94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35-36</w:t>
            </w:r>
          </w:p>
        </w:tc>
      </w:tr>
      <w:tr w:rsidR="00FB15AC" w:rsidRPr="00B33B0B" w14:paraId="38280A80" w14:textId="77777777" w:rsidTr="00932EC1">
        <w:trPr>
          <w:trHeight w:val="245"/>
        </w:trPr>
        <w:tc>
          <w:tcPr>
            <w:tcW w:w="155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2AFC42D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1CA723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5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7E5B89D7" w14:textId="77777777" w:rsidR="00FB15AC" w:rsidRPr="00E57A6A" w:rsidRDefault="00FB15AC" w:rsidP="00FB15AC">
            <w:pPr>
              <w:pStyle w:val="Default"/>
              <w:numPr>
                <w:ilvl w:val="0"/>
                <w:numId w:val="13"/>
              </w:numPr>
              <w:ind w:left="158" w:hanging="15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Discussion of the success of and barriers to implementing the intervention, fidelity of implementation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</w:tcPr>
          <w:p w14:paraId="75FBE423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 xml:space="preserve">Yes. Discussion: intervention exposure and adherence reported (pharmacy review 140/141, CGA 127/141, exercise programme 84/141; median 7 visits; 62/84 very or quite adherent); incomplete uptake and </w:t>
            </w:r>
            <w:r>
              <w:lastRenderedPageBreak/>
              <w:t>selective participation discussed as limiting interpretation.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6" w:space="0" w:color="000000"/>
              <w:bottom w:val="dashed" w:sz="4" w:space="0" w:color="auto"/>
              <w:right w:val="single" w:sz="6" w:space="0" w:color="000000"/>
            </w:tcBorders>
            <w:vAlign w:val="center"/>
          </w:tcPr>
          <w:p w14:paraId="2D3F0BEC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lastRenderedPageBreak/>
              <w:t>38-39</w:t>
            </w:r>
          </w:p>
        </w:tc>
      </w:tr>
      <w:tr w:rsidR="00FB15AC" w:rsidRPr="00B33B0B" w14:paraId="5C9AA929" w14:textId="77777777" w:rsidTr="00932EC1">
        <w:trPr>
          <w:trHeight w:val="245"/>
        </w:trPr>
        <w:tc>
          <w:tcPr>
            <w:tcW w:w="1554" w:type="dxa"/>
            <w:tcBorders>
              <w:top w:val="nil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75CF4315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648E9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4357" w:type="dxa"/>
            <w:tcBorders>
              <w:top w:val="dashed" w:sz="4" w:space="0" w:color="auto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A97E5D" w14:textId="77777777" w:rsidR="00FB15AC" w:rsidRPr="00E57A6A" w:rsidRDefault="00FB15AC" w:rsidP="00FB15AC">
            <w:pPr>
              <w:pStyle w:val="Default"/>
              <w:numPr>
                <w:ilvl w:val="0"/>
                <w:numId w:val="13"/>
              </w:numPr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Discussion of research, programmatic, or policy implications</w:t>
            </w:r>
          </w:p>
        </w:tc>
        <w:tc>
          <w:tcPr>
            <w:tcW w:w="7247" w:type="dxa"/>
            <w:tcBorders>
              <w:top w:val="dashed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178E9E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Discussion - Implications: supports further evaluation in a randomised trial with concurrent comparator, blinded outcome assessment, baseline physical-function and mood measures, improved follow-up completeness, and prospective economic evaluation.</w:t>
            </w:r>
          </w:p>
        </w:tc>
        <w:tc>
          <w:tcPr>
            <w:tcW w:w="993" w:type="dxa"/>
            <w:tcBorders>
              <w:top w:val="dashed" w:sz="4" w:space="0" w:color="auto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center"/>
          </w:tcPr>
          <w:p w14:paraId="3C0395D3" w14:textId="77777777" w:rsidR="00FB15AC" w:rsidRPr="00E57A6A" w:rsidRDefault="00FB15AC" w:rsidP="00FB15AC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41-42</w:t>
            </w:r>
          </w:p>
        </w:tc>
      </w:tr>
      <w:tr w:rsidR="00FB15AC" w:rsidRPr="00B33B0B" w14:paraId="35F08D9D" w14:textId="77777777" w:rsidTr="00932EC1">
        <w:trPr>
          <w:trHeight w:val="249"/>
        </w:trPr>
        <w:tc>
          <w:tcPr>
            <w:tcW w:w="155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586D112D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Generalizability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B568215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21</w:t>
            </w:r>
          </w:p>
        </w:tc>
        <w:tc>
          <w:tcPr>
            <w:tcW w:w="435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2E64F9E3" w14:textId="77777777" w:rsidR="00FB15AC" w:rsidRPr="00E57A6A" w:rsidRDefault="00FB15AC" w:rsidP="00FB15AC">
            <w:pPr>
              <w:pStyle w:val="Default"/>
              <w:numPr>
                <w:ilvl w:val="0"/>
                <w:numId w:val="14"/>
              </w:numPr>
              <w:spacing w:before="40" w:after="40"/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Generalizability (external validity) of the trial findings, taking into account the study population, the characteristics of the intervention, length of follow-up, incentives, compliance rates, specific sites/settings involved in the study, and other contextual issues</w:t>
            </w:r>
          </w:p>
        </w:tc>
        <w:tc>
          <w:tcPr>
            <w:tcW w:w="724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254BC2F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Discussion - Strengths and limitations: single hospital, opt-out consent, and sufficient-English requirement may limit generalisability to other settings.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E9592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41</w:t>
            </w:r>
          </w:p>
        </w:tc>
      </w:tr>
      <w:tr w:rsidR="00FB15AC" w:rsidRPr="00B33B0B" w14:paraId="66895602" w14:textId="77777777" w:rsidTr="00932EC1">
        <w:trPr>
          <w:trHeight w:val="333"/>
        </w:trPr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D1252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Overall evidence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26413" w14:textId="77777777" w:rsidR="00FB15AC" w:rsidRPr="00E57A6A" w:rsidRDefault="00FB15AC" w:rsidP="00FB15AC">
            <w:pPr>
              <w:pStyle w:val="Default"/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22</w:t>
            </w:r>
          </w:p>
        </w:tc>
        <w:tc>
          <w:tcPr>
            <w:tcW w:w="4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8DAC00" w14:textId="77777777" w:rsidR="00FB15AC" w:rsidRPr="00E57A6A" w:rsidRDefault="00FB15AC" w:rsidP="00FB15AC">
            <w:pPr>
              <w:pStyle w:val="Default"/>
              <w:numPr>
                <w:ilvl w:val="0"/>
                <w:numId w:val="14"/>
              </w:numPr>
              <w:spacing w:before="40" w:after="40"/>
              <w:ind w:left="162" w:hanging="162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7A6A">
              <w:rPr>
                <w:rFonts w:ascii="Arial" w:hAnsi="Arial" w:cs="Arial"/>
                <w:sz w:val="18"/>
                <w:szCs w:val="18"/>
                <w:lang w:val="en-GB"/>
              </w:rPr>
              <w:t>General interpretation of the results in the context of current evidence and current theory</w:t>
            </w:r>
          </w:p>
        </w:tc>
        <w:tc>
          <w:tcPr>
            <w:tcW w:w="7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E314A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Yes. Discussion: findings interpreted against exercise dose-response evidence, EQ-5D MCID literature, transitional care systematic reviews and CGA meta-analysis (refs 19-26); Conclusion supports a randomised trial versus usual post-discharge care.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41341" w14:textId="77777777" w:rsidR="00FB15AC" w:rsidRPr="00E57A6A" w:rsidRDefault="00FB15AC" w:rsidP="00FB15AC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>
              <w:t>36-38, 43</w:t>
            </w:r>
          </w:p>
        </w:tc>
      </w:tr>
    </w:tbl>
    <w:p w14:paraId="7DE3582C" w14:textId="77777777" w:rsidR="00425783" w:rsidRPr="00B33B0B" w:rsidRDefault="00FB3483" w:rsidP="005E50CB">
      <w:pPr>
        <w:pStyle w:val="Default"/>
        <w:spacing w:line="183" w:lineRule="atLeast"/>
        <w:ind w:right="486"/>
        <w:rPr>
          <w:rFonts w:ascii="Arial" w:hAnsi="Arial" w:cs="Arial"/>
          <w:color w:val="auto"/>
          <w:sz w:val="16"/>
          <w:szCs w:val="16"/>
          <w:lang w:val="en-GB"/>
        </w:rPr>
      </w:pPr>
      <w:r w:rsidRPr="00B33B0B">
        <w:rPr>
          <w:rFonts w:ascii="Arial" w:hAnsi="Arial" w:cs="Arial"/>
          <w:i/>
          <w:iCs/>
          <w:color w:val="auto"/>
          <w:sz w:val="16"/>
          <w:szCs w:val="16"/>
          <w:lang w:val="en-GB"/>
        </w:rPr>
        <w:t xml:space="preserve">From: </w:t>
      </w:r>
      <w:r w:rsidRPr="00B33B0B">
        <w:rPr>
          <w:rFonts w:ascii="Arial" w:hAnsi="Arial" w:cs="Arial"/>
          <w:color w:val="auto"/>
          <w:sz w:val="16"/>
          <w:szCs w:val="16"/>
          <w:lang w:val="en-GB"/>
        </w:rPr>
        <w:t xml:space="preserve"> </w:t>
      </w:r>
      <w:r w:rsidR="00425783" w:rsidRPr="00B33B0B">
        <w:rPr>
          <w:rFonts w:ascii="Arial" w:hAnsi="Arial" w:cs="Arial"/>
          <w:color w:val="auto"/>
          <w:sz w:val="16"/>
          <w:szCs w:val="16"/>
          <w:lang w:val="en-GB"/>
        </w:rPr>
        <w:t xml:space="preserve">Des </w:t>
      </w:r>
      <w:proofErr w:type="spellStart"/>
      <w:r w:rsidR="00425783" w:rsidRPr="00B33B0B">
        <w:rPr>
          <w:rFonts w:ascii="Arial" w:hAnsi="Arial" w:cs="Arial"/>
          <w:color w:val="auto"/>
          <w:sz w:val="16"/>
          <w:szCs w:val="16"/>
          <w:lang w:val="en-GB"/>
        </w:rPr>
        <w:t>Jarlais</w:t>
      </w:r>
      <w:proofErr w:type="spellEnd"/>
      <w:r w:rsidR="00425783" w:rsidRPr="00B33B0B">
        <w:rPr>
          <w:rFonts w:ascii="Arial" w:hAnsi="Arial" w:cs="Arial"/>
          <w:color w:val="auto"/>
          <w:sz w:val="16"/>
          <w:szCs w:val="16"/>
          <w:lang w:val="en-GB"/>
        </w:rPr>
        <w:t xml:space="preserve">, D. C., Lyles, C., </w:t>
      </w:r>
      <w:proofErr w:type="spellStart"/>
      <w:r w:rsidR="00425783" w:rsidRPr="00B33B0B">
        <w:rPr>
          <w:rFonts w:ascii="Arial" w:hAnsi="Arial" w:cs="Arial"/>
          <w:color w:val="auto"/>
          <w:sz w:val="16"/>
          <w:szCs w:val="16"/>
          <w:lang w:val="en-GB"/>
        </w:rPr>
        <w:t>Crepaz</w:t>
      </w:r>
      <w:proofErr w:type="spellEnd"/>
      <w:r w:rsidR="00425783" w:rsidRPr="00B33B0B">
        <w:rPr>
          <w:rFonts w:ascii="Arial" w:hAnsi="Arial" w:cs="Arial"/>
          <w:color w:val="auto"/>
          <w:sz w:val="16"/>
          <w:szCs w:val="16"/>
          <w:lang w:val="en-GB"/>
        </w:rPr>
        <w:t xml:space="preserve">, N., &amp; the Trend Group (2004). Improving the reporting quality of nonrandomized evaluations of </w:t>
      </w:r>
      <w:proofErr w:type="spellStart"/>
      <w:r w:rsidR="00425783" w:rsidRPr="00B33B0B">
        <w:rPr>
          <w:rFonts w:ascii="Arial" w:hAnsi="Arial" w:cs="Arial"/>
          <w:color w:val="auto"/>
          <w:sz w:val="16"/>
          <w:szCs w:val="16"/>
          <w:lang w:val="en-GB"/>
        </w:rPr>
        <w:t>behavioral</w:t>
      </w:r>
      <w:proofErr w:type="spellEnd"/>
      <w:r w:rsidR="00425783" w:rsidRPr="00B33B0B">
        <w:rPr>
          <w:rFonts w:ascii="Arial" w:hAnsi="Arial" w:cs="Arial"/>
          <w:color w:val="auto"/>
          <w:sz w:val="16"/>
          <w:szCs w:val="16"/>
          <w:lang w:val="en-GB"/>
        </w:rPr>
        <w:t xml:space="preserve"> and public health interventions: The TREND statement. </w:t>
      </w:r>
      <w:r w:rsidR="00425783" w:rsidRPr="00B33B0B">
        <w:rPr>
          <w:rFonts w:ascii="Arial" w:hAnsi="Arial" w:cs="Arial"/>
          <w:i/>
          <w:color w:val="auto"/>
          <w:sz w:val="16"/>
          <w:szCs w:val="16"/>
          <w:lang w:val="en-GB"/>
        </w:rPr>
        <w:t>American Journal of Public Health</w:t>
      </w:r>
      <w:r w:rsidR="00425783" w:rsidRPr="00B33B0B">
        <w:rPr>
          <w:rFonts w:ascii="Arial" w:hAnsi="Arial" w:cs="Arial"/>
          <w:color w:val="auto"/>
          <w:sz w:val="16"/>
          <w:szCs w:val="16"/>
          <w:lang w:val="en-GB"/>
        </w:rPr>
        <w:t xml:space="preserve">, 94, 361-366. </w:t>
      </w:r>
      <w:r w:rsidR="005E50CB" w:rsidRPr="00B33B0B">
        <w:rPr>
          <w:rFonts w:ascii="Arial" w:hAnsi="Arial" w:cs="Arial"/>
          <w:color w:val="auto"/>
          <w:sz w:val="16"/>
          <w:szCs w:val="16"/>
          <w:lang w:val="en-GB"/>
        </w:rPr>
        <w:t xml:space="preserve"> </w:t>
      </w:r>
      <w:r w:rsidR="00425783" w:rsidRPr="00B33B0B">
        <w:rPr>
          <w:rFonts w:ascii="Arial" w:hAnsi="Arial" w:cs="Arial"/>
          <w:color w:val="auto"/>
          <w:sz w:val="16"/>
          <w:szCs w:val="16"/>
          <w:lang w:val="en-GB"/>
        </w:rPr>
        <w:t xml:space="preserve">For more information, visit: </w:t>
      </w:r>
      <w:hyperlink r:id="rId8" w:history="1">
        <w:r w:rsidR="00425783" w:rsidRPr="00B33B0B">
          <w:rPr>
            <w:rStyle w:val="Hyperlink"/>
            <w:rFonts w:ascii="Arial" w:hAnsi="Arial" w:cs="Arial"/>
            <w:sz w:val="16"/>
            <w:szCs w:val="16"/>
            <w:lang w:val="en-GB"/>
          </w:rPr>
          <w:t>http://www.cdc.gov/trendstatement/</w:t>
        </w:r>
      </w:hyperlink>
    </w:p>
    <w:sectPr w:rsidR="00425783" w:rsidRPr="00B33B0B" w:rsidSect="00FA2D8E">
      <w:headerReference w:type="default" r:id="rId9"/>
      <w:pgSz w:w="15840" w:h="12240" w:orient="landscape"/>
      <w:pgMar w:top="720" w:right="720" w:bottom="720" w:left="720" w:header="63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500EB" w14:textId="77777777" w:rsidR="00F86DFD" w:rsidRDefault="00F86DFD">
      <w:r>
        <w:separator/>
      </w:r>
    </w:p>
  </w:endnote>
  <w:endnote w:type="continuationSeparator" w:id="0">
    <w:p w14:paraId="79D5E466" w14:textId="77777777" w:rsidR="00F86DFD" w:rsidRDefault="00F86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99DC6" w14:textId="77777777" w:rsidR="00F86DFD" w:rsidRDefault="00F86DFD">
      <w:r>
        <w:separator/>
      </w:r>
    </w:p>
  </w:footnote>
  <w:footnote w:type="continuationSeparator" w:id="0">
    <w:p w14:paraId="0703E0D4" w14:textId="77777777" w:rsidR="00F86DFD" w:rsidRDefault="00F86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497B8" w14:textId="77777777" w:rsidR="00823E0B" w:rsidRPr="00160B5A" w:rsidRDefault="00823E0B" w:rsidP="00D855E2">
    <w:pPr>
      <w:pStyle w:val="CM2"/>
      <w:spacing w:after="120"/>
      <w:rPr>
        <w:rFonts w:ascii="Lucida Sans" w:hAnsi="Lucida Sans"/>
        <w:sz w:val="32"/>
        <w:szCs w:val="32"/>
      </w:rPr>
    </w:pPr>
    <w:r w:rsidRPr="00160B5A">
      <w:rPr>
        <w:rFonts w:ascii="Lucida Sans" w:hAnsi="Lucida Sans"/>
        <w:b/>
        <w:noProof/>
        <w:sz w:val="32"/>
        <w:szCs w:val="32"/>
      </w:rPr>
      <w:t>T</w:t>
    </w:r>
    <w:r>
      <w:rPr>
        <w:rFonts w:ascii="Lucida Sans" w:hAnsi="Lucida Sans"/>
        <w:b/>
        <w:noProof/>
        <w:sz w:val="32"/>
        <w:szCs w:val="32"/>
      </w:rPr>
      <w:t xml:space="preserve">REND </w:t>
    </w:r>
    <w:r w:rsidRPr="00160B5A">
      <w:rPr>
        <w:rFonts w:ascii="Lucida Sans" w:hAnsi="Lucida Sans"/>
        <w:b/>
        <w:noProof/>
        <w:sz w:val="32"/>
        <w:szCs w:val="32"/>
      </w:rPr>
      <w:t>Statement</w:t>
    </w:r>
    <w:r w:rsidRPr="00160B5A">
      <w:rPr>
        <w:rFonts w:ascii="Lucida Sans" w:hAnsi="Lucida Sans"/>
        <w:b/>
        <w:bCs/>
        <w:sz w:val="32"/>
        <w:szCs w:val="32"/>
      </w:rPr>
      <w:t xml:space="preserve">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87B90"/>
    <w:multiLevelType w:val="hybridMultilevel"/>
    <w:tmpl w:val="F6DE2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F1C30"/>
    <w:multiLevelType w:val="hybridMultilevel"/>
    <w:tmpl w:val="1024A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9575C"/>
    <w:multiLevelType w:val="hybridMultilevel"/>
    <w:tmpl w:val="29029F60"/>
    <w:lvl w:ilvl="0" w:tplc="8F505698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z w:val="32"/>
        <w:szCs w:val="4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752B48"/>
    <w:multiLevelType w:val="hybridMultilevel"/>
    <w:tmpl w:val="B21A0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A7F90"/>
    <w:multiLevelType w:val="hybridMultilevel"/>
    <w:tmpl w:val="346C6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4042C1"/>
    <w:multiLevelType w:val="hybridMultilevel"/>
    <w:tmpl w:val="47A04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0C2D9E"/>
    <w:multiLevelType w:val="hybridMultilevel"/>
    <w:tmpl w:val="BFAA8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10549D"/>
    <w:multiLevelType w:val="hybridMultilevel"/>
    <w:tmpl w:val="50820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063AB4"/>
    <w:multiLevelType w:val="hybridMultilevel"/>
    <w:tmpl w:val="890E5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4E5D5E"/>
    <w:multiLevelType w:val="hybridMultilevel"/>
    <w:tmpl w:val="98BE2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24593B"/>
    <w:multiLevelType w:val="hybridMultilevel"/>
    <w:tmpl w:val="009EE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80027D"/>
    <w:multiLevelType w:val="hybridMultilevel"/>
    <w:tmpl w:val="374E1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1C456B"/>
    <w:multiLevelType w:val="hybridMultilevel"/>
    <w:tmpl w:val="A2B69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942E86"/>
    <w:multiLevelType w:val="hybridMultilevel"/>
    <w:tmpl w:val="2BC0E8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F581F16"/>
    <w:multiLevelType w:val="hybridMultilevel"/>
    <w:tmpl w:val="6F267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085884">
    <w:abstractNumId w:val="11"/>
  </w:num>
  <w:num w:numId="2" w16cid:durableId="1756508038">
    <w:abstractNumId w:val="14"/>
  </w:num>
  <w:num w:numId="3" w16cid:durableId="1402412876">
    <w:abstractNumId w:val="1"/>
  </w:num>
  <w:num w:numId="4" w16cid:durableId="1503811915">
    <w:abstractNumId w:val="13"/>
  </w:num>
  <w:num w:numId="5" w16cid:durableId="1729915895">
    <w:abstractNumId w:val="0"/>
  </w:num>
  <w:num w:numId="6" w16cid:durableId="721636247">
    <w:abstractNumId w:val="6"/>
  </w:num>
  <w:num w:numId="7" w16cid:durableId="762799183">
    <w:abstractNumId w:val="12"/>
  </w:num>
  <w:num w:numId="8" w16cid:durableId="1790852569">
    <w:abstractNumId w:val="4"/>
  </w:num>
  <w:num w:numId="9" w16cid:durableId="1559130086">
    <w:abstractNumId w:val="8"/>
  </w:num>
  <w:num w:numId="10" w16cid:durableId="601646199">
    <w:abstractNumId w:val="10"/>
  </w:num>
  <w:num w:numId="11" w16cid:durableId="33238440">
    <w:abstractNumId w:val="7"/>
  </w:num>
  <w:num w:numId="12" w16cid:durableId="904490282">
    <w:abstractNumId w:val="5"/>
  </w:num>
  <w:num w:numId="13" w16cid:durableId="1172380627">
    <w:abstractNumId w:val="3"/>
  </w:num>
  <w:num w:numId="14" w16cid:durableId="796411162">
    <w:abstractNumId w:val="9"/>
  </w:num>
  <w:num w:numId="15" w16cid:durableId="12427160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BAF"/>
    <w:rsid w:val="00005F88"/>
    <w:rsid w:val="00021B68"/>
    <w:rsid w:val="00026213"/>
    <w:rsid w:val="00085159"/>
    <w:rsid w:val="000E7343"/>
    <w:rsid w:val="000F0DB9"/>
    <w:rsid w:val="000F0E74"/>
    <w:rsid w:val="000F4166"/>
    <w:rsid w:val="00135DA7"/>
    <w:rsid w:val="00160B5A"/>
    <w:rsid w:val="001671A9"/>
    <w:rsid w:val="00192E6F"/>
    <w:rsid w:val="001D2287"/>
    <w:rsid w:val="001E42D3"/>
    <w:rsid w:val="00202425"/>
    <w:rsid w:val="00246C93"/>
    <w:rsid w:val="00247ACE"/>
    <w:rsid w:val="00256BAF"/>
    <w:rsid w:val="00260001"/>
    <w:rsid w:val="002A2A06"/>
    <w:rsid w:val="002A7BA1"/>
    <w:rsid w:val="002B0ED4"/>
    <w:rsid w:val="002F2891"/>
    <w:rsid w:val="00300AF0"/>
    <w:rsid w:val="00303437"/>
    <w:rsid w:val="00336C21"/>
    <w:rsid w:val="00346406"/>
    <w:rsid w:val="00356996"/>
    <w:rsid w:val="00363B8D"/>
    <w:rsid w:val="00381E45"/>
    <w:rsid w:val="003A1F97"/>
    <w:rsid w:val="003A7393"/>
    <w:rsid w:val="003B3C20"/>
    <w:rsid w:val="003B79FF"/>
    <w:rsid w:val="003F021A"/>
    <w:rsid w:val="003F4969"/>
    <w:rsid w:val="00400A0B"/>
    <w:rsid w:val="00421D2C"/>
    <w:rsid w:val="00425783"/>
    <w:rsid w:val="00462E41"/>
    <w:rsid w:val="00463DFE"/>
    <w:rsid w:val="004A40F0"/>
    <w:rsid w:val="004B3604"/>
    <w:rsid w:val="004B53E6"/>
    <w:rsid w:val="004C1685"/>
    <w:rsid w:val="004F23CD"/>
    <w:rsid w:val="0050196E"/>
    <w:rsid w:val="00517A32"/>
    <w:rsid w:val="00533706"/>
    <w:rsid w:val="00550BF1"/>
    <w:rsid w:val="0057577D"/>
    <w:rsid w:val="0059028D"/>
    <w:rsid w:val="005979B8"/>
    <w:rsid w:val="005E01D3"/>
    <w:rsid w:val="005E1498"/>
    <w:rsid w:val="005E50CB"/>
    <w:rsid w:val="005F2FD8"/>
    <w:rsid w:val="00600B66"/>
    <w:rsid w:val="00603F77"/>
    <w:rsid w:val="00614D8A"/>
    <w:rsid w:val="006442E3"/>
    <w:rsid w:val="00656F2C"/>
    <w:rsid w:val="00682D39"/>
    <w:rsid w:val="00685F7F"/>
    <w:rsid w:val="006C4940"/>
    <w:rsid w:val="006C4F16"/>
    <w:rsid w:val="006F20F1"/>
    <w:rsid w:val="007257EA"/>
    <w:rsid w:val="007452C8"/>
    <w:rsid w:val="00771E0E"/>
    <w:rsid w:val="007872C0"/>
    <w:rsid w:val="0079410E"/>
    <w:rsid w:val="007C1083"/>
    <w:rsid w:val="00823E0B"/>
    <w:rsid w:val="0086617C"/>
    <w:rsid w:val="0089271F"/>
    <w:rsid w:val="00893772"/>
    <w:rsid w:val="008E2C91"/>
    <w:rsid w:val="00924819"/>
    <w:rsid w:val="00932EC1"/>
    <w:rsid w:val="00933FC5"/>
    <w:rsid w:val="009370BF"/>
    <w:rsid w:val="009453EB"/>
    <w:rsid w:val="00947707"/>
    <w:rsid w:val="00984FB7"/>
    <w:rsid w:val="00992F8B"/>
    <w:rsid w:val="009D107C"/>
    <w:rsid w:val="009D4069"/>
    <w:rsid w:val="009E452F"/>
    <w:rsid w:val="00A05485"/>
    <w:rsid w:val="00A079CC"/>
    <w:rsid w:val="00A24F7E"/>
    <w:rsid w:val="00A42332"/>
    <w:rsid w:val="00A45223"/>
    <w:rsid w:val="00AE3E20"/>
    <w:rsid w:val="00AE6E3E"/>
    <w:rsid w:val="00B05350"/>
    <w:rsid w:val="00B3114F"/>
    <w:rsid w:val="00B33B0B"/>
    <w:rsid w:val="00B42D62"/>
    <w:rsid w:val="00B63000"/>
    <w:rsid w:val="00BA2CC4"/>
    <w:rsid w:val="00BF2909"/>
    <w:rsid w:val="00C169FA"/>
    <w:rsid w:val="00C230E5"/>
    <w:rsid w:val="00C3374E"/>
    <w:rsid w:val="00C771BF"/>
    <w:rsid w:val="00C87067"/>
    <w:rsid w:val="00C934EA"/>
    <w:rsid w:val="00C96E1C"/>
    <w:rsid w:val="00D71DD6"/>
    <w:rsid w:val="00D7629D"/>
    <w:rsid w:val="00D855E2"/>
    <w:rsid w:val="00D8683C"/>
    <w:rsid w:val="00D94711"/>
    <w:rsid w:val="00D96F41"/>
    <w:rsid w:val="00DF50C3"/>
    <w:rsid w:val="00E12E0B"/>
    <w:rsid w:val="00E324A8"/>
    <w:rsid w:val="00E57A6A"/>
    <w:rsid w:val="00E620C3"/>
    <w:rsid w:val="00E842CE"/>
    <w:rsid w:val="00E8604D"/>
    <w:rsid w:val="00E874AC"/>
    <w:rsid w:val="00EB566D"/>
    <w:rsid w:val="00EB7EDE"/>
    <w:rsid w:val="00ED1AA4"/>
    <w:rsid w:val="00EE49E0"/>
    <w:rsid w:val="00EE7836"/>
    <w:rsid w:val="00F451DA"/>
    <w:rsid w:val="00F5271C"/>
    <w:rsid w:val="00F6380D"/>
    <w:rsid w:val="00F67C14"/>
    <w:rsid w:val="00F71F95"/>
    <w:rsid w:val="00F82C1B"/>
    <w:rsid w:val="00F86DFD"/>
    <w:rsid w:val="00FA2D8E"/>
    <w:rsid w:val="00FB15AC"/>
    <w:rsid w:val="00FB3483"/>
    <w:rsid w:val="00FC3839"/>
    <w:rsid w:val="00FC4C90"/>
    <w:rsid w:val="50A59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664E09"/>
  <w15:chartTrackingRefBased/>
  <w15:docId w15:val="{BC9A0144-44A1-480C-9904-F1A213731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after="373"/>
    </w:pPr>
    <w:rPr>
      <w:rFonts w:cs="Times New Roman"/>
      <w:color w:val="auto"/>
    </w:rPr>
  </w:style>
  <w:style w:type="paragraph" w:styleId="Header">
    <w:name w:val="header"/>
    <w:basedOn w:val="Normal"/>
    <w:rsid w:val="00E324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324A8"/>
    <w:pPr>
      <w:tabs>
        <w:tab w:val="center" w:pos="4320"/>
        <w:tab w:val="right" w:pos="8640"/>
      </w:tabs>
    </w:pPr>
  </w:style>
  <w:style w:type="character" w:styleId="Hyperlink">
    <w:name w:val="Hyperlink"/>
    <w:rsid w:val="0042578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A2D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A2D8E"/>
    <w:rPr>
      <w:rFonts w:ascii="Tahoma" w:hAnsi="Tahoma" w:cs="Tahoma"/>
      <w:sz w:val="16"/>
      <w:szCs w:val="16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trendstatemen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6A8B1-0197-4500-ACC2-25A36EB3A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2901</Words>
  <Characters>16538</Characters>
  <Application>Microsoft Office Word</Application>
  <DocSecurity>0</DocSecurity>
  <Lines>137</Lines>
  <Paragraphs>38</Paragraphs>
  <ScaleCrop>false</ScaleCrop>
  <Company>Newcastle University</Company>
  <LinksUpToDate>false</LinksUpToDate>
  <CharactersWithSpaces>19401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TREND Statement Checklist.doc</dc:title>
  <dc:subject/>
  <dc:creator>ian.grieve@zoeticscience.com</dc:creator>
  <cp:keywords/>
  <cp:lastModifiedBy>Rosanna Tran (Northern Sydney LHD)</cp:lastModifiedBy>
  <cp:revision>5</cp:revision>
  <cp:lastPrinted>2014-06-03T21:21:00Z</cp:lastPrinted>
  <dcterms:created xsi:type="dcterms:W3CDTF">2026-10-03T05:08:00Z</dcterms:created>
  <dcterms:modified xsi:type="dcterms:W3CDTF">2026-10-03T05:12:00Z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6a44f01-6907-4156-9b79-a71e6c56ad93_Enabled">
    <vt:lpwstr>true</vt:lpwstr>
  </property>
  <property fmtid="{D5CDD505-2E9C-101B-9397-08002B2CF9AE}" pid="3" name="MSIP_Label_76a44f01-6907-4156-9b79-a71e6c56ad93_SetDate">
    <vt:lpwstr>2026-05-27T10:21:50Z</vt:lpwstr>
  </property>
  <property fmtid="{D5CDD505-2E9C-101B-9397-08002B2CF9AE}" pid="4" name="MSIP_Label_76a44f01-6907-4156-9b79-a71e6c56ad93_Method">
    <vt:lpwstr>Privileged</vt:lpwstr>
  </property>
  <property fmtid="{D5CDD505-2E9C-101B-9397-08002B2CF9AE}" pid="5" name="MSIP_Label_76a44f01-6907-4156-9b79-a71e6c56ad93_Name">
    <vt:lpwstr>OFFICIAL</vt:lpwstr>
  </property>
  <property fmtid="{D5CDD505-2E9C-101B-9397-08002B2CF9AE}" pid="6" name="MSIP_Label_76a44f01-6907-4156-9b79-a71e6c56ad93_SiteId">
    <vt:lpwstr>a687a7bf-02db-43df-bcbb-e7a8bda611a2</vt:lpwstr>
  </property>
  <property fmtid="{D5CDD505-2E9C-101B-9397-08002B2CF9AE}" pid="7" name="MSIP_Label_76a44f01-6907-4156-9b79-a71e6c56ad93_ActionId">
    <vt:lpwstr>8e908cc0-81c6-4760-b768-3d98e7dec5b2</vt:lpwstr>
  </property>
  <property fmtid="{D5CDD505-2E9C-101B-9397-08002B2CF9AE}" pid="8" name="MSIP_Label_76a44f01-6907-4156-9b79-a71e6c56ad93_ContentBits">
    <vt:lpwstr>0</vt:lpwstr>
  </property>
  <property fmtid="{D5CDD505-2E9C-101B-9397-08002B2CF9AE}" pid="9" name="MSIP_Label_76a44f01-6907-4156-9b79-a71e6c56ad93_Tag">
    <vt:lpwstr>10, 0, 1, 2</vt:lpwstr>
  </property>
</Properties>
</file>