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4"/>
        </w:rPr>
        <w:t>Table 1</w:t>
      </w:r>
    </w:p>
    <w:p>
      <w:r>
        <w:rPr>
          <w:b/>
          <w:sz w:val="20"/>
        </w:rPr>
        <w:t>Baseline characteristics of the Emulation 1 landmark cohort before and after overlap weighting (n=7,398). All severity variables measured strictly before the echocardiogram (time zero); comorbidities from pre-admission diagnoses. Weighted values describe the overlap population. (Full version in Table S6.)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</w:tcPr>
          <w:p>
            <w:pPr>
              <w:spacing w:after="40"/>
            </w:pPr>
            <w:r>
              <w:rPr>
                <w:b/>
                <w:sz w:val="18"/>
              </w:rPr>
              <w:t>Characteristic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b/>
                <w:sz w:val="18"/>
              </w:rPr>
              <w:t>≥30 mL/kg (n=1,357)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b/>
                <w:sz w:val="18"/>
              </w:rPr>
              <w:t>&lt;30 mL/kg (n=6,041)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b/>
                <w:sz w:val="18"/>
              </w:rPr>
              <w:t>SMD unadj.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b/>
                <w:sz w:val="18"/>
              </w:rPr>
              <w:t>SMD after OW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Age, yr, median (IQR)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65.0 (52.0–77.0)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69.0 (59.0–79.0)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−0.278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−0.002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Male, %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53.6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56.5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−0.057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−0.003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Weight, kg, median (IQR)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73.5 (61.2–88.0)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80.8 (67.7–97.2)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−0.350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0.007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Pre-TTE SOFA total, median (IQR)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6.0 (3.0–9.0)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4.0 (1.0–6.0)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0.587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0.000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Lactate max pre-TTE, mmol/L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3.2 (1.9–5.7)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2.0 (1.4–3.2)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0.485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0.001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MAP min pre-TTE, mmHg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57.0 (49.0–65.0)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61.0 (54.0–70.0)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−0.302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0.001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Heart rate mean pre-TTE, /min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94.8 (81.2–109.0)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87.5 (74.2–100.3)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0.366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0.001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Norepinephrine max pre-TTE, µg/kg/min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0.3 (0.2–0.5)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0.2 (0.1–0.3)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0.183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0.006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Mechanical ventilation pre-TTE, %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55.6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24.8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0.661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0.001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RRT pre-TTE, %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3.7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1.1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0.172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0.001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Systemic corticosteroids pre-TTE, %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18.1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16.4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0.046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0.001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Vasopressor pre-TTE, %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56.2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24.7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0.677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−0.003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Septic shock pre-TTE (Sepsis-3), %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40.2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12.2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0.671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−0.001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Diuretic pre-TTE, %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16.0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29.8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−0.334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0.004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Surgical admission, %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22.3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13.3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0.235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0.002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Fluid before TTE, mL, median (IQR)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1324.2 (308.4–2722.9)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212.6 (0.0–873.7)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0.763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0.001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Heart failure (prior admission), %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14.2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20.0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−0.154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−0.002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Arrhythmia (prior admission), %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15.2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19.5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−0.114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−0.003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Ischaemic heart disease (prior admission), %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14.0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20.1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−0.164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−0.007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CKD (prior admission), %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12.2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17.2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−0.142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−0.010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Chronic liver disease (prior admission), %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5.4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5.3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0.001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0.001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Diabetes (prior admission), %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16.4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20.3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−0.102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0.001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COPD (prior admission), %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6.7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7.8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−0.043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−0.002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Hypertension (prior admission), %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22.7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27.4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−0.109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−0.006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Malignancy (prior admission), %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12.2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12.8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−0.017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−0.001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24-h SOFA total (not in PS model), median (IQR)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11.0 (8.0–14.0)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8.0 (6.0–11.0)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0.635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0.154</w:t>
            </w:r>
          </w:p>
        </w:tc>
      </w:tr>
      <w:tr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Post-TTE 24-h fluid, mL/kg, median (IQR)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45.1 (36.1–62.2)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7.1 (1.1–15.0)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—</w:t>
            </w:r>
          </w:p>
        </w:tc>
        <w:tc>
          <w:tcPr>
            <w:tcW w:type="dxa" w:w="2040"/>
          </w:tcPr>
          <w:p>
            <w:pPr>
              <w:spacing w:after="40"/>
            </w:pPr>
            <w:r>
              <w:rPr>
                <w:sz w:val="18"/>
              </w:rPr>
              <w:t>—</w:t>
            </w:r>
          </w:p>
        </w:tc>
      </w:tr>
    </w:tbl>
    <w:p/>
    <w:p>
      <w:r>
        <w:rPr>
          <w:sz w:val="16"/>
        </w:rPr>
        <w:t>IQR, interquartile range; SMD, standardised mean difference; OW, overlap weighting; SOFA, Sequential Organ Failure Assessment; MAP, mean arterial pressure; RRT, renal replacement therapy; CKD, chronic kidney disease; COPD, chronic obstructive pulmonary disease; TTE, transthoracic echocardiography. Medians are unweighted; weighted summaries of the overlap population are given in Table S6. Missingness per covariate is reported in Table S5.</w:t>
      </w:r>
    </w:p>
    <w:sectPr w:rsidR="00FC693F" w:rsidRPr="0006063C" w:rsidSect="00034616">
      <w:pgSz w:w="12240" w:h="15840"/>
      <w:pgMar w:top="1134" w:right="1020" w:bottom="113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