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Table 4</w:t>
      </w:r>
    </w:p>
    <w:p>
      <w:r>
        <w:rPr>
          <w:b/>
          <w:sz w:val="20"/>
        </w:rPr>
        <w:t>Emulations 2 and 3 (overlap-weighted; 28-day all-cause mortality from landmark at TTE+48 h).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Analysis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n (treated)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Deaths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HR (95% CI)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RD, % (95% CI)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Emulation 2: dobutamine new-user, LVEF &lt;40%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1,201 (100)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291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1.57 (0.95–2.60)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+10.8 (−1.7 to 23.2)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Emulation 2: penalised (L1) propensity model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1,201 (100)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291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1.55 (0.98–2.47)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+10.3 (—)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Emulation 2: any inotrope new-user (sensitivity)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1,201 (132)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291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1.12 (0.70–1.79)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+2.4 (—)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Emulation 3: vasopressin new-user, overall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6,474 (360)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1,287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2.55 (2.13–3.06)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+23.9 (18.6 to 28.7)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Emulation 3: hyperdynamic (measured LVEF ≥70%)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777 (56)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192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3.30 (2.16–5.04)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+36.5 (—)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Emulation 3: non-hyperdynamic (measured LVEF &lt;70%)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4,636 (231)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861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2.42 (1.91–3.06)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+21.6 (—)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Emulation 3: treatment × hyperdynamic interaction (measured LVEF, n=5,413)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—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—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1.34 (0.83–2.17), p=0.23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+14.9, p=0.065</w:t>
            </w:r>
          </w:p>
        </w:tc>
      </w:tr>
    </w:tbl>
    <w:sectPr w:rsidR="00FC693F" w:rsidRPr="0006063C" w:rsidSect="00034616">
      <w:pgSz w:w="12240" w:h="15840"/>
      <w:pgMar w:top="1134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