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Table 3</w:t>
      </w:r>
    </w:p>
    <w:p>
      <w:r>
        <w:rPr>
          <w:b/>
          <w:sz w:val="20"/>
        </w:rPr>
        <w:t>Overlap-weighted associations between post-echocardiography fluid volume (≥30 vs &lt;30 mL/kg) and 28-day all-cause mortality from landmark, overall and by stratum (Emulation 1, n=7,398). Propensity scores re-estimated within phenotype strata.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pPr>
              <w:spacing w:after="40"/>
            </w:pPr>
            <w:r>
              <w:rPr>
                <w:b/>
                <w:sz w:val="18"/>
              </w:rPr>
              <w:t>Stratum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b/>
                <w:sz w:val="18"/>
              </w:rPr>
              <w:t>n (treated)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b/>
                <w:sz w:val="18"/>
              </w:rPr>
              <w:t>Deaths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b/>
                <w:sz w:val="18"/>
              </w:rPr>
              <w:t>HR (95% CI)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b/>
                <w:sz w:val="18"/>
              </w:rPr>
              <w:t>Risk ≥30, %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b/>
                <w:sz w:val="18"/>
              </w:rPr>
              <w:t>Risk &lt;30, %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b/>
                <w:sz w:val="18"/>
              </w:rPr>
              <w:t>RD, % (95% CI)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Overall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7,398 (1,357)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1,766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1.74 (1.54–1.97)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38.7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24.8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+13.9 (10.8 to 17.0)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LVEF &lt;40%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1,361 (279)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386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1.63 (1.26–2.10)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45.0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31.4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+13.6 (5.4 to 21.1)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LVEF 40–54%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1,180 (231)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268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2.02 (1.47–2.79)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38.2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21.1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+17.2 (9.6 to 24.7)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LVEF 55–69%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2,752 (490)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532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1.88 (1.51–2.34)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32.8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19.2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+13.6 (9.0 to 17.8)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LVEF ≥70% (hyperdynamic)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896 (207)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267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1.39 (1.02–1.89)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41.2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32.5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+8.7 (0.8 to 18.0)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RV normal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4,814 (837)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998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1.67 (1.42–1.97)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34.0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21.8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+11.8 (8.1 to 15.6)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RV dysfunction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1,979 (409)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639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1.77 (1.43–2.18)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49.6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32.1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+16.9 (10.5 to 22.8)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Pre-TTE SOFA tertile 1 (0–2)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2,660 (306)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379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2.45 (1.91–3.13)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32.5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14.7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+17.9 (11.8 to 22.7)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Pre-TTE SOFA tertile 2 (3–6)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2,758 (416)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612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1.87 (1.50–2.33)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34.6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20.1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+14.5 (9.1 to 19.8)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Pre-TTE SOFA tertile 3 (7–20)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1,980 (635)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775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1.45 (1.22–1.73)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47.9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36.6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+11.3 (5.5 to 16.7)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No septic shock pre-TTE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6,113 (811)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1,269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1.89 (1.63–2.19)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35.4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20.5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+14.9 (10.9 to 18.2)</w:t>
            </w:r>
          </w:p>
        </w:tc>
      </w:tr>
      <w:tr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Septic shock pre-TTE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1,285 (546)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497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1.53 (1.24–1.88)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47.8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34.4</w:t>
            </w:r>
          </w:p>
        </w:tc>
        <w:tc>
          <w:tcPr>
            <w:tcW w:type="dxa" w:w="1457"/>
          </w:tcPr>
          <w:p>
            <w:pPr>
              <w:spacing w:after="40"/>
            </w:pPr>
            <w:r>
              <w:rPr>
                <w:sz w:val="18"/>
              </w:rPr>
              <w:t>+13.4 (5.8 to 19.1)</w:t>
            </w:r>
          </w:p>
        </w:tc>
      </w:tr>
    </w:tbl>
    <w:p/>
    <w:p>
      <w:r>
        <w:rPr>
          <w:sz w:val="16"/>
        </w:rPr>
        <w:t>Interaction tests: LVEF multiplicative χ²(3)=2.68, p=0.44; LVEF additive Q=2.05, p=0.56; RV multiplicative p=0.65; RV additive p=0.16; continuous LVEF × treatment p=0.82; SOFA additive p=0.32; septic shock additive p=0.58. HR, hazard ratio from weighted Cox models with robust standard errors; risk, weighted Kaplan–Meier mortality at 28 days; RD, risk difference (bootstrap percentile CI, 1,008 replicates, propensity scores re-estimated within each replicate).</w:t>
      </w:r>
    </w:p>
    <w:sectPr w:rsidR="00FC693F" w:rsidRPr="0006063C" w:rsidSect="00034616">
      <w:pgSz w:w="12240" w:h="15840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