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Supplementary Material</w:t>
      </w:r>
    </w:p>
    <w:p>
      <w:r>
        <w:rPr>
          <w:b/>
        </w:rPr>
        <w:t>Fluid Resuscitation Volume After Early Echocardiography and Mortality in Sepsis: Target Trial Emulations With Strictly Pre-Exposure Confounder Measurement in MIMIC-IV</w:t>
      </w:r>
    </w:p>
    <w:p>
      <w:pPr>
        <w:pStyle w:val="Heading2"/>
      </w:pPr>
      <w:r>
        <w:t>Table S1. Sepsis-3 stays with vs without qualifying early echocardiography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18"/>
              </w:rPr>
              <w:t>Characteristic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8"/>
              </w:rPr>
              <w:t>Early TTE (n=8,410)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8"/>
              </w:rPr>
              <w:t>No early TTE (n=23,755)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Age, yr, median (IQR)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69.0 (58.0–79.0)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67.0 (55.0–78.0)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Male, 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56.4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56.1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24-h SOFA total, median (IQR)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9.0 (7.0–11.0)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8.0 (6.0–10.0)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Lactate max (24 h), mmol/L, median (IQR)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2.5 (1.6–4.2)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2.2 (1.5–3.5)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Mechanical ventilation (24 h), 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44.9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40.9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RRT (24 h), 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4.4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2.5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Hospital mortality, 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22.2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12.8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ICU length of stay, days, median (IQR)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3.0 (1.7–6.1)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2.3 (1.3–4.6)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Coronary Care Unit as first ICU, 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22.4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6.2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Medical ICU as first ICU, 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33.2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30.0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Surgical/Trauma ICU as first ICU, 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13.9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22.5</w:t>
            </w:r>
          </w:p>
        </w:tc>
      </w:tr>
    </w:tbl>
    <w:p>
      <w:pPr>
        <w:pStyle w:val="Heading2"/>
      </w:pPr>
      <w:r>
        <w:t>Table S2. RV function category mapping (MIMIC-IV-ECHO standardised rv_function values; counts in the 7,819-stay source cohort)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18"/>
              </w:rPr>
              <w:t>Standardised category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8"/>
              </w:rPr>
              <w:t>n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8"/>
              </w:rPr>
              <w:t>Mapping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Nl RV function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4,572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Normal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Low normal function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441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Normal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Hyperdynamic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25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Normal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Mild global RV hypo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721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Dysfunction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Moderate global RV hypo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514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Dysfunction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RV function depressed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337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Dysfunction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Severe global hypo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309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Dysfunction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Apical free wall hypo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199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Dysfunction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Basal RV hypo (McConnell's sign)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55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Dysfunction (excluded in sensitivity analysis)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RV not well seen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209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Missing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Cannot assess RV function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68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Missing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(blank)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369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Missing</w:t>
            </w:r>
          </w:p>
        </w:tc>
      </w:tr>
    </w:tbl>
    <w:p>
      <w:r>
        <w:t>The mapping covers 100% of observed categories. Convergent validity: median TAPSE 2.1 cm (normal) vs 1.3 cm (dysfunction); median TR gradient 30 vs 34 mmHg.</w:t>
      </w:r>
    </w:p>
    <w:p>
      <w:pPr>
        <w:pStyle w:val="Heading2"/>
      </w:pPr>
      <w:r>
        <w:t>Table S3. Fluid item codes included in the exposure (inputevents; total administered volume including maintenance and drug carriers)</w:t>
      </w:r>
    </w:p>
    <w:p>
      <w:r>
        <w:t>Crystalloids: NaCl 0.9% (225158, 220954), NaCl 0.45% (225159, 220960), NaCl 3% (225161, 220962), saline 0.255%/0.3%/0.65% (220958–220961), Ringer's/lactated Ringer's/acetated Ringer's (220953, 220955, 220956), Normosol (221208), dextrose-containing solutions (220949–220952, 220963–220968, 225823, 225825, 225827, 225941, 228140–228142).</w:t>
      </w:r>
    </w:p>
    <w:p>
      <w:r>
        <w:t>Colloids: albumin 4%/5%/20%/25% (220861–220864), hetastarch/pentastarch/gelofusine (225174, 220975, 220977, 220979, 220980, 220973).</w:t>
      </w:r>
    </w:p>
    <w:p>
      <w:pPr>
        <w:pStyle w:val="Heading2"/>
      </w:pPr>
      <w:r>
        <w:t>Table S4. Legacy analysis (previous version): 26-day in-hospital mortality with discharge alive as competing event; covariates measured over the first 24 h of ICU admission; comorbidities from index-admission codes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18"/>
              </w:rPr>
              <w:t>Stratum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8"/>
              </w:rPr>
              <w:t>HR (95% CI)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8"/>
              </w:rPr>
              <w:t>RD, % (95% CI)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Overall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1.33 (1.16–1.53)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+9.08 (5.95 to 11.99)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LVEF &lt;40%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1.30 (0.98–1.72)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+9.16 (2.50 to 17.55)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LVEF 40–54%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1.49 (1.05–2.13)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+10.60 (4.06 to 17.84)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LVEF 55–69%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1.47 (1.14–1.90)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+9.24 (4.74 to 13.73)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LVEF ≥70%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1.05 (0.75–1.47)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+5.20 (−3.31 to 14.31)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RV normal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1.28 (1.06–1.55)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+7.78 (4.06 to 11.79)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RV dysfunction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1.44 (1.15–1.80)</w:t>
            </w:r>
          </w:p>
        </w:tc>
        <w:tc>
          <w:tcPr>
            <w:tcW w:type="dxa" w:w="2880"/>
          </w:tcPr>
          <w:p>
            <w:r/>
            <w:r>
              <w:rPr>
                <w:sz w:val="18"/>
              </w:rPr>
              <w:t>+11.81 (6.40 to 17.90)</w:t>
            </w:r>
          </w:p>
        </w:tc>
      </w:tr>
    </w:tbl>
    <w:p>
      <w:r>
        <w:t>Shown for comparability with the previous submission only; these estimates are superseded by the revised analysis (Table 3).</w:t>
      </w:r>
    </w:p>
    <w:p>
      <w:pPr>
        <w:pStyle w:val="Heading2"/>
      </w:pPr>
      <w:r>
        <w:t>Table S5. Per-covariate missingness (Emulation 1 landmark cohort, n=7,398)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18"/>
              </w:rPr>
              <w:t>Covariate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8"/>
              </w:rPr>
              <w:t>Missing, 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P/F ratio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60.5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Bilirubin max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36.4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Lactate max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35.6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Urine output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27.2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GCS min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20.9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MAP min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19.0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Heart rate mean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18.9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LVEF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16.3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Platelets min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13.3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Creatinine max pre-TTE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12.3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RV function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8.2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Body weight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0.0</w:t>
            </w:r>
          </w:p>
        </w:tc>
      </w:tr>
    </w:tbl>
    <w:p>
      <w:r>
        <w:t>Pre-TTE norepinephrine rate is zero when no infusion was administered (not missing). Primary handling: median imputation with missingness indicators; MICE sensitivity in Results 3.5. Phenotype-specific analyses are complete-case per phenotype.</w:t>
      </w:r>
    </w:p>
    <w:p>
      <w:pPr>
        <w:pStyle w:val="Heading2"/>
      </w:pPr>
      <w:r>
        <w:t>Table S6. Full balance table before/after overlap weighting (all 55 propensity-model terms, with variance ratios and weighted means)</w:t>
      </w:r>
    </w:p>
    <w:p>
      <w:r>
        <w:t>(Generated from analysis output; see following page.)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8"/>
              </w:rPr>
              <w:t>Covariate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SMD unadj.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SMD after OW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Variance ratio after OW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age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-0.278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0.956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weight_kg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-0.35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1.155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male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-0.057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hf_p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-0.154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arrhythmia_p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-0.114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ckd_p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-0.142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0.98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liver_p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diabetes_p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copd_p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-0.043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hypertension_p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-0.109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malignancy_p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-0.017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ihd_p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-0.164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0.987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s_resp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0.431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s_coag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0.196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1.061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s_liver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0.228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0.955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s_cardio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0.666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1.035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s_cns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0.148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s_renal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0.175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lac_pre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0.485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0.87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lac_pre_miss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-0.319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0.998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map_min_pre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-0.302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1.093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map_min_pre_miss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-0.227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0.992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hr_mean_pre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0.366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1.014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hr_mean_pre_miss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-0.221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uo24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-0.117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1.148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uo24_miss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-0.082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0.998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miss_pf_min_pre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-0.475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miss_gcs_min_pre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-0.204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0.992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miss_bili_max_pre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-0.053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miss_plt_min_pre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miss_cr_max_pre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-0.012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mech_vent_pre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0.661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rrt_pre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0.172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steroid_pre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0.046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norepi_max_pre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0.279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0.261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vaso_any_pre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0.677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septic_shock_pre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0.671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fluid_pre_ml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0.763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0.674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diuretic_pre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-0.334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surgical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0.235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race_OTHER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0.017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1.007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race_UNABLE TO OBTAIN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1.023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race_UNKNOWN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0.107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1.011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race_WHITE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-0.056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yr_2011 - 2013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0.059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yr_2014 - 2016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0.065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yr_2017 - 2019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-0.011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yr_2020 - 2022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-0.27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src_other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src_respiratory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0.012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1.002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src_urinary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-0.088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loc_OR_PACU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-0.209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1.005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loc_other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-0.046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-0.002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0.988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loc_transfer_in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0.041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loc_ward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-0.179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-0.006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0.994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NONMODEL_sofa_total_24h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0.635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0.154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1.216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NONMODEL_tr_mmhg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-0.119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-0.023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0.961</w:t>
            </w:r>
          </w:p>
        </w:tc>
      </w:tr>
    </w:tbl>
    <w:p>
      <w:r>
        <w:t>Weighted summaries describe the overlap population clinically (weighted means/medians by arm). Within-stratum balance (propensity scores re-estimated per LVEF/RV stratum) available in the analysis repository.</w:t>
      </w:r>
    </w:p>
    <w:p>
      <w:pPr>
        <w:pStyle w:val="Heading2"/>
      </w:pPr>
      <w:r>
        <w:t>Table S7. ICEMAN credibility assessment: effect modification by echocardiographic phenotype (Emulation 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18"/>
              </w:rPr>
              <w:t>ICEMAN criterion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8"/>
              </w:rPr>
              <w:t>Assessment in this study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Randomised evidence for the interaction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None; hypothesis from physiology only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Interaction tested with a small number of pre-specified subgroups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LVEF (4) and RV (2) strata; but hypothesis was not pre-registered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Statistical test for interaction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Null on both scales: LVEF mult. p=0.44, add. p=0.56; RV mult. p=0.65, add. p=0.16; continuous LVEF p=0.82; ESC categorisation p=0.85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Independent confirmation (external replication)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None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Design of subgroup analysis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Within-stratum re-estimated weights; complete-case per phenotype; phenotype-by-severity confounding documented (Table S8)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Magnitude and consistency of subgroup differences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Small relative to CIs; all stratum estimates positive and overlapping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8"/>
              </w:rPr>
              <w:t>**Overall credibility**</w:t>
            </w:r>
          </w:p>
        </w:tc>
        <w:tc>
          <w:tcPr>
            <w:tcW w:type="dxa" w:w="4320"/>
          </w:tcPr>
          <w:p>
            <w:r/>
            <w:r>
              <w:rPr>
                <w:sz w:val="18"/>
              </w:rPr>
              <w:t>**Low — no credible effect modification by LVEF or RV phenotype**</w:t>
            </w:r>
          </w:p>
        </w:tc>
      </w:tr>
    </w:tbl>
    <w:p>
      <w:pPr>
        <w:pStyle w:val="Heading2"/>
      </w:pPr>
      <w:r>
        <w:t>Table S8. Baseline severity by echocardiographic phenotype (Emulation 1 landmark cohort)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/>
            <w:r>
              <w:rPr>
                <w:b/>
                <w:sz w:val="18"/>
              </w:rPr>
              <w:t>Stratum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8"/>
              </w:rPr>
              <w:t>n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8"/>
              </w:rPr>
              <w:t>Pre-TTE SOFA, median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8"/>
              </w:rPr>
              <w:t>Septic shock pre-TTE, %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8"/>
              </w:rPr>
              <w:t>Vasopressor pre-TTE, %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8"/>
              </w:rPr>
              <w:t>Lactate pre-TTE, median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8"/>
              </w:rPr>
              <w:t>Mech. vent. pre-TTE, %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8"/>
              </w:rPr>
              <w:t>28-day mortality, %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8"/>
              </w:rPr>
              <w:t>LVEF &lt;40%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1,361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25.8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40.9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2.6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40.0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28.4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8"/>
              </w:rPr>
              <w:t>LVEF 40–54%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1,180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17.5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30.2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2.1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33.3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22.7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8"/>
              </w:rPr>
              <w:t>LVEF 55–69%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2,752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13.5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26.9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1.9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27.3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19.3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8"/>
              </w:rPr>
              <w:t>LVEF ≥70%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896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18.6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34.2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2.1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33.6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29.8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8"/>
              </w:rPr>
              <w:t>RV normal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4,814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14.6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27.0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2.0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27.6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20.7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8"/>
              </w:rPr>
              <w:t>RV dysfunction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1,979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24.6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40.4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2.5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38.1</w:t>
            </w:r>
          </w:p>
        </w:tc>
        <w:tc>
          <w:tcPr>
            <w:tcW w:type="dxa" w:w="1080"/>
          </w:tcPr>
          <w:p>
            <w:r/>
            <w:r>
              <w:rPr>
                <w:sz w:val="18"/>
              </w:rPr>
              <w:t>32.3</w:t>
            </w:r>
          </w:p>
        </w:tc>
      </w:tr>
    </w:tbl>
    <w:p>
      <w:r>
        <w:t>Baseline severity differs across phenotypes; phenotype-by-severity confounding is therefore possible and stratum-specific estimates should be read against this gradient.</w:t>
      </w:r>
    </w:p>
    <w:p>
      <w:pPr>
        <w:pStyle w:val="Heading2"/>
      </w:pPr>
      <w:r>
        <w:t>Supplementary figures</w:t>
      </w:r>
    </w:p>
    <w:p>
      <w:r>
        <w:rPr>
          <w:b/>
        </w:rPr>
        <w:t>Figure S1.</w:t>
      </w:r>
      <w:r>
        <w:t xml:space="preserve"> Temporal structure of the three emulations: ICU admission; echocardiogram (time zero); covariate ascertainment window (strictly before time zero); exposure window (24 h or 48 h); landmark; 28-day follow-up from landmark. (Schematic in text form below.)</w:t>
      </w:r>
    </w:p>
    <w:p>
      <w:r>
        <w:rPr>
          <w:rFonts w:ascii="Consolas" w:hAnsi="Consolas"/>
          <w:sz w:val="17"/>
        </w:rPr>
        <w:t>ICU admission ──► [covariate window: labs from hospital admission; charted data/meds from ICU admission]</w:t>
        <w:br/>
        <w:t xml:space="preserve">                          │</w:t>
        <w:br/>
        <w:t xml:space="preserve">                    TTE (time zero) ──► exposure window (24 h, Em.1 / 48 h, Em.2–3)</w:t>
        <w:br/>
        <w:t xml:space="preserve">                          │                                        │</w:t>
        <w:br/>
        <w:t xml:space="preserve">                     (landmark exclusion: death/discharge/missing weight before landmark)</w:t>
        <w:br/>
        <w:t xml:space="preserve">                                                                   │</w:t>
        <w:br/>
        <w:t xml:space="preserve">                                                              LANDMARK ──► 28-day follow-up (all-cause mortality)</w:t>
      </w:r>
    </w:p>
    <w:p>
      <w:r>
        <w:rPr>
          <w:b/>
        </w:rPr>
        <w:t>Figure S2.</w:t>
      </w:r>
      <w:r>
        <w:t xml:space="preserve"> Flow diagram, Emulation 2 (dobutamine): LVEF &lt;40% stratum (n=1,361) → exclusion of pre-TTE dobutamine users (prevalent users) and late initiators (first use after TTE+48 h) → landmark exclusions at TTE+48 h (death/discharge) → n=1,201 (100 new-users).</w:t>
      </w:r>
    </w:p>
    <w:p>
      <w:r>
        <w:rPr>
          <w:b/>
        </w:rPr>
        <w:t>Figure S3.</w:t>
      </w:r>
      <w:r>
        <w:t xml:space="preserve"> Flow diagram, Emulation 3 (vasopressin): source cohort (n=7,819) → exclusion of pre-TTE vasopressin users and late initiators → landmark exclusions at TTE+48 h → n=6,474 (360 new-users); interaction analysis restricted to measured LVEF (n=5,413).</w:t>
      </w:r>
    </w:p>
    <w:p>
      <w:r>
        <w:rPr>
          <w:b/>
        </w:rPr>
        <w:t>Figure S4.</w:t>
      </w:r>
      <w:r>
        <w:t xml:space="preserve"> Propensity score distributions by treatment group, Emulation 1 (see v4_figS2_ps.png).</w:t>
      </w:r>
    </w:p>
    <w:p>
      <w:r>
        <w:rPr>
          <w:b/>
        </w:rPr>
        <w:t>Figure S5.</w:t>
      </w:r>
      <w:r>
        <w:t xml:space="preserve"> Continuous-exposure analysis: GPS-weighted restricted cubic spline of the hazard ratio across the post-TTE 24-h fluid volume distribution (see v4_figS3_rcs.png).</w:t>
      </w:r>
    </w:p>
    <w:p>
      <w:r>
        <w:rPr>
          <w:b/>
        </w:rPr>
        <w:t>Figure S6.</w:t>
      </w:r>
      <w:r>
        <w:t xml:space="preserve"> Weighted cumulative 28-day mortality, Emulations 2 and 3 (see v4_figS4_km_e2e3.png).</w:t>
      </w:r>
    </w:p>
    <w:p>
      <w:r>
        <w:rPr>
          <w:b/>
        </w:rPr>
        <w:t>Figure S7.</w:t>
      </w:r>
      <w:r>
        <w:t xml:space="preserve"> Weighted cumulative 28-day mortality by RV phenotype (see v4_figS1_km_rv.png).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