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2</w:t>
      </w:r>
    </w:p>
    <w:p>
      <w:r>
        <w:rPr>
          <w:b/>
          <w:sz w:val="20"/>
        </w:rPr>
        <w:t>Target trial protocol summary for the three emulations (TARGET guideline [18]).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spacing w:after="40"/>
            </w:pPr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b/>
                <w:sz w:val="18"/>
              </w:rPr>
              <w:t>Emulation 1 (primary): fluid volume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b/>
                <w:sz w:val="18"/>
              </w:rPr>
              <w:t>Emulation 2: dobutamine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b/>
                <w:sz w:val="18"/>
              </w:rPr>
              <w:t>Emulation 3: vasopressin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Eligibility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Sepsis-3, first ICU stay, TTE within ±24 h of ICU admission, alive &amp; hospitalised at landmark, body weight available (n=7,398)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Emulation 1 eligibility + LVEF &lt;40% (n=1,201)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Sepsis-3, first ICU stay, TTE within ±24 h, alive &amp; hospitalised at landmark (n=6,474)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Treatment strategies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≥30 vs &lt;30 mL/kg crystalloid+colloid in 24 h after TTE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Dobutamine initiation vs no dobutamine within (TTE, TTE+48 h]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Vasopressin initiation vs no vasopressin within (TTE, TTE+48 h]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Assignment procedure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Emulated randomisation via overlap weighting on pre-TTE propensity score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Same; + fluid-volume covariates; parsimonious penalised model as sensitivity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Same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Time zero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First qualifying echocardiogram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First qualifying echocardiogram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First qualifying echocardiogram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Landmark / start of follow-up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TTE + 24 h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TTE + 48 h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TTE + 48 h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Follow-up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28 days from landmark, all-cause mortality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28 days from landmark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28 days from landmark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Causal contrast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Observational analogue of ITT (assignment by achieved exposure at landmark)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New-user ITT analogue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New-user ITT analogue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Effect modification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LVEF (4 strata), RV (2), SOFA tertiles, septic shock; formal interactions on multiplicative &amp; additive scales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None (precision)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Hyperdynamic LVEF × treatment interaction (measured LVEF only)</w:t>
            </w:r>
          </w:p>
        </w:tc>
      </w:tr>
      <w:tr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Analysis plan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Weighted cause-specific Cox; weighted Kaplan–Meier risks; RD bootstrap (1,000 reps, PS re-estimated per replicate)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Same</w:t>
            </w:r>
          </w:p>
        </w:tc>
        <w:tc>
          <w:tcPr>
            <w:tcW w:type="dxa" w:w="2550"/>
          </w:tcPr>
          <w:p>
            <w:pPr>
              <w:spacing w:after="40"/>
            </w:pPr>
            <w:r>
              <w:rPr>
                <w:sz w:val="18"/>
              </w:rPr>
              <w:t>Same + product-term and bootstrap RD-difference interaction tests</w:t>
            </w:r>
          </w:p>
        </w:tc>
      </w:tr>
    </w:tbl>
    <w:sectPr w:rsidR="00FC693F" w:rsidRPr="0006063C" w:rsidSect="00034616">
      <w:pgSz w:w="12240" w:h="15840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