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C87C7" w14:textId="77777777" w:rsidR="00BA3E94" w:rsidRPr="001366F4" w:rsidRDefault="00BA3E94" w:rsidP="00BA3E94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366F4">
        <w:rPr>
          <w:rFonts w:ascii="Arial" w:hAnsi="Arial" w:cs="Arial"/>
          <w:b/>
          <w:bCs/>
          <w:sz w:val="24"/>
          <w:szCs w:val="24"/>
        </w:rPr>
        <w:t xml:space="preserve">Production potential of microalgae biomass and </w:t>
      </w:r>
      <w:r w:rsidRPr="001366F4">
        <w:rPr>
          <w:rFonts w:ascii="Arial" w:hAnsi="Arial" w:cs="Arial"/>
          <w:b/>
          <w:bCs/>
          <w:color w:val="001D35"/>
          <w:sz w:val="24"/>
          <w:szCs w:val="24"/>
          <w:shd w:val="clear" w:color="auto" w:fill="FFFFFF"/>
        </w:rPr>
        <w:t>Fatty Acid Methyl Esters</w:t>
      </w:r>
      <w:r w:rsidRPr="001366F4">
        <w:rPr>
          <w:rFonts w:ascii="Arial" w:hAnsi="Arial" w:cs="Arial"/>
          <w:b/>
          <w:bCs/>
          <w:sz w:val="24"/>
          <w:szCs w:val="24"/>
        </w:rPr>
        <w:t xml:space="preserve"> through domestic and swine wastewater phycoremediation process using </w:t>
      </w:r>
      <w:r w:rsidRPr="001366F4">
        <w:rPr>
          <w:rFonts w:ascii="Arial" w:hAnsi="Arial" w:cs="Arial"/>
          <w:b/>
          <w:bCs/>
          <w:i/>
          <w:iCs/>
          <w:sz w:val="24"/>
          <w:szCs w:val="24"/>
        </w:rPr>
        <w:t>Scenedesmus</w:t>
      </w:r>
      <w:r w:rsidRPr="001366F4">
        <w:rPr>
          <w:rFonts w:ascii="Arial" w:hAnsi="Arial" w:cs="Arial"/>
          <w:b/>
          <w:bCs/>
          <w:sz w:val="24"/>
          <w:szCs w:val="24"/>
        </w:rPr>
        <w:t xml:space="preserve"> sp. </w:t>
      </w:r>
    </w:p>
    <w:p w14:paraId="5441AEE4" w14:textId="77777777" w:rsidR="00BA3E94" w:rsidRPr="001366F4" w:rsidRDefault="00BA3E94" w:rsidP="00BA3E9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14:paraId="6BBDF098" w14:textId="27D891C3" w:rsidR="00BA3E94" w:rsidRPr="001366F4" w:rsidRDefault="00BA3E94" w:rsidP="00120ADE">
      <w:pPr>
        <w:jc w:val="center"/>
        <w:rPr>
          <w:rFonts w:ascii="Arial" w:hAnsi="Arial" w:cs="Arial"/>
          <w:sz w:val="24"/>
          <w:szCs w:val="24"/>
          <w:lang w:val="es-MX"/>
        </w:rPr>
      </w:pPr>
      <w:bookmarkStart w:id="0" w:name="_Hlk200489338"/>
      <w:r w:rsidRPr="001366F4">
        <w:rPr>
          <w:rFonts w:ascii="Arial" w:hAnsi="Arial" w:cs="Arial"/>
          <w:sz w:val="24"/>
          <w:szCs w:val="24"/>
          <w:lang w:val="es-MX"/>
        </w:rPr>
        <w:t>Itzel Y. López-Pacheco</w:t>
      </w:r>
      <w:r w:rsidRPr="001366F4">
        <w:rPr>
          <w:rFonts w:ascii="Arial" w:hAnsi="Arial" w:cs="Arial"/>
          <w:sz w:val="24"/>
          <w:szCs w:val="24"/>
          <w:vertAlign w:val="superscript"/>
          <w:lang w:val="es-MX"/>
        </w:rPr>
        <w:t>a</w:t>
      </w:r>
      <w:r>
        <w:rPr>
          <w:rFonts w:ascii="Arial" w:hAnsi="Arial" w:cs="Arial"/>
          <w:sz w:val="24"/>
          <w:szCs w:val="24"/>
          <w:vertAlign w:val="superscript"/>
          <w:lang w:val="es-MX"/>
        </w:rPr>
        <w:t>,b</w:t>
      </w:r>
      <w:r w:rsidRPr="001366F4">
        <w:rPr>
          <w:rFonts w:ascii="Arial" w:hAnsi="Arial" w:cs="Arial"/>
          <w:sz w:val="24"/>
          <w:szCs w:val="24"/>
          <w:lang w:val="es-MX"/>
        </w:rPr>
        <w:t>, José Rodríguez-Rodríguez</w:t>
      </w:r>
      <w:r w:rsidRPr="001366F4">
        <w:rPr>
          <w:rFonts w:ascii="Arial" w:hAnsi="Arial" w:cs="Arial"/>
          <w:sz w:val="24"/>
          <w:szCs w:val="24"/>
          <w:vertAlign w:val="superscript"/>
          <w:lang w:val="es-MX"/>
        </w:rPr>
        <w:t>a</w:t>
      </w:r>
      <w:r w:rsidRPr="001366F4">
        <w:rPr>
          <w:rFonts w:ascii="Arial" w:hAnsi="Arial" w:cs="Arial"/>
          <w:sz w:val="24"/>
          <w:szCs w:val="24"/>
          <w:lang w:val="es-MX"/>
        </w:rPr>
        <w:t>, Roberto Parra-Saldívar</w:t>
      </w:r>
      <w:r w:rsidRPr="001366F4">
        <w:rPr>
          <w:rFonts w:ascii="Arial" w:hAnsi="Arial" w:cs="Arial"/>
          <w:sz w:val="24"/>
          <w:szCs w:val="24"/>
          <w:vertAlign w:val="superscript"/>
          <w:lang w:val="es-MX"/>
        </w:rPr>
        <w:t xml:space="preserve"> </w:t>
      </w:r>
      <w:r>
        <w:rPr>
          <w:rFonts w:ascii="Arial" w:hAnsi="Arial" w:cs="Arial"/>
          <w:sz w:val="24"/>
          <w:szCs w:val="24"/>
          <w:vertAlign w:val="superscript"/>
          <w:lang w:val="es-MX"/>
        </w:rPr>
        <w:t>c</w:t>
      </w:r>
      <w:r w:rsidRPr="001366F4">
        <w:rPr>
          <w:rFonts w:ascii="Arial" w:hAnsi="Arial" w:cs="Arial"/>
          <w:sz w:val="24"/>
          <w:szCs w:val="24"/>
          <w:vertAlign w:val="superscript"/>
          <w:lang w:val="es-MX"/>
        </w:rPr>
        <w:t>,</w:t>
      </w:r>
      <w:r>
        <w:rPr>
          <w:rFonts w:ascii="Arial" w:hAnsi="Arial" w:cs="Arial"/>
          <w:sz w:val="24"/>
          <w:szCs w:val="24"/>
          <w:vertAlign w:val="superscript"/>
          <w:lang w:val="es-MX"/>
        </w:rPr>
        <w:t>d</w:t>
      </w:r>
      <w:r w:rsidRPr="001366F4">
        <w:rPr>
          <w:rStyle w:val="sanssemibold"/>
          <w:rFonts w:ascii="Arial" w:hAnsi="Arial" w:cs="Arial"/>
          <w:color w:val="000000"/>
          <w:sz w:val="24"/>
          <w:szCs w:val="24"/>
          <w:bdr w:val="none" w:sz="0" w:space="0" w:color="auto" w:frame="1"/>
          <w:shd w:val="clear" w:color="auto" w:fill="FFFFFF"/>
          <w:lang w:val="es-MX"/>
        </w:rPr>
        <w:t xml:space="preserve"> , </w:t>
      </w:r>
      <w:r w:rsidRPr="001366F4">
        <w:rPr>
          <w:rFonts w:ascii="Arial" w:hAnsi="Arial" w:cs="Arial"/>
          <w:sz w:val="24"/>
          <w:szCs w:val="24"/>
          <w:lang w:val="es-MX"/>
        </w:rPr>
        <w:t xml:space="preserve"> Lizbeth D. López-Pacheco</w:t>
      </w:r>
      <w:r w:rsidRPr="001366F4">
        <w:rPr>
          <w:rFonts w:ascii="Arial" w:hAnsi="Arial" w:cs="Arial"/>
          <w:sz w:val="24"/>
          <w:szCs w:val="24"/>
          <w:vertAlign w:val="superscript"/>
          <w:lang w:val="es-MX"/>
        </w:rPr>
        <w:t>a</w:t>
      </w:r>
      <w:r w:rsidRPr="001366F4">
        <w:rPr>
          <w:rFonts w:ascii="Arial" w:hAnsi="Arial" w:cs="Arial"/>
          <w:sz w:val="24"/>
          <w:szCs w:val="24"/>
          <w:lang w:val="es-MX"/>
        </w:rPr>
        <w:t>, Esquivel-Hernández Diego A.</w:t>
      </w:r>
      <w:r>
        <w:rPr>
          <w:rFonts w:ascii="Arial" w:hAnsi="Arial" w:cs="Arial"/>
          <w:sz w:val="24"/>
          <w:szCs w:val="24"/>
          <w:vertAlign w:val="superscript"/>
          <w:lang w:val="es-MX"/>
        </w:rPr>
        <w:t>e</w:t>
      </w:r>
      <w:r w:rsidRPr="001366F4">
        <w:rPr>
          <w:rFonts w:ascii="Arial" w:hAnsi="Arial" w:cs="Arial"/>
          <w:sz w:val="24"/>
          <w:szCs w:val="24"/>
          <w:lang w:val="es-MX"/>
        </w:rPr>
        <w:t>, Georgia María González-Meza</w:t>
      </w:r>
      <w:r>
        <w:rPr>
          <w:rFonts w:ascii="Arial" w:hAnsi="Arial" w:cs="Arial"/>
          <w:sz w:val="24"/>
          <w:szCs w:val="24"/>
          <w:vertAlign w:val="superscript"/>
          <w:lang w:val="es-MX"/>
        </w:rPr>
        <w:t>f</w:t>
      </w:r>
      <w:r w:rsidRPr="001366F4">
        <w:rPr>
          <w:rFonts w:ascii="Arial" w:hAnsi="Arial" w:cs="Arial"/>
          <w:sz w:val="24"/>
          <w:szCs w:val="24"/>
          <w:lang w:val="es-MX"/>
        </w:rPr>
        <w:t>*.</w:t>
      </w:r>
    </w:p>
    <w:p w14:paraId="70C3E908" w14:textId="77777777" w:rsidR="00BA3E94" w:rsidRDefault="00BA3E94" w:rsidP="00BA3E94">
      <w:pPr>
        <w:pStyle w:val="MDPI16affiliation"/>
        <w:spacing w:line="360" w:lineRule="auto"/>
        <w:ind w:left="142" w:hanging="142"/>
        <w:jc w:val="center"/>
        <w:rPr>
          <w:rFonts w:ascii="Arial" w:hAnsi="Arial" w:cs="Arial"/>
          <w:color w:val="auto"/>
          <w:sz w:val="24"/>
          <w:szCs w:val="24"/>
        </w:rPr>
      </w:pPr>
      <w:r w:rsidRPr="001366F4">
        <w:rPr>
          <w:rFonts w:ascii="Arial" w:eastAsia="AdvGulliv-R" w:hAnsi="Arial" w:cs="Arial"/>
          <w:color w:val="auto"/>
          <w:sz w:val="24"/>
          <w:szCs w:val="24"/>
          <w:vertAlign w:val="superscript"/>
        </w:rPr>
        <w:t>a</w:t>
      </w:r>
      <w:r w:rsidRPr="001366F4">
        <w:rPr>
          <w:rFonts w:ascii="Arial" w:hAnsi="Arial" w:cs="Arial"/>
          <w:color w:val="auto"/>
          <w:sz w:val="24"/>
          <w:szCs w:val="24"/>
        </w:rPr>
        <w:tab/>
        <w:t>Tecnologico de Monterrey, School of Engineering and Sciences, Monterrey, 64849, Mexico.</w:t>
      </w:r>
    </w:p>
    <w:p w14:paraId="26CFD4D0" w14:textId="77777777" w:rsidR="00BA3E94" w:rsidRDefault="00BA3E94" w:rsidP="00BA3E94">
      <w:pPr>
        <w:pStyle w:val="MDPI16affiliation"/>
        <w:spacing w:line="360" w:lineRule="auto"/>
        <w:ind w:left="142" w:hanging="142"/>
        <w:jc w:val="center"/>
        <w:rPr>
          <w:rFonts w:ascii="Arial" w:hAnsi="Arial" w:cs="Arial"/>
          <w:color w:val="auto"/>
          <w:sz w:val="24"/>
          <w:szCs w:val="24"/>
        </w:rPr>
      </w:pPr>
      <w:r w:rsidRPr="00CC59E2">
        <w:rPr>
          <w:rFonts w:ascii="Arial" w:eastAsia="AdvGulliv-R" w:hAnsi="Arial" w:cs="Arial"/>
          <w:color w:val="auto"/>
          <w:sz w:val="24"/>
          <w:szCs w:val="24"/>
          <w:vertAlign w:val="superscript"/>
          <w:lang w:val="es-MX"/>
        </w:rPr>
        <w:t>b</w:t>
      </w:r>
      <w:r w:rsidRPr="00CC59E2">
        <w:rPr>
          <w:lang w:val="es-MX"/>
        </w:rPr>
        <w:t xml:space="preserve"> </w:t>
      </w:r>
      <w:r w:rsidRPr="00CC59E2">
        <w:rPr>
          <w:rFonts w:ascii="Arial" w:hAnsi="Arial" w:cs="Arial"/>
          <w:color w:val="auto"/>
          <w:sz w:val="24"/>
          <w:szCs w:val="24"/>
          <w:lang w:val="es-MX"/>
        </w:rPr>
        <w:t xml:space="preserve">Tecnológico Nacional de México. Instituto Tecnológico del Valle de Oaxaca. </w:t>
      </w:r>
      <w:r w:rsidRPr="00CC59E2">
        <w:rPr>
          <w:rFonts w:ascii="Arial" w:hAnsi="Arial" w:cs="Arial"/>
          <w:color w:val="auto"/>
          <w:sz w:val="24"/>
          <w:szCs w:val="24"/>
        </w:rPr>
        <w:t>Santa Cruz Xoxocotlán, Oaxaca, México. C.P. 71233.</w:t>
      </w:r>
    </w:p>
    <w:p w14:paraId="0E24019D" w14:textId="77777777" w:rsidR="00BA3E94" w:rsidRPr="001366F4" w:rsidRDefault="00BA3E94" w:rsidP="00BA3E94">
      <w:pPr>
        <w:pStyle w:val="MDPI16affiliation"/>
        <w:spacing w:line="360" w:lineRule="auto"/>
        <w:ind w:left="142" w:hanging="142"/>
        <w:jc w:val="center"/>
        <w:rPr>
          <w:rFonts w:ascii="Arial" w:hAnsi="Arial" w:cs="Arial"/>
          <w:sz w:val="24"/>
          <w:szCs w:val="24"/>
          <w:lang w:eastAsia="es-MX"/>
        </w:rPr>
      </w:pPr>
      <w:r>
        <w:rPr>
          <w:rFonts w:ascii="Arial" w:eastAsia="AdvGulliv-R" w:hAnsi="Arial" w:cs="Arial"/>
          <w:sz w:val="24"/>
          <w:szCs w:val="24"/>
          <w:vertAlign w:val="superscript"/>
        </w:rPr>
        <w:t>c</w:t>
      </w:r>
      <w:r w:rsidRPr="001366F4">
        <w:rPr>
          <w:rFonts w:ascii="Arial" w:hAnsi="Arial" w:cs="Arial"/>
          <w:sz w:val="24"/>
          <w:szCs w:val="24"/>
        </w:rPr>
        <w:t xml:space="preserve"> </w:t>
      </w:r>
      <w:r w:rsidRPr="001366F4">
        <w:rPr>
          <w:rFonts w:ascii="Arial" w:hAnsi="Arial" w:cs="Arial"/>
          <w:sz w:val="24"/>
          <w:szCs w:val="24"/>
          <w:lang w:eastAsia="es-MX"/>
        </w:rPr>
        <w:t>Cranfield University, Magan Centre of Applied Mycology, Cranfield, MK43 0AL, UK</w:t>
      </w:r>
    </w:p>
    <w:p w14:paraId="165E938B" w14:textId="77777777" w:rsidR="00BA3E94" w:rsidRPr="001366F4" w:rsidRDefault="00BA3E94" w:rsidP="00BA3E94">
      <w:pPr>
        <w:spacing w:after="0" w:line="360" w:lineRule="auto"/>
        <w:jc w:val="center"/>
        <w:textAlignment w:val="top"/>
        <w:rPr>
          <w:rFonts w:ascii="Arial" w:eastAsia="Times New Roman" w:hAnsi="Arial" w:cs="Arial"/>
          <w:sz w:val="24"/>
          <w:szCs w:val="24"/>
          <w:lang w:val="es-MX" w:eastAsia="es-MX"/>
        </w:rPr>
      </w:pPr>
      <w:r w:rsidRPr="00CC59E2">
        <w:rPr>
          <w:rFonts w:ascii="Arial" w:eastAsia="Times New Roman" w:hAnsi="Arial" w:cs="Arial"/>
          <w:sz w:val="18"/>
          <w:szCs w:val="18"/>
          <w:lang w:val="es-MX" w:eastAsia="es-MX"/>
        </w:rPr>
        <w:t>d</w:t>
      </w:r>
      <w:r w:rsidRPr="001366F4">
        <w:rPr>
          <w:rFonts w:ascii="Arial" w:eastAsia="Times New Roman" w:hAnsi="Arial" w:cs="Arial"/>
          <w:sz w:val="18"/>
          <w:szCs w:val="18"/>
          <w:lang w:val="es-MX" w:eastAsia="es-MX"/>
        </w:rPr>
        <w:t xml:space="preserve"> </w:t>
      </w:r>
      <w:r w:rsidRPr="001366F4">
        <w:rPr>
          <w:rFonts w:ascii="Arial" w:eastAsia="Times New Roman" w:hAnsi="Arial" w:cs="Arial"/>
          <w:sz w:val="24"/>
          <w:szCs w:val="24"/>
          <w:lang w:val="es-MX" w:eastAsia="es-MX"/>
        </w:rPr>
        <w:t>Universidad Autonoma de Nuevo Leon, Facultad de Medicina, Monterrey 64460, Mexico</w:t>
      </w:r>
    </w:p>
    <w:p w14:paraId="454EF51E" w14:textId="77777777" w:rsidR="00BA3E94" w:rsidRPr="00CC59E2" w:rsidRDefault="00BA3E94" w:rsidP="00BA3E94">
      <w:pPr>
        <w:spacing w:after="0" w:line="360" w:lineRule="auto"/>
        <w:jc w:val="center"/>
        <w:textAlignment w:val="top"/>
        <w:rPr>
          <w:rFonts w:ascii="Arial" w:eastAsia="Times New Roman" w:hAnsi="Arial" w:cs="Arial"/>
          <w:sz w:val="24"/>
          <w:szCs w:val="24"/>
          <w:lang w:val="es" w:eastAsia="es-MX"/>
        </w:rPr>
      </w:pPr>
      <w:r>
        <w:rPr>
          <w:rFonts w:ascii="Arial" w:eastAsia="Times New Roman" w:hAnsi="Arial" w:cs="Arial"/>
          <w:sz w:val="24"/>
          <w:szCs w:val="24"/>
          <w:vertAlign w:val="superscript"/>
          <w:lang w:val="es-MX" w:eastAsia="es-MX"/>
        </w:rPr>
        <w:t>e</w:t>
      </w:r>
      <w:r w:rsidRPr="001366F4">
        <w:rPr>
          <w:rFonts w:ascii="Arial" w:eastAsia="Times New Roman" w:hAnsi="Arial" w:cs="Arial"/>
          <w:sz w:val="24"/>
          <w:szCs w:val="24"/>
          <w:lang w:val="es" w:eastAsia="es-MX"/>
        </w:rPr>
        <w:t>Departamento de Procesos y Tecnología, Universidad Autónoma Metropolitana Cuajimalpa, Avenida Vasco de Quiroga 4871, Colonia Santa Fe Cuajimalpa, C.P. 05300 Ciudad de México, México.</w:t>
      </w:r>
    </w:p>
    <w:p w14:paraId="011E4D87" w14:textId="77777777" w:rsidR="00BA3E94" w:rsidRPr="001366F4" w:rsidRDefault="00BA3E94" w:rsidP="00BA3E94">
      <w:pPr>
        <w:pStyle w:val="MDPI16affiliation"/>
        <w:spacing w:line="360" w:lineRule="auto"/>
        <w:ind w:left="142" w:hanging="14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eastAsia="AdvGulliv-R" w:hAnsi="Arial" w:cs="Arial"/>
          <w:color w:val="auto"/>
          <w:sz w:val="24"/>
          <w:szCs w:val="24"/>
          <w:vertAlign w:val="superscript"/>
        </w:rPr>
        <w:t>f</w:t>
      </w:r>
      <w:r w:rsidRPr="001366F4">
        <w:rPr>
          <w:rFonts w:ascii="Arial" w:hAnsi="Arial" w:cs="Arial"/>
          <w:color w:val="auto"/>
          <w:sz w:val="24"/>
          <w:szCs w:val="24"/>
        </w:rPr>
        <w:t>Tecnologico de Monterrey, Institute of Advanced Materials for Sustainable Manufacturing, Monterrey 64849, Mexico.</w:t>
      </w:r>
    </w:p>
    <w:bookmarkEnd w:id="0"/>
    <w:p w14:paraId="0290EE6B" w14:textId="77777777" w:rsidR="00BA3E94" w:rsidRPr="001366F4" w:rsidRDefault="00BA3E94" w:rsidP="00BA3E94">
      <w:pPr>
        <w:pStyle w:val="MDPI16affiliation"/>
        <w:spacing w:line="360" w:lineRule="auto"/>
        <w:ind w:left="142" w:hanging="142"/>
        <w:jc w:val="center"/>
        <w:rPr>
          <w:rFonts w:ascii="Arial" w:hAnsi="Arial" w:cs="Arial"/>
          <w:color w:val="auto"/>
          <w:sz w:val="24"/>
          <w:szCs w:val="24"/>
        </w:rPr>
      </w:pPr>
    </w:p>
    <w:p w14:paraId="0D171F18" w14:textId="77777777" w:rsidR="00BA3E94" w:rsidRPr="001366F4" w:rsidRDefault="00BA3E94" w:rsidP="00BA3E94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1366F4">
        <w:rPr>
          <w:rFonts w:ascii="Arial" w:hAnsi="Arial" w:cs="Arial"/>
          <w:sz w:val="24"/>
          <w:szCs w:val="24"/>
        </w:rPr>
        <w:t xml:space="preserve">*Corresponding authors e-mails: </w:t>
      </w:r>
      <w:hyperlink r:id="rId5" w:history="1">
        <w:r w:rsidRPr="001366F4">
          <w:rPr>
            <w:rStyle w:val="Hipervnculo"/>
            <w:rFonts w:ascii="Arial" w:hAnsi="Arial" w:cs="Arial"/>
            <w:sz w:val="24"/>
            <w:szCs w:val="24"/>
          </w:rPr>
          <w:t>georgia.gonzalez@tec.mx</w:t>
        </w:r>
      </w:hyperlink>
      <w:r w:rsidRPr="001366F4">
        <w:rPr>
          <w:rFonts w:ascii="Arial" w:hAnsi="Arial" w:cs="Arial"/>
          <w:sz w:val="24"/>
          <w:szCs w:val="24"/>
        </w:rPr>
        <w:t xml:space="preserve"> </w:t>
      </w:r>
    </w:p>
    <w:p w14:paraId="3BD8B1D2" w14:textId="32F17BC4" w:rsidR="005D3057" w:rsidRPr="00F43B55" w:rsidRDefault="005D3057" w:rsidP="00BA3E94">
      <w:pPr>
        <w:tabs>
          <w:tab w:val="left" w:pos="618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F43B55">
        <w:rPr>
          <w:rFonts w:ascii="Arial" w:hAnsi="Arial" w:cs="Arial"/>
          <w:sz w:val="24"/>
          <w:szCs w:val="24"/>
        </w:rPr>
        <w:tab/>
      </w:r>
      <w:r w:rsidRPr="00F43B55">
        <w:rPr>
          <w:rFonts w:ascii="Arial" w:hAnsi="Arial" w:cs="Arial"/>
          <w:sz w:val="24"/>
          <w:szCs w:val="24"/>
        </w:rPr>
        <w:tab/>
      </w:r>
    </w:p>
    <w:p w14:paraId="29686A9C" w14:textId="17344838" w:rsidR="005D3057" w:rsidRDefault="005D3057" w:rsidP="005D305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Highlights </w:t>
      </w:r>
    </w:p>
    <w:p w14:paraId="62DAA72E" w14:textId="2B3034A6" w:rsidR="008C23D4" w:rsidRPr="00AF4F0D" w:rsidRDefault="008C23D4" w:rsidP="00AF4F0D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Cs/>
          <w:sz w:val="24"/>
          <w:szCs w:val="24"/>
          <w:lang w:val="en-US"/>
        </w:rPr>
      </w:pPr>
      <w:r w:rsidRPr="008C23D4">
        <w:rPr>
          <w:rFonts w:ascii="Arial" w:hAnsi="Arial" w:cs="Arial"/>
          <w:bCs/>
          <w:i/>
          <w:iCs/>
          <w:sz w:val="24"/>
          <w:szCs w:val="24"/>
          <w:lang w:val="en-US"/>
        </w:rPr>
        <w:t xml:space="preserve">Scenedesmus </w:t>
      </w:r>
      <w:r w:rsidRPr="008C23D4">
        <w:rPr>
          <w:rFonts w:ascii="Arial" w:hAnsi="Arial" w:cs="Arial"/>
          <w:bCs/>
          <w:sz w:val="24"/>
          <w:szCs w:val="24"/>
          <w:lang w:val="en-US"/>
        </w:rPr>
        <w:t xml:space="preserve">sp. could be used to treat </w:t>
      </w:r>
      <w:r>
        <w:rPr>
          <w:rFonts w:ascii="Arial" w:hAnsi="Arial" w:cs="Arial"/>
          <w:bCs/>
          <w:sz w:val="24"/>
          <w:szCs w:val="24"/>
          <w:lang w:val="en-US"/>
        </w:rPr>
        <w:t>domestic and swine wastewater</w:t>
      </w:r>
      <w:r w:rsidR="007E0D48">
        <w:rPr>
          <w:rFonts w:ascii="Arial" w:hAnsi="Arial" w:cs="Arial"/>
          <w:bCs/>
          <w:sz w:val="24"/>
          <w:szCs w:val="24"/>
          <w:lang w:val="en-US"/>
        </w:rPr>
        <w:t xml:space="preserve">, proving the potential of the same strain to treat different types of wastewater. </w:t>
      </w:r>
    </w:p>
    <w:p w14:paraId="4100C403" w14:textId="24F9B3BD" w:rsidR="005D3057" w:rsidRPr="005D3057" w:rsidRDefault="00A84C85" w:rsidP="005D305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</w:t>
      </w:r>
      <w:r w:rsidR="005D3057" w:rsidRPr="005D3057">
        <w:rPr>
          <w:rFonts w:ascii="Arial" w:hAnsi="Arial" w:cs="Arial"/>
          <w:sz w:val="24"/>
          <w:szCs w:val="24"/>
          <w:lang w:val="en-US"/>
        </w:rPr>
        <w:t xml:space="preserve"> optimal concentrations of </w:t>
      </w:r>
      <w:r w:rsidRPr="005D3057">
        <w:rPr>
          <w:rFonts w:ascii="Arial" w:hAnsi="Arial" w:cs="Arial"/>
          <w:sz w:val="24"/>
          <w:szCs w:val="24"/>
          <w:lang w:val="en-US"/>
        </w:rPr>
        <w:t xml:space="preserve">wastewater </w:t>
      </w:r>
      <w:r>
        <w:rPr>
          <w:rFonts w:ascii="Arial" w:hAnsi="Arial" w:cs="Arial"/>
          <w:sz w:val="24"/>
          <w:szCs w:val="24"/>
          <w:lang w:val="en-US"/>
        </w:rPr>
        <w:t xml:space="preserve">for phycoremediation </w:t>
      </w:r>
      <w:r w:rsidR="005D3057" w:rsidRPr="005D3057">
        <w:rPr>
          <w:rFonts w:ascii="Arial" w:hAnsi="Arial" w:cs="Arial"/>
          <w:sz w:val="24"/>
          <w:szCs w:val="24"/>
          <w:lang w:val="en-US"/>
        </w:rPr>
        <w:t xml:space="preserve">were: </w:t>
      </w:r>
      <w:r w:rsidR="005D3057">
        <w:rPr>
          <w:rFonts w:ascii="Arial" w:hAnsi="Arial" w:cs="Arial"/>
          <w:sz w:val="24"/>
          <w:szCs w:val="24"/>
          <w:lang w:val="en-US"/>
        </w:rPr>
        <w:t>80% of domestic and 1</w:t>
      </w:r>
      <w:r>
        <w:rPr>
          <w:rFonts w:ascii="Arial" w:hAnsi="Arial" w:cs="Arial"/>
          <w:sz w:val="24"/>
          <w:szCs w:val="24"/>
          <w:lang w:val="en-US"/>
        </w:rPr>
        <w:t>0</w:t>
      </w:r>
      <w:r w:rsidR="005D3057">
        <w:rPr>
          <w:rFonts w:ascii="Arial" w:hAnsi="Arial" w:cs="Arial"/>
          <w:sz w:val="24"/>
          <w:szCs w:val="24"/>
          <w:lang w:val="en-US"/>
        </w:rPr>
        <w:t>% of swine</w:t>
      </w:r>
      <w:r w:rsidR="007E0D48">
        <w:rPr>
          <w:rFonts w:ascii="Arial" w:hAnsi="Arial" w:cs="Arial"/>
          <w:sz w:val="24"/>
          <w:szCs w:val="24"/>
          <w:lang w:val="en-US"/>
        </w:rPr>
        <w:t xml:space="preserve"> wastewater</w:t>
      </w:r>
      <w:r>
        <w:rPr>
          <w:rFonts w:ascii="Arial" w:hAnsi="Arial" w:cs="Arial"/>
          <w:sz w:val="24"/>
          <w:szCs w:val="24"/>
          <w:lang w:val="en-US"/>
        </w:rPr>
        <w:t>.</w:t>
      </w:r>
      <w:r w:rsidR="005D3057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E0EAE29" w14:textId="3743D9A1" w:rsidR="005D3057" w:rsidRPr="005D3057" w:rsidRDefault="005D3057" w:rsidP="005D305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5D3057">
        <w:rPr>
          <w:rFonts w:ascii="Arial" w:hAnsi="Arial" w:cs="Arial"/>
          <w:i/>
          <w:iCs/>
          <w:sz w:val="24"/>
          <w:szCs w:val="24"/>
          <w:lang w:val="en-US"/>
        </w:rPr>
        <w:t xml:space="preserve">Scenedesmus </w:t>
      </w:r>
      <w:r w:rsidRPr="005D3057">
        <w:rPr>
          <w:rFonts w:ascii="Arial" w:hAnsi="Arial" w:cs="Arial"/>
          <w:sz w:val="24"/>
          <w:szCs w:val="24"/>
          <w:lang w:val="en-US"/>
        </w:rPr>
        <w:t>sp. could reduce a</w:t>
      </w:r>
      <w:r>
        <w:rPr>
          <w:rFonts w:ascii="Arial" w:hAnsi="Arial" w:cs="Arial"/>
          <w:sz w:val="24"/>
          <w:szCs w:val="24"/>
          <w:lang w:val="en-US"/>
        </w:rPr>
        <w:t xml:space="preserve">t least 80% of COD in domestic and swine wastewater. </w:t>
      </w:r>
    </w:p>
    <w:p w14:paraId="2EB184BC" w14:textId="67096235" w:rsidR="008969F9" w:rsidRPr="00A97813" w:rsidRDefault="005D3057" w:rsidP="00A97813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lastRenderedPageBreak/>
        <w:t>G</w:t>
      </w:r>
      <w:r w:rsidRPr="005D3057">
        <w:rPr>
          <w:rFonts w:ascii="Arial" w:hAnsi="Arial" w:cs="Arial"/>
          <w:sz w:val="24"/>
          <w:szCs w:val="24"/>
          <w:lang w:val="en-US"/>
        </w:rPr>
        <w:t>reater diversity of</w:t>
      </w:r>
      <w:r>
        <w:rPr>
          <w:rFonts w:ascii="Arial" w:hAnsi="Arial" w:cs="Arial"/>
          <w:sz w:val="24"/>
          <w:szCs w:val="24"/>
          <w:lang w:val="en-US"/>
        </w:rPr>
        <w:t xml:space="preserve"> FAMEs</w:t>
      </w:r>
      <w:r w:rsidRPr="005D3057">
        <w:rPr>
          <w:rFonts w:ascii="Arial" w:hAnsi="Arial" w:cs="Arial"/>
          <w:sz w:val="24"/>
          <w:szCs w:val="24"/>
          <w:lang w:val="en-US"/>
        </w:rPr>
        <w:t xml:space="preserve"> was found in wastewater compared to the control condition</w:t>
      </w:r>
      <w:r w:rsidR="00DC4971">
        <w:rPr>
          <w:rFonts w:ascii="Arial" w:hAnsi="Arial" w:cs="Arial"/>
          <w:sz w:val="24"/>
          <w:szCs w:val="24"/>
          <w:lang w:val="en-US"/>
        </w:rPr>
        <w:t xml:space="preserve">. </w:t>
      </w:r>
    </w:p>
    <w:sectPr w:rsidR="008969F9" w:rsidRPr="00A9781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Gulliv-R">
    <w:altName w:val="MS Mincho"/>
    <w:charset w:val="80"/>
    <w:family w:val="auto"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C46CC"/>
    <w:multiLevelType w:val="hybridMultilevel"/>
    <w:tmpl w:val="6590D6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432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57"/>
    <w:rsid w:val="000A781B"/>
    <w:rsid w:val="00120ADE"/>
    <w:rsid w:val="0027371D"/>
    <w:rsid w:val="002B605D"/>
    <w:rsid w:val="004C3118"/>
    <w:rsid w:val="005C6875"/>
    <w:rsid w:val="005D3057"/>
    <w:rsid w:val="007E0D48"/>
    <w:rsid w:val="008969F9"/>
    <w:rsid w:val="008C23D4"/>
    <w:rsid w:val="00954361"/>
    <w:rsid w:val="009C581C"/>
    <w:rsid w:val="00A7774E"/>
    <w:rsid w:val="00A84C85"/>
    <w:rsid w:val="00A97813"/>
    <w:rsid w:val="00AF4F0D"/>
    <w:rsid w:val="00B46F8C"/>
    <w:rsid w:val="00BA3E94"/>
    <w:rsid w:val="00BE3501"/>
    <w:rsid w:val="00DC250E"/>
    <w:rsid w:val="00DC4971"/>
    <w:rsid w:val="00DC5E61"/>
    <w:rsid w:val="00E35360"/>
    <w:rsid w:val="00FB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6A410"/>
  <w15:chartTrackingRefBased/>
  <w15:docId w15:val="{1E09DB3D-6159-4B5A-95B8-7D14A679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057"/>
    <w:pPr>
      <w:spacing w:line="300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D305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D305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MX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D305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MX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D305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  <w:lang w:val="es-MX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D305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  <w:lang w:val="es-MX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D305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s-MX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D305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s-MX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D305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s-MX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D305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D30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D30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D30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D305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D305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D305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D305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D305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D305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D30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5D30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D3057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MX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5D30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D3057"/>
    <w:pPr>
      <w:spacing w:before="160" w:line="259" w:lineRule="auto"/>
      <w:jc w:val="center"/>
    </w:pPr>
    <w:rPr>
      <w:rFonts w:eastAsiaTheme="minorHAnsi"/>
      <w:i/>
      <w:iCs/>
      <w:color w:val="404040" w:themeColor="text1" w:themeTint="BF"/>
      <w:kern w:val="2"/>
      <w:sz w:val="22"/>
      <w:szCs w:val="22"/>
      <w:lang w:val="es-MX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5D305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D3057"/>
    <w:pPr>
      <w:spacing w:line="259" w:lineRule="auto"/>
      <w:ind w:left="720"/>
      <w:contextualSpacing/>
    </w:pPr>
    <w:rPr>
      <w:rFonts w:eastAsiaTheme="minorHAnsi"/>
      <w:kern w:val="2"/>
      <w:sz w:val="22"/>
      <w:szCs w:val="22"/>
      <w:lang w:val="es-MX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5D305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D30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2"/>
      <w:szCs w:val="22"/>
      <w:lang w:val="es-MX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D305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D3057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5D3057"/>
    <w:rPr>
      <w:color w:val="467886" w:themeColor="hyperlink"/>
      <w:u w:val="single"/>
    </w:rPr>
  </w:style>
  <w:style w:type="paragraph" w:customStyle="1" w:styleId="MDPI16affiliation">
    <w:name w:val="MDPI_1.6_affiliation"/>
    <w:qFormat/>
    <w:rsid w:val="005D3057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val="en-US" w:eastAsia="de-DE" w:bidi="en-US"/>
      <w14:ligatures w14:val="none"/>
    </w:rPr>
  </w:style>
  <w:style w:type="character" w:customStyle="1" w:styleId="sanssemibold">
    <w:name w:val="sanssemibold"/>
    <w:basedOn w:val="Fuentedeprrafopredeter"/>
    <w:rsid w:val="005D30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8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orgia.gonzalez@tec.m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241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itzel lopez</dc:creator>
  <cp:keywords/>
  <dc:description/>
  <cp:lastModifiedBy>itzel lopez</cp:lastModifiedBy>
  <cp:revision>14</cp:revision>
  <dcterms:created xsi:type="dcterms:W3CDTF">2024-12-11T01:26:00Z</dcterms:created>
  <dcterms:modified xsi:type="dcterms:W3CDTF">2026-09-29T15:27:00Z</dcterms:modified>
</cp:coreProperties>
</file>