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7051" w14:textId="77777777" w:rsidR="002F3CD6" w:rsidRDefault="002F3CD6" w:rsidP="002F3CD6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E75A903" wp14:editId="52E19CC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22570" cy="8229600"/>
            <wp:effectExtent l="0" t="0" r="0" b="0"/>
            <wp:wrapSquare wrapText="bothSides"/>
            <wp:docPr id="9982028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202859" name="Picture 99820285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2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/>
          <w:b/>
          <w:bCs/>
        </w:rPr>
        <w:t xml:space="preserve"> </w:t>
      </w:r>
    </w:p>
    <w:p w14:paraId="07F1BA4E" w14:textId="77777777" w:rsidR="002F3CD6" w:rsidRDefault="002F3CD6" w:rsidP="002F3CD6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lastRenderedPageBreak/>
        <w:t xml:space="preserve">Supplementary Figure 1: M72 vaccine peptide pool matrix design and individual peptide deconvolution approach. (A) </w:t>
      </w:r>
      <w:r w:rsidRPr="004A69EF">
        <w:rPr>
          <w:rFonts w:ascii="Aptos" w:hAnsi="Aptos"/>
        </w:rPr>
        <w:t xml:space="preserve">M72 vaccine protein sequence showing </w:t>
      </w:r>
      <w:r>
        <w:rPr>
          <w:rFonts w:ascii="Aptos" w:hAnsi="Aptos"/>
        </w:rPr>
        <w:t xml:space="preserve">full-length </w:t>
      </w:r>
      <w:r w:rsidRPr="004A69EF">
        <w:rPr>
          <w:rFonts w:ascii="Aptos" w:hAnsi="Aptos"/>
        </w:rPr>
        <w:t xml:space="preserve">PPE18 (Rv1196) (cyan) flanked by </w:t>
      </w:r>
      <w:r>
        <w:rPr>
          <w:rFonts w:ascii="Aptos" w:hAnsi="Aptos"/>
        </w:rPr>
        <w:t xml:space="preserve">the C-terminus of </w:t>
      </w:r>
      <w:r w:rsidRPr="004A69EF">
        <w:rPr>
          <w:rFonts w:ascii="Aptos" w:hAnsi="Aptos"/>
        </w:rPr>
        <w:t xml:space="preserve">PepA (Rv0125) (yellow) </w:t>
      </w:r>
      <w:r>
        <w:rPr>
          <w:rFonts w:ascii="Aptos" w:hAnsi="Aptos"/>
        </w:rPr>
        <w:t xml:space="preserve">to the left and the N-terminus of PepA to the right, </w:t>
      </w:r>
      <w:r w:rsidRPr="004A69EF">
        <w:rPr>
          <w:rFonts w:ascii="Aptos" w:hAnsi="Aptos"/>
        </w:rPr>
        <w:t>with two amino acid linker sequences at each joining region (green with red font).</w:t>
      </w:r>
      <w:r>
        <w:rPr>
          <w:rFonts w:ascii="Aptos" w:hAnsi="Aptos"/>
          <w:b/>
          <w:bCs/>
        </w:rPr>
        <w:t xml:space="preserve">   (B) </w:t>
      </w:r>
      <w:r w:rsidRPr="00145E35">
        <w:rPr>
          <w:rFonts w:ascii="Aptos" w:hAnsi="Aptos"/>
        </w:rPr>
        <w:t>178</w:t>
      </w:r>
      <w:r>
        <w:rPr>
          <w:rFonts w:ascii="Aptos" w:hAnsi="Aptos"/>
        </w:rPr>
        <w:t xml:space="preserve"> 15-mer </w:t>
      </w:r>
      <w:r w:rsidRPr="00145E35">
        <w:rPr>
          <w:rFonts w:ascii="Aptos" w:hAnsi="Aptos"/>
        </w:rPr>
        <w:t>individual peptides</w:t>
      </w:r>
      <w:r>
        <w:rPr>
          <w:rFonts w:ascii="Aptos" w:hAnsi="Aptos"/>
        </w:rPr>
        <w:t xml:space="preserve"> (overlapping by 11 amino acids) covering the entire M72 vaccine sequence were designed into 14 peptide pools (border, pink font). Each peptide pool consists of 24-28 individual peptides, except for pool 14, which contains 10 peptides. Green cells with red font represent peptide sequences containing linker amino acids – ‘Glutamate-Phenylalanine -EF’ on the vaccine N-terminus (peptide sequences 31 – 34) and ‘Aspartate-Isoleucine -DI’ linker on the vaccine C-terminus (peptide sequences 129 – 132). </w:t>
      </w:r>
      <w:r w:rsidRPr="003E726A">
        <w:rPr>
          <w:rFonts w:ascii="Aptos" w:hAnsi="Aptos"/>
          <w:b/>
          <w:bCs/>
        </w:rPr>
        <w:t xml:space="preserve">(C) </w:t>
      </w:r>
      <w:r>
        <w:rPr>
          <w:rFonts w:ascii="Aptos" w:hAnsi="Aptos"/>
        </w:rPr>
        <w:t xml:space="preserve">Hypothetical individual peptide deconvolution from peptide pool matrix designed as in </w:t>
      </w:r>
      <w:r w:rsidRPr="00DF6D41">
        <w:rPr>
          <w:rFonts w:ascii="Aptos" w:hAnsi="Aptos"/>
          <w:b/>
          <w:bCs/>
        </w:rPr>
        <w:t>B</w:t>
      </w:r>
      <w:r>
        <w:rPr>
          <w:rFonts w:ascii="Aptos" w:hAnsi="Aptos"/>
        </w:rPr>
        <w:t xml:space="preserve">. In this example, pool #4 and pool #7 generate detectable responses, but the individual peptides are masked. In the deconvolution step, the peptides shared by both pool #4 and #7 are selected for further testing of peptide-level response. </w:t>
      </w:r>
    </w:p>
    <w:p w14:paraId="5F8504F2" w14:textId="77777777" w:rsidR="002F3CD6" w:rsidRDefault="002F3CD6" w:rsidP="002F3CD6">
      <w:r>
        <w:br w:type="page"/>
      </w:r>
    </w:p>
    <w:p w14:paraId="0D1BA41D" w14:textId="77777777" w:rsidR="002F3CD6" w:rsidRPr="00FB2947" w:rsidRDefault="002F3CD6" w:rsidP="002F3CD6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4492D9B" wp14:editId="7667519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529627" cy="7498080"/>
            <wp:effectExtent l="0" t="0" r="0" b="0"/>
            <wp:wrapSquare wrapText="bothSides"/>
            <wp:docPr id="21072182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18294" name="Picture 21072182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9627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b/>
          <w:bCs/>
        </w:rPr>
        <w:t xml:space="preserve"> Supplementary Figure 2: Responses to peptide pools of the M72 vaccine antigen. </w:t>
      </w:r>
      <w:r w:rsidRPr="000B0A78">
        <w:rPr>
          <w:rFonts w:ascii="Aptos" w:hAnsi="Aptos"/>
        </w:rPr>
        <w:t>Peptide pool</w:t>
      </w:r>
      <w:r>
        <w:rPr>
          <w:rFonts w:ascii="Aptos" w:hAnsi="Aptos"/>
        </w:rPr>
        <w:t xml:space="preserve"> responses described in Figure 1 were compared between placebo (n= 9) and vaccine recipients (n=36) at Day 0 and Day 37 for IFN</w:t>
      </w:r>
      <w:r w:rsidRPr="00BB757E">
        <w:rPr>
          <w:rFonts w:ascii="Symbol" w:hAnsi="Symbol"/>
        </w:rPr>
        <w:t>g</w:t>
      </w:r>
      <w:r>
        <w:rPr>
          <w:rFonts w:ascii="Aptos" w:hAnsi="Aptos"/>
        </w:rPr>
        <w:t xml:space="preserve"> (A-B) and IL-17 (C-D).</w:t>
      </w:r>
    </w:p>
    <w:p w14:paraId="7873AB19" w14:textId="77777777" w:rsidR="002F3CD6" w:rsidRPr="00FB2947" w:rsidRDefault="002F3CD6" w:rsidP="002F3CD6">
      <w:pPr>
        <w:jc w:val="both"/>
      </w:pPr>
      <w:r>
        <w:br w:type="page"/>
      </w:r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4B14C11" wp14:editId="50C0161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6346" cy="6309360"/>
            <wp:effectExtent l="0" t="0" r="2540" b="2540"/>
            <wp:wrapSquare wrapText="bothSides"/>
            <wp:docPr id="15634498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449875" name="Picture 1563449875"/>
                    <pic:cNvPicPr/>
                  </pic:nvPicPr>
                  <pic:blipFill rotWithShape="1">
                    <a:blip r:embed="rId6"/>
                    <a:srcRect b="18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346" cy="630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</w:rPr>
        <w:t>Supplementary Figure 3: Peptides in the PPE18 (Mtb39A) region of the M72 vaccine construct induce the highest magnitude and prevalence responses</w:t>
      </w:r>
      <w:r w:rsidRPr="005828C7">
        <w:rPr>
          <w:b/>
          <w:bCs/>
        </w:rPr>
        <w:t>.</w:t>
      </w:r>
      <w:r>
        <w:rPr>
          <w:b/>
          <w:bCs/>
        </w:rPr>
        <w:t xml:space="preserve"> </w:t>
      </w:r>
      <w:r w:rsidRPr="00D43DFA">
        <w:t>IL-17 responses to</w:t>
      </w:r>
      <w:r>
        <w:rPr>
          <w:b/>
          <w:bCs/>
        </w:rPr>
        <w:t xml:space="preserve"> </w:t>
      </w:r>
      <w:r>
        <w:t>i</w:t>
      </w:r>
      <w:r w:rsidRPr="00C34B8F">
        <w:t>ndividual peptide</w:t>
      </w:r>
      <w:r>
        <w:t>s, measured as described in Figure 2, were mapped to their position in the M72 vaccine construct, magnitude of response (</w:t>
      </w:r>
      <w:r w:rsidRPr="006100EF">
        <w:rPr>
          <w:b/>
          <w:bCs/>
        </w:rPr>
        <w:t>A</w:t>
      </w:r>
      <w:r>
        <w:t>), and prevalence of response (</w:t>
      </w:r>
      <w:r w:rsidRPr="006100EF">
        <w:rPr>
          <w:b/>
          <w:bCs/>
        </w:rPr>
        <w:t>B</w:t>
      </w:r>
      <w:r>
        <w:t xml:space="preserve">). Only peptides measured in &gt;5 participants are shown. </w:t>
      </w:r>
    </w:p>
    <w:p w14:paraId="0877D1A0" w14:textId="77777777" w:rsidR="002F3CD6" w:rsidRDefault="002F3CD6" w:rsidP="002F3CD6">
      <w:r>
        <w:br w:type="page"/>
      </w:r>
    </w:p>
    <w:p w14:paraId="77B19E32" w14:textId="77777777" w:rsidR="002F3CD6" w:rsidRDefault="002F3CD6" w:rsidP="002F3CD6">
      <w:r w:rsidRPr="00A57CD6">
        <w:rPr>
          <w:b/>
          <w:bCs/>
        </w:rPr>
        <w:lastRenderedPageBreak/>
        <w:t>Supplementary Table 1</w:t>
      </w:r>
      <w:r>
        <w:t xml:space="preserve">: Peptide sequences with significant changes between D0 and D37 responses in the vaccine arm (defined as vaccine effect) </w:t>
      </w:r>
    </w:p>
    <w:p w14:paraId="740ED168" w14:textId="77777777" w:rsidR="002F3CD6" w:rsidRDefault="002F3CD6" w:rsidP="002F3CD6"/>
    <w:tbl>
      <w:tblPr>
        <w:tblpPr w:leftFromText="180" w:rightFromText="180" w:vertAnchor="page" w:horzAnchor="margin" w:tblpY="2211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980"/>
        <w:gridCol w:w="990"/>
        <w:gridCol w:w="1260"/>
        <w:gridCol w:w="1080"/>
        <w:gridCol w:w="1260"/>
        <w:gridCol w:w="1080"/>
        <w:gridCol w:w="990"/>
      </w:tblGrid>
      <w:tr w:rsidR="002F3CD6" w:rsidRPr="00021EFD" w14:paraId="496C79B5" w14:textId="77777777" w:rsidTr="00650D2F">
        <w:trPr>
          <w:trHeight w:val="440"/>
        </w:trPr>
        <w:tc>
          <w:tcPr>
            <w:tcW w:w="985" w:type="dxa"/>
          </w:tcPr>
          <w:p w14:paraId="77847CB0" w14:textId="77777777" w:rsidR="002F3CD6" w:rsidRPr="00021EFD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021EFD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Peptide#</w:t>
            </w:r>
          </w:p>
        </w:tc>
        <w:tc>
          <w:tcPr>
            <w:tcW w:w="1980" w:type="dxa"/>
            <w:noWrap/>
          </w:tcPr>
          <w:p w14:paraId="30B05A29" w14:textId="77777777" w:rsidR="002F3CD6" w:rsidRPr="00021EFD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021EFD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Peptide</w:t>
            </w:r>
          </w:p>
        </w:tc>
        <w:tc>
          <w:tcPr>
            <w:tcW w:w="990" w:type="dxa"/>
          </w:tcPr>
          <w:p w14:paraId="787F91DC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Mtb Protein</w:t>
            </w:r>
          </w:p>
        </w:tc>
        <w:tc>
          <w:tcPr>
            <w:tcW w:w="1260" w:type="dxa"/>
            <w:noWrap/>
          </w:tcPr>
          <w:p w14:paraId="510BA340" w14:textId="77777777" w:rsidR="002F3CD6" w:rsidRPr="00021EFD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# of donors tested</w:t>
            </w:r>
          </w:p>
        </w:tc>
        <w:tc>
          <w:tcPr>
            <w:tcW w:w="1080" w:type="dxa"/>
            <w:noWrap/>
          </w:tcPr>
          <w:p w14:paraId="4682B1AE" w14:textId="77777777" w:rsidR="002F3CD6" w:rsidRPr="00021EFD" w:rsidRDefault="002F3CD6" w:rsidP="00650D2F">
            <w:pPr>
              <w:spacing w:after="0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  <w:t>Cytokine</w:t>
            </w:r>
          </w:p>
        </w:tc>
        <w:tc>
          <w:tcPr>
            <w:tcW w:w="1260" w:type="dxa"/>
          </w:tcPr>
          <w:p w14:paraId="1EE73B7A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  <w:t>Paired AUROC</w:t>
            </w:r>
          </w:p>
        </w:tc>
        <w:tc>
          <w:tcPr>
            <w:tcW w:w="1080" w:type="dxa"/>
            <w:noWrap/>
          </w:tcPr>
          <w:p w14:paraId="27E173F0" w14:textId="77777777" w:rsidR="002F3CD6" w:rsidRPr="00021EFD" w:rsidRDefault="002F3CD6" w:rsidP="00650D2F">
            <w:pPr>
              <w:spacing w:after="0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  <w:t>p-value</w:t>
            </w:r>
          </w:p>
        </w:tc>
        <w:tc>
          <w:tcPr>
            <w:tcW w:w="990" w:type="dxa"/>
          </w:tcPr>
          <w:p w14:paraId="0F299602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  <w:t>FDR q-value</w:t>
            </w:r>
          </w:p>
        </w:tc>
      </w:tr>
      <w:tr w:rsidR="002F3CD6" w:rsidRPr="005C5758" w14:paraId="395787F3" w14:textId="77777777" w:rsidTr="00650D2F">
        <w:trPr>
          <w:trHeight w:val="345"/>
        </w:trPr>
        <w:tc>
          <w:tcPr>
            <w:tcW w:w="985" w:type="dxa"/>
          </w:tcPr>
          <w:p w14:paraId="6185EA52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1980" w:type="dxa"/>
            <w:noWrap/>
          </w:tcPr>
          <w:p w14:paraId="697B3643" w14:textId="77777777" w:rsidR="002F3CD6" w:rsidRPr="002509FA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FD762E"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VPPPVIAENRAELMI</w:t>
            </w:r>
          </w:p>
        </w:tc>
        <w:tc>
          <w:tcPr>
            <w:tcW w:w="990" w:type="dxa"/>
          </w:tcPr>
          <w:p w14:paraId="36DD8673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noWrap/>
          </w:tcPr>
          <w:p w14:paraId="6B7BC902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noWrap/>
          </w:tcPr>
          <w:p w14:paraId="06DB4CC3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IFN</w:t>
            </w:r>
            <w:r w:rsidRPr="009F605B">
              <w:rPr>
                <w:rFonts w:ascii="Symbol" w:hAnsi="Symbol"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1260" w:type="dxa"/>
          </w:tcPr>
          <w:p w14:paraId="261C9235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0.72</w:t>
            </w:r>
          </w:p>
        </w:tc>
        <w:tc>
          <w:tcPr>
            <w:tcW w:w="1080" w:type="dxa"/>
            <w:noWrap/>
          </w:tcPr>
          <w:p w14:paraId="3121CC07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0.032</w:t>
            </w:r>
          </w:p>
        </w:tc>
        <w:tc>
          <w:tcPr>
            <w:tcW w:w="990" w:type="dxa"/>
          </w:tcPr>
          <w:p w14:paraId="789CFB09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0.36</w:t>
            </w:r>
          </w:p>
        </w:tc>
      </w:tr>
      <w:tr w:rsidR="002F3CD6" w:rsidRPr="005C5758" w14:paraId="4AFDB8BD" w14:textId="77777777" w:rsidTr="00650D2F">
        <w:trPr>
          <w:trHeight w:val="345"/>
        </w:trPr>
        <w:tc>
          <w:tcPr>
            <w:tcW w:w="985" w:type="dxa"/>
          </w:tcPr>
          <w:p w14:paraId="6E073C88" w14:textId="77777777" w:rsidR="002F3CD6" w:rsidRPr="005C5758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980" w:type="dxa"/>
            <w:noWrap/>
          </w:tcPr>
          <w:p w14:paraId="26AA23A5" w14:textId="77777777" w:rsidR="002F3CD6" w:rsidRPr="005C5758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2509FA"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SAGLMVAAASPYVAW</w:t>
            </w:r>
          </w:p>
        </w:tc>
        <w:tc>
          <w:tcPr>
            <w:tcW w:w="990" w:type="dxa"/>
          </w:tcPr>
          <w:p w14:paraId="68263CB1" w14:textId="77777777" w:rsidR="002F3CD6" w:rsidRPr="005C5758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noWrap/>
          </w:tcPr>
          <w:p w14:paraId="1DF344A5" w14:textId="77777777" w:rsidR="002F3CD6" w:rsidRPr="005C5758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noWrap/>
          </w:tcPr>
          <w:p w14:paraId="189D2877" w14:textId="77777777" w:rsidR="002F3CD6" w:rsidRPr="005C5758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IFN</w:t>
            </w:r>
            <w:r w:rsidRPr="009F605B">
              <w:rPr>
                <w:rFonts w:ascii="Symbol" w:hAnsi="Symbol"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1260" w:type="dxa"/>
          </w:tcPr>
          <w:p w14:paraId="60260B62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0.73</w:t>
            </w:r>
          </w:p>
        </w:tc>
        <w:tc>
          <w:tcPr>
            <w:tcW w:w="1080" w:type="dxa"/>
            <w:noWrap/>
          </w:tcPr>
          <w:p w14:paraId="2E8FAA9C" w14:textId="77777777" w:rsidR="002F3CD6" w:rsidRPr="005C5758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0.022</w:t>
            </w:r>
          </w:p>
        </w:tc>
        <w:tc>
          <w:tcPr>
            <w:tcW w:w="990" w:type="dxa"/>
          </w:tcPr>
          <w:p w14:paraId="5890EDC0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-</w:t>
            </w:r>
          </w:p>
        </w:tc>
      </w:tr>
      <w:tr w:rsidR="002F3CD6" w:rsidRPr="005C5758" w14:paraId="376959F6" w14:textId="77777777" w:rsidTr="00650D2F">
        <w:trPr>
          <w:trHeight w:val="345"/>
        </w:trPr>
        <w:tc>
          <w:tcPr>
            <w:tcW w:w="985" w:type="dxa"/>
          </w:tcPr>
          <w:p w14:paraId="02A50A46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1980" w:type="dxa"/>
            <w:noWrap/>
          </w:tcPr>
          <w:p w14:paraId="1087CA38" w14:textId="77777777" w:rsidR="002F3CD6" w:rsidRPr="002509FA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LMILIATNLLGQNTP</w:t>
            </w:r>
          </w:p>
        </w:tc>
        <w:tc>
          <w:tcPr>
            <w:tcW w:w="990" w:type="dxa"/>
          </w:tcPr>
          <w:p w14:paraId="44656EF5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noWrap/>
          </w:tcPr>
          <w:p w14:paraId="025E88B8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noWrap/>
          </w:tcPr>
          <w:p w14:paraId="7FAFBAE7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IFN</w:t>
            </w:r>
            <w:r w:rsidRPr="009F605B">
              <w:rPr>
                <w:rFonts w:ascii="Symbol" w:hAnsi="Symbol"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1260" w:type="dxa"/>
          </w:tcPr>
          <w:p w14:paraId="13A23BBD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0.71</w:t>
            </w:r>
          </w:p>
        </w:tc>
        <w:tc>
          <w:tcPr>
            <w:tcW w:w="1080" w:type="dxa"/>
            <w:noWrap/>
          </w:tcPr>
          <w:p w14:paraId="51DA89F7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990" w:type="dxa"/>
          </w:tcPr>
          <w:p w14:paraId="47EBAD6F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-</w:t>
            </w:r>
          </w:p>
        </w:tc>
      </w:tr>
      <w:tr w:rsidR="002F3CD6" w:rsidRPr="005C5758" w14:paraId="205EF8B0" w14:textId="77777777" w:rsidTr="00650D2F">
        <w:trPr>
          <w:trHeight w:val="345"/>
        </w:trPr>
        <w:tc>
          <w:tcPr>
            <w:tcW w:w="985" w:type="dxa"/>
            <w:tcBorders>
              <w:bottom w:val="single" w:sz="6" w:space="0" w:color="auto"/>
            </w:tcBorders>
          </w:tcPr>
          <w:p w14:paraId="5FACF5A7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67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noWrap/>
          </w:tcPr>
          <w:p w14:paraId="0958E5DB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NTPAIAVNEAEYGEM</w:t>
            </w:r>
          </w:p>
        </w:tc>
        <w:tc>
          <w:tcPr>
            <w:tcW w:w="990" w:type="dxa"/>
            <w:tcBorders>
              <w:bottom w:val="single" w:sz="6" w:space="0" w:color="auto"/>
            </w:tcBorders>
          </w:tcPr>
          <w:p w14:paraId="3276C266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tcBorders>
              <w:bottom w:val="single" w:sz="6" w:space="0" w:color="auto"/>
            </w:tcBorders>
            <w:noWrap/>
          </w:tcPr>
          <w:p w14:paraId="110C939B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</w:tcPr>
          <w:p w14:paraId="2A875EE7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IL-17</w:t>
            </w:r>
          </w:p>
        </w:tc>
        <w:tc>
          <w:tcPr>
            <w:tcW w:w="1260" w:type="dxa"/>
            <w:tcBorders>
              <w:bottom w:val="single" w:sz="6" w:space="0" w:color="auto"/>
            </w:tcBorders>
          </w:tcPr>
          <w:p w14:paraId="2650833C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0.71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</w:tcPr>
          <w:p w14:paraId="79C75AED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990" w:type="dxa"/>
            <w:tcBorders>
              <w:bottom w:val="single" w:sz="6" w:space="0" w:color="auto"/>
            </w:tcBorders>
          </w:tcPr>
          <w:p w14:paraId="6FF836E6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-</w:t>
            </w:r>
          </w:p>
        </w:tc>
      </w:tr>
      <w:tr w:rsidR="002F3CD6" w:rsidRPr="005C5758" w14:paraId="19B1A20D" w14:textId="77777777" w:rsidTr="00650D2F">
        <w:trPr>
          <w:trHeight w:val="345"/>
        </w:trPr>
        <w:tc>
          <w:tcPr>
            <w:tcW w:w="985" w:type="dxa"/>
            <w:tcBorders>
              <w:top w:val="single" w:sz="6" w:space="0" w:color="auto"/>
              <w:bottom w:val="nil"/>
            </w:tcBorders>
          </w:tcPr>
          <w:p w14:paraId="76773766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1980" w:type="dxa"/>
            <w:tcBorders>
              <w:top w:val="single" w:sz="6" w:space="0" w:color="auto"/>
              <w:bottom w:val="nil"/>
            </w:tcBorders>
            <w:noWrap/>
          </w:tcPr>
          <w:p w14:paraId="56953E7D" w14:textId="77777777" w:rsidR="002F3CD6" w:rsidRPr="00FA0B94" w:rsidRDefault="002F3CD6" w:rsidP="00650D2F">
            <w:pPr>
              <w:spacing w:after="0" w:line="240" w:lineRule="auto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EEAPEMTSAGGLLEQ</w:t>
            </w:r>
          </w:p>
        </w:tc>
        <w:tc>
          <w:tcPr>
            <w:tcW w:w="990" w:type="dxa"/>
            <w:tcBorders>
              <w:top w:val="single" w:sz="6" w:space="0" w:color="auto"/>
              <w:bottom w:val="nil"/>
            </w:tcBorders>
          </w:tcPr>
          <w:p w14:paraId="368B13C2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tcBorders>
              <w:top w:val="single" w:sz="6" w:space="0" w:color="auto"/>
              <w:bottom w:val="nil"/>
            </w:tcBorders>
            <w:noWrap/>
          </w:tcPr>
          <w:p w14:paraId="1081C4DC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tcBorders>
              <w:top w:val="single" w:sz="6" w:space="0" w:color="auto"/>
              <w:bottom w:val="nil"/>
            </w:tcBorders>
            <w:noWrap/>
          </w:tcPr>
          <w:p w14:paraId="5D69D50E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IFN</w:t>
            </w:r>
            <w:r w:rsidRPr="009F605B">
              <w:rPr>
                <w:rFonts w:ascii="Symbol" w:hAnsi="Symbol"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1260" w:type="dxa"/>
            <w:tcBorders>
              <w:top w:val="single" w:sz="6" w:space="0" w:color="auto"/>
              <w:bottom w:val="nil"/>
            </w:tcBorders>
          </w:tcPr>
          <w:p w14:paraId="401F6F93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0.67</w:t>
            </w:r>
          </w:p>
        </w:tc>
        <w:tc>
          <w:tcPr>
            <w:tcW w:w="1080" w:type="dxa"/>
            <w:tcBorders>
              <w:top w:val="single" w:sz="6" w:space="0" w:color="auto"/>
              <w:bottom w:val="nil"/>
            </w:tcBorders>
            <w:noWrap/>
          </w:tcPr>
          <w:p w14:paraId="11082D0D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0.084</w:t>
            </w:r>
          </w:p>
        </w:tc>
        <w:tc>
          <w:tcPr>
            <w:tcW w:w="990" w:type="dxa"/>
            <w:tcBorders>
              <w:top w:val="single" w:sz="6" w:space="0" w:color="auto"/>
              <w:bottom w:val="nil"/>
            </w:tcBorders>
          </w:tcPr>
          <w:p w14:paraId="01B50C9D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-</w:t>
            </w:r>
          </w:p>
        </w:tc>
      </w:tr>
      <w:tr w:rsidR="002F3CD6" w:rsidRPr="005C5758" w14:paraId="4618FB3F" w14:textId="77777777" w:rsidTr="00650D2F">
        <w:trPr>
          <w:trHeight w:val="345"/>
        </w:trPr>
        <w:tc>
          <w:tcPr>
            <w:tcW w:w="985" w:type="dxa"/>
          </w:tcPr>
          <w:p w14:paraId="4EA29D59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1980" w:type="dxa"/>
            <w:noWrap/>
          </w:tcPr>
          <w:p w14:paraId="4F7B3AE5" w14:textId="77777777" w:rsidR="002F3CD6" w:rsidRPr="00FA0B94" w:rsidRDefault="002F3CD6" w:rsidP="00650D2F">
            <w:pPr>
              <w:spacing w:after="0" w:line="240" w:lineRule="auto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EEAPEMTSAGGLLEQ</w:t>
            </w:r>
          </w:p>
        </w:tc>
        <w:tc>
          <w:tcPr>
            <w:tcW w:w="990" w:type="dxa"/>
          </w:tcPr>
          <w:p w14:paraId="458F3BAF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PPE18</w:t>
            </w:r>
          </w:p>
        </w:tc>
        <w:tc>
          <w:tcPr>
            <w:tcW w:w="1260" w:type="dxa"/>
            <w:noWrap/>
          </w:tcPr>
          <w:p w14:paraId="22F16FE8" w14:textId="77777777" w:rsidR="002F3CD6" w:rsidRDefault="002F3CD6" w:rsidP="00650D2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80" w:type="dxa"/>
            <w:noWrap/>
          </w:tcPr>
          <w:p w14:paraId="235EEE20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IL-17</w:t>
            </w:r>
          </w:p>
        </w:tc>
        <w:tc>
          <w:tcPr>
            <w:tcW w:w="1260" w:type="dxa"/>
          </w:tcPr>
          <w:p w14:paraId="0BE2091C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0.73</w:t>
            </w:r>
          </w:p>
        </w:tc>
        <w:tc>
          <w:tcPr>
            <w:tcW w:w="1080" w:type="dxa"/>
            <w:noWrap/>
          </w:tcPr>
          <w:p w14:paraId="79843595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0.023</w:t>
            </w:r>
          </w:p>
        </w:tc>
        <w:tc>
          <w:tcPr>
            <w:tcW w:w="990" w:type="dxa"/>
          </w:tcPr>
          <w:p w14:paraId="6008A118" w14:textId="77777777" w:rsidR="002F3CD6" w:rsidRDefault="002F3CD6" w:rsidP="00650D2F">
            <w:pPr>
              <w:spacing w:after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-</w:t>
            </w:r>
          </w:p>
        </w:tc>
      </w:tr>
      <w:tr w:rsidR="002F3CD6" w:rsidRPr="0003517F" w14:paraId="01DEBE19" w14:textId="77777777" w:rsidTr="00650D2F">
        <w:trPr>
          <w:trHeight w:val="263"/>
        </w:trPr>
        <w:tc>
          <w:tcPr>
            <w:tcW w:w="9625" w:type="dxa"/>
            <w:gridSpan w:val="8"/>
          </w:tcPr>
          <w:p w14:paraId="476B7E72" w14:textId="77777777" w:rsidR="002F3CD6" w:rsidRPr="003B53A5" w:rsidRDefault="002F3CD6" w:rsidP="00650D2F">
            <w:pPr>
              <w:spacing w:after="0"/>
              <w:jc w:val="both"/>
              <w:rPr>
                <w:rFonts w:ascii="Century Gothic" w:hAnsi="Century Gothic" w:cs="Segoe UI"/>
                <w:color w:val="222832"/>
                <w:sz w:val="20"/>
                <w:szCs w:val="20"/>
                <w:shd w:val="clear" w:color="auto" w:fill="FFFFFF"/>
              </w:rPr>
            </w:pPr>
            <w:r w:rsidRPr="003B53A5">
              <w:rPr>
                <w:rFonts w:ascii="Century Gothic" w:hAnsi="Century Gothic" w:cs="Segoe UI"/>
                <w:color w:val="222832"/>
                <w:sz w:val="20"/>
                <w:szCs w:val="20"/>
                <w:shd w:val="clear" w:color="auto" w:fill="FFFFFF"/>
              </w:rPr>
              <w:t xml:space="preserve">Comparison of samples from M72 recipients Day 37 vs. Day 0. Statistics: Wilcoxon signed-rank test comparing pairs of values from each </w:t>
            </w:r>
            <w:r>
              <w:rPr>
                <w:rFonts w:ascii="Century Gothic" w:hAnsi="Century Gothic" w:cs="Segoe UI"/>
                <w:color w:val="222832"/>
                <w:sz w:val="20"/>
                <w:szCs w:val="20"/>
                <w:shd w:val="clear" w:color="auto" w:fill="FFFFFF"/>
              </w:rPr>
              <w:t>donor</w:t>
            </w:r>
            <w:r w:rsidRPr="003B53A5">
              <w:rPr>
                <w:rFonts w:ascii="Century Gothic" w:hAnsi="Century Gothic" w:cs="Segoe UI"/>
                <w:color w:val="222832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Century Gothic" w:hAnsi="Century Gothic" w:cs="Segoe UI"/>
                <w:color w:val="222832"/>
                <w:sz w:val="20"/>
                <w:szCs w:val="20"/>
                <w:shd w:val="clear" w:color="auto" w:fill="FFFFFF"/>
              </w:rPr>
              <w:t>FDR-q values were only tested for responses that were detected in at least 35% of samples (across groups and time points)</w:t>
            </w:r>
          </w:p>
        </w:tc>
      </w:tr>
    </w:tbl>
    <w:p w14:paraId="592F8106" w14:textId="77777777" w:rsidR="002F3CD6" w:rsidRPr="00FE2682" w:rsidRDefault="002F3CD6" w:rsidP="002F3CD6">
      <w:pPr>
        <w:pStyle w:val="Bibliography"/>
        <w:ind w:left="0" w:firstLine="0"/>
        <w:jc w:val="both"/>
      </w:pPr>
    </w:p>
    <w:p w14:paraId="5119264E" w14:textId="77777777" w:rsidR="00E023F9" w:rsidRDefault="00E023F9"/>
    <w:sectPr w:rsidR="00E023F9" w:rsidSect="002F3CD6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D6"/>
    <w:rsid w:val="000C4033"/>
    <w:rsid w:val="00117E77"/>
    <w:rsid w:val="00173ED8"/>
    <w:rsid w:val="002F3CD6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D352"/>
  <w15:chartTrackingRefBased/>
  <w15:docId w15:val="{9A8B282E-B00B-4E8F-9BD5-BE8A84EB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CD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2F3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2F3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CD6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2F3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CD6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2F3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CD6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2F3CD6"/>
    <w:pPr>
      <w:tabs>
        <w:tab w:val="left" w:pos="380"/>
      </w:tabs>
      <w:spacing w:after="0" w:line="480" w:lineRule="auto"/>
      <w:ind w:left="384" w:hanging="384"/>
    </w:pPr>
  </w:style>
  <w:style w:type="character" w:styleId="LineNumber">
    <w:name w:val="line number"/>
    <w:basedOn w:val="DefaultParagraphFont"/>
    <w:uiPriority w:val="99"/>
    <w:semiHidden/>
    <w:unhideWhenUsed/>
    <w:rsid w:val="002F3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2026-11-02T08:56:00Z</dcterms:created>
  <dcterms:modified xsi:type="dcterms:W3CDTF">2026-11-02T08:57:00Z</dcterms:modified>
</cp:coreProperties>
</file>