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5624" w14:textId="77777777" w:rsidR="000151F4" w:rsidRDefault="000151F4" w:rsidP="000151F4">
      <w:pPr>
        <w:pStyle w:val="Acknowledgement"/>
        <w:spacing w:line="480" w:lineRule="auto"/>
        <w:ind w:left="0" w:firstLine="0"/>
        <w:rPr>
          <w:b/>
        </w:rPr>
      </w:pPr>
      <w:r>
        <w:rPr>
          <w:b/>
        </w:rPr>
        <w:t>Supplemental Materials</w:t>
      </w:r>
    </w:p>
    <w:p w14:paraId="4D00A933" w14:textId="77777777" w:rsidR="000151F4" w:rsidRDefault="000151F4" w:rsidP="000151F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6595583" wp14:editId="2C323FCF">
            <wp:extent cx="5943600" cy="2539365"/>
            <wp:effectExtent l="0" t="0" r="0" b="635"/>
            <wp:docPr id="1716975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975143" name="Picture 17169751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7E8C3" w14:textId="77777777" w:rsidR="000151F4" w:rsidRPr="00B15EDF" w:rsidRDefault="000151F4" w:rsidP="000151F4">
      <w:pPr>
        <w:spacing w:line="480" w:lineRule="auto"/>
        <w:ind w:left="630" w:hanging="630"/>
      </w:pPr>
      <w:r w:rsidRPr="00B15EDF">
        <w:rPr>
          <w:b/>
        </w:rPr>
        <w:t xml:space="preserve">Fig. </w:t>
      </w:r>
      <w:r>
        <w:rPr>
          <w:b/>
        </w:rPr>
        <w:t>S1</w:t>
      </w:r>
      <w:r w:rsidRPr="00B15EDF">
        <w:rPr>
          <w:b/>
        </w:rPr>
        <w:t>.</w:t>
      </w:r>
      <w:r w:rsidRPr="00B15EDF">
        <w:t xml:space="preserve"> </w:t>
      </w:r>
      <w:r w:rsidRPr="00B15EDF">
        <w:rPr>
          <w:b/>
          <w:bCs/>
        </w:rPr>
        <w:t xml:space="preserve">Stable finger control without recalibration. </w:t>
      </w:r>
      <w:r w:rsidRPr="00B15EDF">
        <w:t>(</w:t>
      </w:r>
      <w:r w:rsidRPr="00B15EDF">
        <w:rPr>
          <w:b/>
          <w:bCs/>
        </w:rPr>
        <w:t>A</w:t>
      </w:r>
      <w:r w:rsidRPr="00B15EDF">
        <w:t>) Average values for throughput and trial acquisition time for each session are plotted for the static (</w:t>
      </w:r>
      <w:r>
        <w:t>LSTM</w:t>
      </w:r>
      <w:r w:rsidRPr="00B15EDF">
        <w:rPr>
          <w:vertAlign w:val="subscript"/>
        </w:rPr>
        <w:t>0</w:t>
      </w:r>
      <w:r w:rsidRPr="00B15EDF">
        <w:t xml:space="preserve">) and same day trained </w:t>
      </w:r>
      <w:r>
        <w:t>(LSTM</w:t>
      </w:r>
      <w:r w:rsidRPr="00B15EDF">
        <w:rPr>
          <w:vertAlign w:val="subscript"/>
        </w:rPr>
        <w:t>k</w:t>
      </w:r>
      <w:r w:rsidRPr="00B15EDF">
        <w:t>) decoders for the N=</w:t>
      </w:r>
      <w:r>
        <w:t>5</w:t>
      </w:r>
      <w:r w:rsidRPr="00B15EDF">
        <w:t xml:space="preserve"> sessions that they were tested over </w:t>
      </w:r>
      <w:r>
        <w:t>23</w:t>
      </w:r>
      <w:r w:rsidRPr="00B15EDF">
        <w:t xml:space="preserve"> days. A linear regression was fit over all sessions denoted by the dashed line, and the regression slope was tested for significance (p-values labeled on plot). There was no significant slope in throughput or trial acquisition time when the monkey used</w:t>
      </w:r>
      <w:r>
        <w:t xml:space="preserve"> LSTM</w:t>
      </w:r>
      <w:r w:rsidRPr="00B15EDF">
        <w:rPr>
          <w:vertAlign w:val="subscript"/>
        </w:rPr>
        <w:t xml:space="preserve">0 </w:t>
      </w:r>
      <w:r w:rsidRPr="00B15EDF">
        <w:t xml:space="preserve">or </w:t>
      </w:r>
      <w:r>
        <w:t>LSTM</w:t>
      </w:r>
      <w:r w:rsidRPr="00B15EDF">
        <w:rPr>
          <w:vertAlign w:val="subscript"/>
        </w:rPr>
        <w:t>k</w:t>
      </w:r>
      <w:r w:rsidRPr="00B15EDF">
        <w:t xml:space="preserve"> for N=</w:t>
      </w:r>
      <w:r>
        <w:t>5</w:t>
      </w:r>
      <w:r w:rsidRPr="00B15EDF">
        <w:t xml:space="preserve"> sessions over </w:t>
      </w:r>
      <w:r>
        <w:t>23</w:t>
      </w:r>
      <w:r w:rsidRPr="00B15EDF">
        <w:t xml:space="preserve"> days. (</w:t>
      </w:r>
      <w:r w:rsidRPr="00B15EDF">
        <w:rPr>
          <w:b/>
          <w:bCs/>
        </w:rPr>
        <w:t>B</w:t>
      </w:r>
      <w:r w:rsidRPr="00B15EDF">
        <w:t xml:space="preserve">) Population data for the monkey’s cross-day and same-day trained </w:t>
      </w:r>
      <w:r>
        <w:t>LSTMs</w:t>
      </w:r>
      <w:r w:rsidRPr="00B15EDF">
        <w:t xml:space="preserve">. There were no significant differences in the monkey’s task performance when he used </w:t>
      </w:r>
      <w:r>
        <w:t>LSTM</w:t>
      </w:r>
      <w:r w:rsidRPr="00B15EDF">
        <w:rPr>
          <w:vertAlign w:val="subscript"/>
        </w:rPr>
        <w:t xml:space="preserve">0 </w:t>
      </w:r>
      <w:r w:rsidRPr="00B15EDF">
        <w:t xml:space="preserve">or </w:t>
      </w:r>
      <w:r>
        <w:t>LSTM</w:t>
      </w:r>
      <w:r w:rsidRPr="00B15EDF">
        <w:rPr>
          <w:vertAlign w:val="subscript"/>
        </w:rPr>
        <w:t>k</w:t>
      </w:r>
      <w:r w:rsidRPr="00B15EDF">
        <w:t xml:space="preserve"> (p &gt; 0.05). The boxes denote the IQR (whiskers denote 1.5 x IQR). </w:t>
      </w:r>
    </w:p>
    <w:p w14:paraId="3A22DFBF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F4"/>
    <w:rsid w:val="000151F4"/>
    <w:rsid w:val="0046428C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BBD01"/>
  <w15:chartTrackingRefBased/>
  <w15:docId w15:val="{A40ABC63-9E5E-4249-AC96-0F4F36EF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1F4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51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1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1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1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1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1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1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1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1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1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1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1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5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1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5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1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5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1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51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1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1F4"/>
    <w:rPr>
      <w:b/>
      <w:bCs/>
      <w:smallCaps/>
      <w:color w:val="0F4761" w:themeColor="accent1" w:themeShade="BF"/>
      <w:spacing w:val="5"/>
    </w:rPr>
  </w:style>
  <w:style w:type="paragraph" w:customStyle="1" w:styleId="Acknowledgement">
    <w:name w:val="Acknowledgement"/>
    <w:basedOn w:val="Normal"/>
    <w:rsid w:val="000151F4"/>
    <w:pPr>
      <w:spacing w:before="120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2026-10-16T14:50:00Z</dcterms:created>
  <dcterms:modified xsi:type="dcterms:W3CDTF">2026-10-16T14:50:00Z</dcterms:modified>
</cp:coreProperties>
</file>