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F259C" w14:textId="77777777" w:rsidR="000104D0" w:rsidRDefault="000104D0" w:rsidP="000104D0">
      <w:pPr>
        <w:pStyle w:val="Heading1"/>
      </w:pPr>
      <w:bookmarkStart w:id="0" w:name="appendix-a.-codebook"/>
      <w:r>
        <w:t>Appendix A. Codebook</w:t>
      </w:r>
    </w:p>
    <w:p w14:paraId="0D52A0A6" w14:textId="77777777" w:rsidR="000104D0" w:rsidRDefault="000104D0" w:rsidP="000104D0">
      <w:pPr>
        <w:pStyle w:val="FirstParagraph"/>
      </w:pPr>
      <w:r>
        <w:rPr>
          <w:b/>
          <w:bCs/>
        </w:rPr>
        <w:t>Unit of analysis.</w:t>
      </w:r>
      <w:r>
        <w:t xml:space="preserve"> A public communication or action by a firm concerning a contested group, or a public call to consumers to include or exclude such a group through purchasing, together with its documented public reception within ninety days.</w:t>
      </w:r>
    </w:p>
    <w:p w14:paraId="35E9C504" w14:textId="77777777" w:rsidR="000104D0" w:rsidRDefault="000104D0" w:rsidP="000104D0">
      <w:pPr>
        <w:pStyle w:val="BodyText"/>
      </w:pPr>
      <w:r>
        <w:rPr>
          <w:b/>
          <w:bCs/>
        </w:rPr>
        <w:t>A. Object.</w:t>
      </w:r>
      <w:r>
        <w:t xml:space="preserve"> Advertisement; in-store or employer-branding campaign; corporate practice (hiring, partnerships); media-buying decision; political appeal to consumers.</w:t>
      </w:r>
    </w:p>
    <w:p w14:paraId="6437F395" w14:textId="77777777" w:rsidR="000104D0" w:rsidRDefault="000104D0" w:rsidP="000104D0">
      <w:pPr>
        <w:pStyle w:val="BodyText"/>
      </w:pPr>
      <w:r>
        <w:rPr>
          <w:b/>
          <w:bCs/>
        </w:rPr>
        <w:t>A2. Authorship of the claim.</w:t>
      </w:r>
      <w:r>
        <w:t xml:space="preserve"> </w:t>
      </w:r>
      <w:r>
        <w:rPr>
          <w:i/>
          <w:iCs/>
        </w:rPr>
        <w:t>Assumed:</w:t>
      </w:r>
      <w:r>
        <w:t xml:space="preserve"> the firm itself made the communication or practice public as a statement. </w:t>
      </w:r>
      <w:r>
        <w:rPr>
          <w:i/>
          <w:iCs/>
        </w:rPr>
        <w:t>Attributed:</w:t>
      </w:r>
      <w:r>
        <w:t xml:space="preserve"> the practice became public through its opponents or the press, and the firm made no statement about membership before the backlash. Code from the earliest documented source.</w:t>
      </w:r>
    </w:p>
    <w:p w14:paraId="51887FC2" w14:textId="77777777" w:rsidR="000104D0" w:rsidRDefault="000104D0" w:rsidP="000104D0">
      <w:pPr>
        <w:pStyle w:val="BodyText"/>
      </w:pPr>
      <w:r>
        <w:rPr>
          <w:b/>
          <w:bCs/>
        </w:rPr>
        <w:t>B. Group.</w:t>
      </w:r>
      <w:r>
        <w:t xml:space="preserve"> Migrants or refugees; people of migrant background; religious minority; sexual minority; racialized citizens. Multiple codes allowed.</w:t>
      </w:r>
    </w:p>
    <w:p w14:paraId="7C9A0D24" w14:textId="77777777" w:rsidR="000104D0" w:rsidRDefault="000104D0" w:rsidP="000104D0">
      <w:pPr>
        <w:pStyle w:val="BodyText"/>
      </w:pPr>
      <w:r>
        <w:rPr>
          <w:b/>
          <w:bCs/>
        </w:rPr>
        <w:t>C. Script mode.</w:t>
      </w:r>
      <w:r>
        <w:t xml:space="preserve"> Assimilationist; multicultural; humanitarian (suffering or rescue); ordinariness (incidental presence in everyday life); carnivalesque or artistic.</w:t>
      </w:r>
    </w:p>
    <w:p w14:paraId="3CF70BD9" w14:textId="77777777" w:rsidR="000104D0" w:rsidRDefault="000104D0" w:rsidP="000104D0">
      <w:pPr>
        <w:pStyle w:val="BodyText"/>
      </w:pPr>
      <w:r>
        <w:rPr>
          <w:b/>
          <w:bCs/>
        </w:rPr>
        <w:t>D. Placement</w:t>
      </w:r>
      <w:r>
        <w:t xml:space="preserve"> (all that apply; “periphery” if none). (i) National symbols and rituals; (ii) founding narratives and national canon; (iii) kinship and reproduction (marriage, pregnancy and birth, the family household, family holidays); (iv) national institutions of collective life (public school, national transport, army, national team); (v) majority religious ritual. </w:t>
      </w:r>
      <w:r>
        <w:rPr>
          <w:i/>
          <w:iCs/>
        </w:rPr>
        <w:t>Periphery:</w:t>
      </w:r>
      <w:r>
        <w:t xml:space="preserve"> commercial and service interactions, workplaces, public space, leisure. </w:t>
      </w:r>
      <w:r>
        <w:rPr>
          <w:i/>
          <w:iCs/>
        </w:rPr>
        <w:t>Rule:</w:t>
      </w:r>
      <w:r>
        <w:t xml:space="preserve"> code a center only if it is visually or verbally explicit in the script.</w:t>
      </w:r>
    </w:p>
    <w:p w14:paraId="6C8E61B7" w14:textId="77777777" w:rsidR="000104D0" w:rsidRDefault="000104D0" w:rsidP="000104D0">
      <w:pPr>
        <w:pStyle w:val="BodyText"/>
      </w:pPr>
      <w:r>
        <w:rPr>
          <w:b/>
          <w:bCs/>
        </w:rPr>
        <w:t>D2. Placement function.</w:t>
      </w:r>
      <w:r>
        <w:t xml:space="preserve"> </w:t>
      </w:r>
      <w:r>
        <w:rPr>
          <w:i/>
          <w:iCs/>
        </w:rPr>
        <w:t>Reproduction:</w:t>
      </w:r>
      <w:r>
        <w:t xml:space="preserve"> the stranger takes part in the continuation of the nation: partnership across the boundary, pregnancy and birth, the family household, or children shown as a collective next generation or as members of a cross-boundary family. </w:t>
      </w:r>
      <w:r>
        <w:rPr>
          <w:i/>
          <w:iCs/>
        </w:rPr>
        <w:t>Representation:</w:t>
      </w:r>
      <w:r>
        <w:t xml:space="preserve"> the stranger stands for the nation in the present: symbols, founding narratives, institutions and teams, majority rituals in which the stranger participates. </w:t>
      </w:r>
      <w:r>
        <w:rPr>
          <w:i/>
          <w:iCs/>
        </w:rPr>
        <w:t>Rules:</w:t>
      </w:r>
      <w:r>
        <w:t xml:space="preserve"> (a) childhood images of adults who currently represent the nation are coded as representation; (b) a majority ritual hosted by a minority family on the occasion of a birth is coded as reproduction; (c) if both functions are present, code reproduction and record representation as secondary. Added during analysis; all episodes recoded.</w:t>
      </w:r>
    </w:p>
    <w:p w14:paraId="2D479A2D" w14:textId="77777777" w:rsidR="000104D0" w:rsidRDefault="000104D0" w:rsidP="000104D0">
      <w:pPr>
        <w:pStyle w:val="BodyText"/>
      </w:pPr>
      <w:r>
        <w:rPr>
          <w:b/>
          <w:bCs/>
        </w:rPr>
        <w:t>D3. Re-placement by carriers.</w:t>
      </w:r>
      <w:r>
        <w:t xml:space="preserve"> Yes if quoted statements of backlash participants place the stranger at a center of reproduction that the script does not depict, by narrating settlement, arrival of families, schooling of children, or demographic succession. Code from quoted statements only.</w:t>
      </w:r>
    </w:p>
    <w:p w14:paraId="2EF26B05" w14:textId="77777777" w:rsidR="000104D0" w:rsidRDefault="000104D0" w:rsidP="000104D0">
      <w:pPr>
        <w:pStyle w:val="BodyText"/>
      </w:pPr>
      <w:r>
        <w:rPr>
          <w:b/>
          <w:bCs/>
        </w:rPr>
        <w:t>E. Acute measure (A).</w:t>
      </w:r>
      <w:r>
        <w:t xml:space="preserve"> Yes if an authorized extraordinary measure concerning the group (executive order, closure of borders or ports, emergency legislation) was adopted within thirty days before the episode’s first public appearance. Source must predate the episode.</w:t>
      </w:r>
    </w:p>
    <w:p w14:paraId="25005AE9" w14:textId="77777777" w:rsidR="000104D0" w:rsidRDefault="000104D0" w:rsidP="000104D0">
      <w:pPr>
        <w:pStyle w:val="BodyText"/>
      </w:pPr>
      <w:r>
        <w:rPr>
          <w:b/>
          <w:bCs/>
        </w:rPr>
        <w:t>F. Repertoire (R).</w:t>
      </w:r>
      <w:r>
        <w:t xml:space="preserve"> Yes if an apocalyptic narrative about the group (invasion, replacement, covert conversion, threat to children) is documented in a source that predates the episode; record </w:t>
      </w:r>
      <w:r>
        <w:lastRenderedPageBreak/>
        <w:t>the carriers’ location (governing; opposition or candidate; movement; fringe). “Not established” if no pre-episode source is found; “activated locally” if voiced at onset by carriers with community authority.</w:t>
      </w:r>
    </w:p>
    <w:p w14:paraId="19AC6A0C" w14:textId="77777777" w:rsidR="000104D0" w:rsidRDefault="000104D0" w:rsidP="000104D0">
      <w:pPr>
        <w:pStyle w:val="BodyText"/>
      </w:pPr>
      <w:r>
        <w:rPr>
          <w:b/>
          <w:bCs/>
        </w:rPr>
        <w:t>G. Backlash framing</w:t>
      </w:r>
      <w:r>
        <w:t xml:space="preserve"> (most prominent in the documented record; secondary codes allowed). Taste/offense; unity/law; representativeness; betrayal/elite imposition; danger; exploitation (typically civil-side). </w:t>
      </w:r>
      <w:r>
        <w:rPr>
          <w:i/>
          <w:iCs/>
        </w:rPr>
        <w:t>Rule:</w:t>
      </w:r>
      <w:r>
        <w:t xml:space="preserve"> code from quoted statements of backlash participants, not from journalists’ characterizations. “Not documented” if no retrievable record of reception is found.</w:t>
      </w:r>
    </w:p>
    <w:p w14:paraId="066D1A31" w14:textId="77777777" w:rsidR="000104D0" w:rsidRDefault="000104D0" w:rsidP="000104D0">
      <w:pPr>
        <w:pStyle w:val="BodyText"/>
      </w:pPr>
      <w:r>
        <w:rPr>
          <w:b/>
          <w:bCs/>
        </w:rPr>
        <w:t>H. Carriers.</w:t>
      </w:r>
      <w:r>
        <w:t xml:space="preserve"> Online users; partisan media; officeholders and party officials; local authorities (clergy, community leaders); civil organizations when acting as critics.</w:t>
      </w:r>
    </w:p>
    <w:p w14:paraId="22927663" w14:textId="77777777" w:rsidR="000104D0" w:rsidRDefault="000104D0" w:rsidP="000104D0">
      <w:pPr>
        <w:pStyle w:val="BodyText"/>
      </w:pPr>
      <w:r>
        <w:rPr>
          <w:b/>
          <w:bCs/>
        </w:rPr>
        <w:t>I. Escalation.</w:t>
      </w:r>
      <w:r>
        <w:t xml:space="preserve"> 0 = no documented contestation; 1 = contestation without a formal institutional act; 2a = formal act (regulatory sanction, legislation, prosecution, court decision) against the performance or firm; 2b = formal act against backlash carriers. Record the initiating institution and whether officeholders were among the carriers.</w:t>
      </w:r>
    </w:p>
    <w:p w14:paraId="67D46A5C" w14:textId="77777777" w:rsidR="000104D0" w:rsidRDefault="000104D0" w:rsidP="000104D0">
      <w:pPr>
        <w:pStyle w:val="BodyText"/>
      </w:pPr>
      <w:r>
        <w:rPr>
          <w:b/>
          <w:bCs/>
        </w:rPr>
        <w:t>J. Firm response.</w:t>
      </w:r>
      <w:r>
        <w:t xml:space="preserve"> Persisted/defended; altered; partially retreated; withdrew; sanctioned.</w:t>
      </w:r>
    </w:p>
    <w:bookmarkEnd w:id="0"/>
    <w:p w14:paraId="3FE138D4"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4D0"/>
    <w:rsid w:val="000104D0"/>
    <w:rsid w:val="00195413"/>
    <w:rsid w:val="003A03A7"/>
    <w:rsid w:val="003D0186"/>
    <w:rsid w:val="0070195A"/>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4621"/>
  <w15:chartTrackingRefBased/>
  <w15:docId w15:val="{24EB37B5-BDF5-40E1-8900-FE3D53631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4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4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4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4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4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4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4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4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4D0"/>
    <w:rPr>
      <w:rFonts w:eastAsiaTheme="majorEastAsia" w:cstheme="majorBidi"/>
      <w:color w:val="272727" w:themeColor="text1" w:themeTint="D8"/>
    </w:rPr>
  </w:style>
  <w:style w:type="paragraph" w:styleId="Title">
    <w:name w:val="Title"/>
    <w:basedOn w:val="Normal"/>
    <w:next w:val="Normal"/>
    <w:link w:val="TitleChar"/>
    <w:uiPriority w:val="10"/>
    <w:qFormat/>
    <w:rsid w:val="00010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4D0"/>
    <w:pPr>
      <w:spacing w:before="160"/>
      <w:jc w:val="center"/>
    </w:pPr>
    <w:rPr>
      <w:i/>
      <w:iCs/>
      <w:color w:val="404040" w:themeColor="text1" w:themeTint="BF"/>
    </w:rPr>
  </w:style>
  <w:style w:type="character" w:customStyle="1" w:styleId="QuoteChar">
    <w:name w:val="Quote Char"/>
    <w:basedOn w:val="DefaultParagraphFont"/>
    <w:link w:val="Quote"/>
    <w:uiPriority w:val="29"/>
    <w:rsid w:val="000104D0"/>
    <w:rPr>
      <w:i/>
      <w:iCs/>
      <w:color w:val="404040" w:themeColor="text1" w:themeTint="BF"/>
    </w:rPr>
  </w:style>
  <w:style w:type="paragraph" w:styleId="ListParagraph">
    <w:name w:val="List Paragraph"/>
    <w:basedOn w:val="Normal"/>
    <w:uiPriority w:val="34"/>
    <w:qFormat/>
    <w:rsid w:val="000104D0"/>
    <w:pPr>
      <w:ind w:left="720"/>
      <w:contextualSpacing/>
    </w:pPr>
  </w:style>
  <w:style w:type="character" w:styleId="IntenseEmphasis">
    <w:name w:val="Intense Emphasis"/>
    <w:basedOn w:val="DefaultParagraphFont"/>
    <w:uiPriority w:val="21"/>
    <w:qFormat/>
    <w:rsid w:val="000104D0"/>
    <w:rPr>
      <w:i/>
      <w:iCs/>
      <w:color w:val="0F4761" w:themeColor="accent1" w:themeShade="BF"/>
    </w:rPr>
  </w:style>
  <w:style w:type="paragraph" w:styleId="IntenseQuote">
    <w:name w:val="Intense Quote"/>
    <w:basedOn w:val="Normal"/>
    <w:next w:val="Normal"/>
    <w:link w:val="IntenseQuoteChar"/>
    <w:uiPriority w:val="30"/>
    <w:qFormat/>
    <w:rsid w:val="00010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4D0"/>
    <w:rPr>
      <w:i/>
      <w:iCs/>
      <w:color w:val="0F4761" w:themeColor="accent1" w:themeShade="BF"/>
    </w:rPr>
  </w:style>
  <w:style w:type="character" w:styleId="IntenseReference">
    <w:name w:val="Intense Reference"/>
    <w:basedOn w:val="DefaultParagraphFont"/>
    <w:uiPriority w:val="32"/>
    <w:qFormat/>
    <w:rsid w:val="000104D0"/>
    <w:rPr>
      <w:b/>
      <w:bCs/>
      <w:smallCaps/>
      <w:color w:val="0F4761" w:themeColor="accent1" w:themeShade="BF"/>
      <w:spacing w:val="5"/>
    </w:rPr>
  </w:style>
  <w:style w:type="paragraph" w:styleId="BodyText">
    <w:name w:val="Body Text"/>
    <w:basedOn w:val="Normal"/>
    <w:link w:val="BodyTextChar"/>
    <w:qFormat/>
    <w:rsid w:val="000104D0"/>
    <w:pPr>
      <w:spacing w:before="180" w:after="18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0104D0"/>
    <w:rPr>
      <w:rFonts w:ascii="Times New Roman" w:eastAsia="Times New Roman" w:hAnsi="Times New Roman" w:cs="Times New Roman"/>
      <w:kern w:val="0"/>
      <w14:ligatures w14:val="none"/>
    </w:rPr>
  </w:style>
  <w:style w:type="paragraph" w:customStyle="1" w:styleId="FirstParagraph">
    <w:name w:val="First Paragraph"/>
    <w:basedOn w:val="BodyText"/>
    <w:next w:val="BodyText"/>
    <w:qFormat/>
    <w:rsid w:val="0001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3636</Characters>
  <Application>Microsoft Office Word</Application>
  <DocSecurity>0</DocSecurity>
  <Lines>30</Lines>
  <Paragraphs>8</Paragraphs>
  <ScaleCrop>false</ScaleCrop>
  <Company>Springer Nature</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2026-10-20T09:32:00Z</dcterms:created>
  <dcterms:modified xsi:type="dcterms:W3CDTF">2026-10-20T09:32:00Z</dcterms:modified>
</cp:coreProperties>
</file>