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FC9D4" w14:textId="77777777" w:rsidR="000755A3" w:rsidRDefault="001303A7">
      <w:pPr>
        <w:pStyle w:val="Titel"/>
        <w:jc w:val="center"/>
      </w:pPr>
      <w:r>
        <w:t>Supplementary Methods</w:t>
      </w:r>
    </w:p>
    <w:p w14:paraId="652EC904" w14:textId="77777777" w:rsidR="000755A3" w:rsidRDefault="001303A7">
      <w:pPr>
        <w:spacing w:after="280"/>
        <w:jc w:val="center"/>
      </w:pPr>
      <w:r>
        <w:rPr>
          <w:b/>
          <w:i/>
        </w:rPr>
        <w:t>Serum IgG responses to melanoma-associated peptides do not distinguish birdshot uveitis: the MACAU study</w:t>
      </w:r>
    </w:p>
    <w:p w14:paraId="4EE29A29" w14:textId="77777777" w:rsidR="000755A3" w:rsidRDefault="001303A7">
      <w:pPr>
        <w:pStyle w:val="Kop1"/>
      </w:pPr>
      <w:r>
        <w:t>Study design and participants</w:t>
      </w:r>
    </w:p>
    <w:p w14:paraId="6640EC76" w14:textId="77777777" w:rsidR="000755A3" w:rsidRDefault="001303A7">
      <w:r>
        <w:t>MACAU was a single-</w:t>
      </w:r>
      <w:proofErr w:type="spellStart"/>
      <w:r>
        <w:t>centre</w:t>
      </w:r>
      <w:proofErr w:type="spellEnd"/>
      <w:r>
        <w:t xml:space="preserve">, two-stage exploratory study conducted at University Hospitals Leuven. Adults with birdshot uveitis (BU), idiopathic intermediate uveitis or sarcoid uveitis and healthy controls were recruited between 10 November 2023 and 27 June 2025. Uveitis was classified according to Standardization of Uveitis Nomenclature terminology. The Ethics Committee Research UZ/KU Leuven approved MACAU-1 (S67885; Belgian registration B3222022001249; </w:t>
      </w:r>
      <w:proofErr w:type="spellStart"/>
      <w:r>
        <w:t>favourable</w:t>
      </w:r>
      <w:proofErr w:type="spellEnd"/>
      <w:r>
        <w:t xml:space="preserve"> opinion 23 October 2023) and MACAU-2 (S68975; Belgian registration B3222024001571; initial </w:t>
      </w:r>
      <w:proofErr w:type="spellStart"/>
      <w:r>
        <w:t>favourable</w:t>
      </w:r>
      <w:proofErr w:type="spellEnd"/>
      <w:r>
        <w:t xml:space="preserve"> opinion 19 December 2024). All participants provided written informed consent before study procedures.</w:t>
      </w:r>
    </w:p>
    <w:p w14:paraId="63BC5557" w14:textId="77777777" w:rsidR="000755A3" w:rsidRDefault="001303A7">
      <w:pPr>
        <w:pStyle w:val="Kop1"/>
      </w:pPr>
      <w:r>
        <w:t>MACAU-1: pooled candidate screening</w:t>
      </w:r>
    </w:p>
    <w:p w14:paraId="4B22C8B7" w14:textId="77777777" w:rsidR="000755A3" w:rsidRDefault="001303A7">
      <w:r>
        <w:t xml:space="preserve">For the discovery phase, equal serum volumes from five participants in each study group were combined, yielding one pool each for BU, intermediate uveitis, sarcoid uveitis and healthy controls. </w:t>
      </w:r>
      <w:proofErr w:type="spellStart"/>
      <w:r>
        <w:t>PEPperPRINT</w:t>
      </w:r>
      <w:proofErr w:type="spellEnd"/>
      <w:r>
        <w:t xml:space="preserve"> GmbH (Heidelberg, Germany) tested the four pools on three prefabricated peptide microarrays: a melanoma-associated antigen array, an </w:t>
      </w:r>
      <w:proofErr w:type="spellStart"/>
      <w:r>
        <w:t>oncoviral</w:t>
      </w:r>
      <w:proofErr w:type="spellEnd"/>
      <w:r>
        <w:t xml:space="preserve"> antigen array and an autoimmune antigen array. Arrays were processed and scanned by </w:t>
      </w:r>
      <w:proofErr w:type="spellStart"/>
      <w:r>
        <w:t>PEPperPRINT</w:t>
      </w:r>
      <w:proofErr w:type="spellEnd"/>
      <w:r>
        <w:t xml:space="preserve"> and reviewed using </w:t>
      </w:r>
      <w:proofErr w:type="spellStart"/>
      <w:r>
        <w:t>PEPperMAP</w:t>
      </w:r>
      <w:proofErr w:type="spellEnd"/>
      <w:r>
        <w:t xml:space="preserve"> software. Peptides showing the strongest IgG binding or an apparent difference in signal intensity between groups were retained as candidates for MACAU-2.</w:t>
      </w:r>
    </w:p>
    <w:p w14:paraId="107AF3B8" w14:textId="77777777" w:rsidR="000755A3" w:rsidRDefault="001303A7">
      <w:r>
        <w:t>MACAU-1 was intended solely as a pragmatic candidate-reduction step. Because each pool produced one composite measurement, this phase did not estimate individual-level response frequencies or group effects. The 20 donors whose samples contributed to the pools were therefore retested individually in MACAU-2.</w:t>
      </w:r>
    </w:p>
    <w:p w14:paraId="57E48826" w14:textId="77777777" w:rsidR="000755A3" w:rsidRDefault="001303A7">
      <w:pPr>
        <w:pStyle w:val="Kop1"/>
      </w:pPr>
      <w:r>
        <w:t>MACAU-2: custom array and individual testing</w:t>
      </w:r>
    </w:p>
    <w:p w14:paraId="7547FD62" w14:textId="77777777" w:rsidR="000755A3" w:rsidRDefault="001303A7">
      <w:r>
        <w:t xml:space="preserve">Candidates selected in MACAU-1 were printed on a custom </w:t>
      </w:r>
      <w:proofErr w:type="spellStart"/>
      <w:r>
        <w:t>PEPperPRINT</w:t>
      </w:r>
      <w:proofErr w:type="spellEnd"/>
      <w:r>
        <w:t xml:space="preserve"> array. To explore a possible mycobacterial trigger in sarcoidosis, 44 overlapping peptides spanning the ESAT-6-like protein </w:t>
      </w:r>
      <w:proofErr w:type="spellStart"/>
      <w:r>
        <w:t>EsxB</w:t>
      </w:r>
      <w:proofErr w:type="spellEnd"/>
      <w:r>
        <w:t xml:space="preserve"> were added. The final array comprised 768 experimental peptide spots: 440 autoimmune, 132 melanoma-associated, 152 </w:t>
      </w:r>
      <w:proofErr w:type="spellStart"/>
      <w:r>
        <w:t>oncoviral</w:t>
      </w:r>
      <w:proofErr w:type="spellEnd"/>
      <w:r>
        <w:t xml:space="preserve"> and 44 </w:t>
      </w:r>
      <w:proofErr w:type="spellStart"/>
      <w:r>
        <w:t>EsxB</w:t>
      </w:r>
      <w:proofErr w:type="spellEnd"/>
      <w:r>
        <w:t xml:space="preserve"> spots. Three internal control spots (HA control, G-Spacer and polio control) brought the total to 771 spots. After duplicate experimental sequences were collapsed for analysis, 765 unique experimental peptide sequences remained.</w:t>
      </w:r>
    </w:p>
    <w:p w14:paraId="65D081CD" w14:textId="77777777" w:rsidR="000755A3" w:rsidRDefault="001303A7">
      <w:r>
        <w:t xml:space="preserve">Individual sera from 50 participants were tested: BU (n=15), intermediate uveitis (n=10), sarcoid uveitis (n=15) and healthy controls (n=10). Each serum sample was </w:t>
      </w:r>
      <w:proofErr w:type="spellStart"/>
      <w:r>
        <w:t>hybridised</w:t>
      </w:r>
      <w:proofErr w:type="spellEnd"/>
      <w:r>
        <w:t xml:space="preserve"> to a separate array carrying all four peptide panels. </w:t>
      </w:r>
      <w:proofErr w:type="spellStart"/>
      <w:r>
        <w:t>PEPperPRINT</w:t>
      </w:r>
      <w:proofErr w:type="spellEnd"/>
      <w:r>
        <w:t xml:space="preserve"> manufactured and processed the arrays, scanned the slides, performed background correction and conducted the initial analyses. The complete processed dataset was subsequently transferred to UMC Utrecht after approval of a data-transfer agreement and independently </w:t>
      </w:r>
      <w:proofErr w:type="spellStart"/>
      <w:r>
        <w:t>reanalysed</w:t>
      </w:r>
      <w:proofErr w:type="spellEnd"/>
      <w:r>
        <w:t xml:space="preserve"> by the UMC Utrecht team.</w:t>
      </w:r>
    </w:p>
    <w:p w14:paraId="0B107037" w14:textId="77777777" w:rsidR="000755A3" w:rsidRDefault="001303A7">
      <w:pPr>
        <w:pStyle w:val="Kop1"/>
      </w:pPr>
      <w:r>
        <w:t>Signal processing and quality control</w:t>
      </w:r>
    </w:p>
    <w:p w14:paraId="10ADA030" w14:textId="77777777" w:rsidR="000755A3" w:rsidRDefault="001303A7">
      <w:r>
        <w:t xml:space="preserve">The independent analysis used the background-corrected spot intensities supplied by </w:t>
      </w:r>
      <w:proofErr w:type="spellStart"/>
      <w:r>
        <w:t>PEPperPRINT</w:t>
      </w:r>
      <w:proofErr w:type="spellEnd"/>
      <w:r>
        <w:t xml:space="preserve">. Negative corrected values had been clipped at zero. Of 38,550 measurements (771 spots × 50 sera), 23,369 (60.6%) were zero, whereas only 70 (0.18%) were at or above 65,000 fluorescence units. </w:t>
      </w:r>
      <w:r>
        <w:lastRenderedPageBreak/>
        <w:t>Because this distribution was strongly left-censored, detection above local background (corrected intensity &gt;0) was treated as the primary outcome and signal intensity as a complementary outcome.</w:t>
      </w:r>
    </w:p>
    <w:p w14:paraId="6FE6F95F" w14:textId="77777777" w:rsidR="000755A3" w:rsidRDefault="001303A7">
      <w:r>
        <w:t xml:space="preserve">Intensities were transformed as log2(intensity + 1). Whole-distribution quantile </w:t>
      </w:r>
      <w:proofErr w:type="spellStart"/>
      <w:r>
        <w:t>normalisation</w:t>
      </w:r>
      <w:proofErr w:type="spellEnd"/>
      <w:r>
        <w:t xml:space="preserve"> was not used because it would redistribute the large mass of censored values. Instead, detected values were upper-quartile </w:t>
      </w:r>
      <w:proofErr w:type="spellStart"/>
      <w:r>
        <w:t>normalised</w:t>
      </w:r>
      <w:proofErr w:type="spellEnd"/>
      <w:r>
        <w:t xml:space="preserve"> separately within each of the four panels. For each serum and panel, the 75th percentile of positive log2 intensities was calculated; the resulting offsets were </w:t>
      </w:r>
      <w:proofErr w:type="spellStart"/>
      <w:r>
        <w:t>centred</w:t>
      </w:r>
      <w:proofErr w:type="spellEnd"/>
      <w:r>
        <w:t xml:space="preserve"> across sera and subtracted from detected values. Values at the detection floor remained zero. The three internal control spots were excluded from inferential analyses.</w:t>
      </w:r>
    </w:p>
    <w:p w14:paraId="0AF9AA99" w14:textId="77777777" w:rsidR="000755A3" w:rsidRDefault="001303A7">
      <w:pPr>
        <w:pStyle w:val="Kop1"/>
      </w:pPr>
      <w:r>
        <w:t>Statistical analysis</w:t>
      </w:r>
    </w:p>
    <w:p w14:paraId="27127771" w14:textId="66C26B98" w:rsidR="000755A3" w:rsidRDefault="001303A7">
      <w:r>
        <w:t xml:space="preserve">Analyses compared the four study groups and were exploratory. Peptides were retained for differential testing when detected in at least five sera in at least one </w:t>
      </w:r>
      <w:r w:rsidR="00683CC5">
        <w:t>study</w:t>
      </w:r>
      <w:r>
        <w:t xml:space="preserve"> group. Duplicate spots with the same peptide sequence were averaged within each serum after </w:t>
      </w:r>
      <w:proofErr w:type="spellStart"/>
      <w:r>
        <w:t>normalisation</w:t>
      </w:r>
      <w:proofErr w:type="spellEnd"/>
      <w:r>
        <w:t>.</w:t>
      </w:r>
    </w:p>
    <w:p w14:paraId="0A7CE4F3" w14:textId="77777777" w:rsidR="000755A3" w:rsidRDefault="001303A7">
      <w:pPr>
        <w:pStyle w:val="Kop2"/>
      </w:pPr>
      <w:r>
        <w:t>Peptide-, protein- and cluster-level analyses</w:t>
      </w:r>
    </w:p>
    <w:p w14:paraId="7467E8E9" w14:textId="77777777" w:rsidR="000755A3" w:rsidRDefault="001303A7">
      <w:r>
        <w:t xml:space="preserve">For the primary seropositivity analysis, the proportion of sera with signal above local background was compared across the four groups using Fisher's exact test. For the complementary intensity analysis, </w:t>
      </w:r>
      <w:proofErr w:type="spellStart"/>
      <w:r>
        <w:t>normalised</w:t>
      </w:r>
      <w:proofErr w:type="spellEnd"/>
      <w:r>
        <w:t xml:space="preserve"> log2 intensities were </w:t>
      </w:r>
      <w:proofErr w:type="spellStart"/>
      <w:r>
        <w:t>analysed</w:t>
      </w:r>
      <w:proofErr w:type="spellEnd"/>
      <w:r>
        <w:t xml:space="preserve"> using </w:t>
      </w:r>
      <w:proofErr w:type="spellStart"/>
      <w:r>
        <w:t>limma</w:t>
      </w:r>
      <w:proofErr w:type="spellEnd"/>
      <w:r>
        <w:t xml:space="preserve"> with an omnibus moderated F-test across the group coefficients; empirical-Bayes moderation used trend=TRUE and robust=TRUE. Parent-protein values were calculated by averaging the eligible peptide intensities assigned to the same protein within each serum, followed by the same omnibus intensity analysis.</w:t>
      </w:r>
    </w:p>
    <w:p w14:paraId="515F1A0B" w14:textId="77777777" w:rsidR="000755A3" w:rsidRDefault="001303A7">
      <w:r>
        <w:t xml:space="preserve">To identify responses shared by sequence-related peptides, eligible sequences were aligned with </w:t>
      </w:r>
      <w:proofErr w:type="spellStart"/>
      <w:r>
        <w:t>ClustalW</w:t>
      </w:r>
      <w:proofErr w:type="spellEnd"/>
      <w:r>
        <w:t xml:space="preserve"> using the </w:t>
      </w:r>
      <w:proofErr w:type="spellStart"/>
      <w:r>
        <w:t>msa</w:t>
      </w:r>
      <w:proofErr w:type="spellEnd"/>
      <w:r>
        <w:t xml:space="preserve"> package. For alignment only, non-standard residues were replaced as follows: Z (citrulline) by R, B (</w:t>
      </w:r>
      <w:proofErr w:type="spellStart"/>
      <w:r>
        <w:t>Asx</w:t>
      </w:r>
      <w:proofErr w:type="spellEnd"/>
      <w:r>
        <w:t xml:space="preserve">) by N and U (selenocysteine) by C. Identity-based pairwise distances including gap penalties were calculated with </w:t>
      </w:r>
      <w:proofErr w:type="spellStart"/>
      <w:r>
        <w:t>seqinr</w:t>
      </w:r>
      <w:proofErr w:type="spellEnd"/>
      <w:r>
        <w:t>::</w:t>
      </w:r>
      <w:proofErr w:type="spellStart"/>
      <w:r>
        <w:t>dist.alignment</w:t>
      </w:r>
      <w:proofErr w:type="spellEnd"/>
      <w:r>
        <w:t xml:space="preserve">. Hierarchical clustering used Ward's linkage (ward.D2); the number of clusters was selected by the maximum mean silhouette width over k=2–150. Clusters containing fewer than three peptides, and peptides with a mean distance &gt;0.75 from the other members of their cluster, were excluded. Cluster-level values were obtained by averaging member-peptide intensities within each serum and were </w:t>
      </w:r>
      <w:proofErr w:type="spellStart"/>
      <w:r>
        <w:t>analysed</w:t>
      </w:r>
      <w:proofErr w:type="spellEnd"/>
      <w:r>
        <w:t xml:space="preserve"> using the same omnibus </w:t>
      </w:r>
      <w:proofErr w:type="spellStart"/>
      <w:r>
        <w:t>limma</w:t>
      </w:r>
      <w:proofErr w:type="spellEnd"/>
      <w:r>
        <w:t xml:space="preserve"> model.</w:t>
      </w:r>
    </w:p>
    <w:p w14:paraId="48770B4F" w14:textId="77777777" w:rsidR="000755A3" w:rsidRDefault="001303A7">
      <w:r>
        <w:t>P values were adjusted for multiple testing using the Benjamini–Hochberg procedure. Because Fisher-test P values are discrete, an additional discrete false-discovery-rate adjustment based on the attainable exact null distributions (Heyse method) was applied as a sensitivity analysis. Statistical significance was defined as an adjusted P value &lt;0.05.</w:t>
      </w:r>
    </w:p>
    <w:p w14:paraId="19F9C472" w14:textId="77777777" w:rsidR="000755A3" w:rsidRDefault="001303A7">
      <w:pPr>
        <w:pStyle w:val="Kop2"/>
      </w:pPr>
      <w:r>
        <w:t>Repertoire-wide permutation analysis</w:t>
      </w:r>
    </w:p>
    <w:p w14:paraId="1DF20EBA" w14:textId="77777777" w:rsidR="000755A3" w:rsidRDefault="001303A7">
      <w:r>
        <w:t>A permutation analysis tested whether weak group-associated signal was distributed across the IgG repertoire even when no individual feature reached significance. For seropositivity, Pearson chi-square statistics were calculated for every eligible peptide and summed; for intensity, conventional four-group F statistics were calculated and summed. Group labels were permuted 2,000 times while retaining the original group sizes. The empirical upper-tail P value was calculated as (1 + number of permuted statistics at least as large as the observed statistic)/(2,001). An exploratory simulation also used the 95th percentile of the permutation maximum chi-square statistic to estimate power for a BU-specific seropositivity difference under family-wise error control.</w:t>
      </w:r>
    </w:p>
    <w:p w14:paraId="6A2BA9B8" w14:textId="77777777" w:rsidR="000755A3" w:rsidRDefault="001303A7">
      <w:pPr>
        <w:pStyle w:val="Kop1"/>
      </w:pPr>
      <w:r>
        <w:lastRenderedPageBreak/>
        <w:t>Software and reporting</w:t>
      </w:r>
    </w:p>
    <w:p w14:paraId="281AE1DE" w14:textId="53EA4007" w:rsidR="000755A3" w:rsidRDefault="001303A7">
      <w:r>
        <w:t xml:space="preserve">The independent analysis was performed in R 4.4.0. Principal package versions were </w:t>
      </w:r>
      <w:proofErr w:type="spellStart"/>
      <w:r>
        <w:t>limma</w:t>
      </w:r>
      <w:proofErr w:type="spellEnd"/>
      <w:r>
        <w:t xml:space="preserve"> 3.60.6, </w:t>
      </w:r>
      <w:proofErr w:type="spellStart"/>
      <w:r>
        <w:t>msa</w:t>
      </w:r>
      <w:proofErr w:type="spellEnd"/>
      <w:r>
        <w:t xml:space="preserve"> 1.36.1, </w:t>
      </w:r>
      <w:proofErr w:type="spellStart"/>
      <w:r>
        <w:t>seqinr</w:t>
      </w:r>
      <w:proofErr w:type="spellEnd"/>
      <w:r>
        <w:t xml:space="preserve"> 4.2-36, </w:t>
      </w:r>
      <w:proofErr w:type="spellStart"/>
      <w:r>
        <w:t>Biostrings</w:t>
      </w:r>
      <w:proofErr w:type="spellEnd"/>
      <w:r>
        <w:t xml:space="preserve"> 2.72.1, cluster 2.1.8.2, </w:t>
      </w:r>
      <w:proofErr w:type="spellStart"/>
      <w:r>
        <w:t>dplyr</w:t>
      </w:r>
      <w:proofErr w:type="spellEnd"/>
      <w:r>
        <w:t xml:space="preserve"> 1.1.4 and </w:t>
      </w:r>
      <w:proofErr w:type="spellStart"/>
      <w:r>
        <w:t>readxl</w:t>
      </w:r>
      <w:proofErr w:type="spellEnd"/>
      <w:r>
        <w:t xml:space="preserve"> 1.4.5. </w:t>
      </w:r>
    </w:p>
    <w:p w14:paraId="4C8114D5" w14:textId="242E75F1" w:rsidR="00906CE5" w:rsidRPr="00906CE5" w:rsidRDefault="001303A7" w:rsidP="00906CE5">
      <w:pPr>
        <w:pStyle w:val="Kop1"/>
      </w:pPr>
      <w:r>
        <w:t>Analysis sets</w:t>
      </w:r>
    </w:p>
    <w:tbl>
      <w:tblPr>
        <w:tblStyle w:val="Tabelraster"/>
        <w:tblW w:w="0" w:type="auto"/>
        <w:tblLook w:val="04A0" w:firstRow="1" w:lastRow="0" w:firstColumn="1" w:lastColumn="0" w:noHBand="0" w:noVBand="1"/>
      </w:tblPr>
      <w:tblGrid>
        <w:gridCol w:w="4824"/>
        <w:gridCol w:w="4824"/>
      </w:tblGrid>
      <w:tr w:rsidR="000755A3" w14:paraId="35AC9F46" w14:textId="77777777">
        <w:tc>
          <w:tcPr>
            <w:tcW w:w="4824" w:type="dxa"/>
            <w:shd w:val="clear" w:color="auto" w:fill="D9EAF7"/>
            <w:tcMar>
              <w:top w:w="80" w:type="dxa"/>
              <w:left w:w="100" w:type="dxa"/>
              <w:bottom w:w="80" w:type="dxa"/>
              <w:right w:w="100" w:type="dxa"/>
            </w:tcMar>
          </w:tcPr>
          <w:p w14:paraId="07ABBAAA" w14:textId="77777777" w:rsidR="000755A3" w:rsidRDefault="001303A7">
            <w:pPr>
              <w:spacing w:after="0"/>
            </w:pPr>
            <w:r>
              <w:rPr>
                <w:b/>
                <w:sz w:val="19"/>
              </w:rPr>
              <w:t>Analysis</w:t>
            </w:r>
          </w:p>
        </w:tc>
        <w:tc>
          <w:tcPr>
            <w:tcW w:w="4824" w:type="dxa"/>
            <w:shd w:val="clear" w:color="auto" w:fill="D9EAF7"/>
            <w:tcMar>
              <w:top w:w="80" w:type="dxa"/>
              <w:left w:w="100" w:type="dxa"/>
              <w:bottom w:w="80" w:type="dxa"/>
              <w:right w:w="100" w:type="dxa"/>
            </w:tcMar>
          </w:tcPr>
          <w:p w14:paraId="6224B7D0" w14:textId="77777777" w:rsidR="000755A3" w:rsidRDefault="001303A7">
            <w:pPr>
              <w:spacing w:after="0"/>
            </w:pPr>
            <w:r>
              <w:rPr>
                <w:b/>
                <w:sz w:val="19"/>
              </w:rPr>
              <w:t>Features tested</w:t>
            </w:r>
          </w:p>
        </w:tc>
      </w:tr>
      <w:tr w:rsidR="000755A3" w14:paraId="1E924927" w14:textId="77777777">
        <w:tc>
          <w:tcPr>
            <w:tcW w:w="4824" w:type="dxa"/>
            <w:tcMar>
              <w:top w:w="80" w:type="dxa"/>
              <w:left w:w="100" w:type="dxa"/>
              <w:bottom w:w="80" w:type="dxa"/>
              <w:right w:w="100" w:type="dxa"/>
            </w:tcMar>
          </w:tcPr>
          <w:p w14:paraId="3A670BCF" w14:textId="77777777" w:rsidR="000755A3" w:rsidRDefault="001303A7">
            <w:pPr>
              <w:spacing w:after="0"/>
            </w:pPr>
            <w:r>
              <w:rPr>
                <w:sz w:val="19"/>
              </w:rPr>
              <w:t>Peptide intensity</w:t>
            </w:r>
          </w:p>
        </w:tc>
        <w:tc>
          <w:tcPr>
            <w:tcW w:w="4824" w:type="dxa"/>
            <w:tcMar>
              <w:top w:w="80" w:type="dxa"/>
              <w:left w:w="100" w:type="dxa"/>
              <w:bottom w:w="80" w:type="dxa"/>
              <w:right w:w="100" w:type="dxa"/>
            </w:tcMar>
          </w:tcPr>
          <w:p w14:paraId="1E3CD3B3" w14:textId="77777777" w:rsidR="000755A3" w:rsidRDefault="001303A7">
            <w:pPr>
              <w:spacing w:after="0"/>
            </w:pPr>
            <w:r>
              <w:rPr>
                <w:sz w:val="19"/>
              </w:rPr>
              <w:t>485 peptides</w:t>
            </w:r>
          </w:p>
        </w:tc>
      </w:tr>
      <w:tr w:rsidR="000755A3" w14:paraId="70E78216" w14:textId="77777777">
        <w:tc>
          <w:tcPr>
            <w:tcW w:w="4824" w:type="dxa"/>
            <w:tcMar>
              <w:top w:w="80" w:type="dxa"/>
              <w:left w:w="100" w:type="dxa"/>
              <w:bottom w:w="80" w:type="dxa"/>
              <w:right w:w="100" w:type="dxa"/>
            </w:tcMar>
          </w:tcPr>
          <w:p w14:paraId="6D0D2FD0" w14:textId="77777777" w:rsidR="000755A3" w:rsidRDefault="001303A7">
            <w:pPr>
              <w:spacing w:after="0"/>
            </w:pPr>
            <w:r>
              <w:rPr>
                <w:sz w:val="19"/>
              </w:rPr>
              <w:t>Peptide seropositivity</w:t>
            </w:r>
          </w:p>
        </w:tc>
        <w:tc>
          <w:tcPr>
            <w:tcW w:w="4824" w:type="dxa"/>
            <w:tcMar>
              <w:top w:w="80" w:type="dxa"/>
              <w:left w:w="100" w:type="dxa"/>
              <w:bottom w:w="80" w:type="dxa"/>
              <w:right w:w="100" w:type="dxa"/>
            </w:tcMar>
          </w:tcPr>
          <w:p w14:paraId="2DF025D1" w14:textId="77777777" w:rsidR="000755A3" w:rsidRDefault="001303A7">
            <w:pPr>
              <w:spacing w:after="0"/>
            </w:pPr>
            <w:r>
              <w:rPr>
                <w:sz w:val="19"/>
              </w:rPr>
              <w:t>476 peptides</w:t>
            </w:r>
          </w:p>
        </w:tc>
      </w:tr>
      <w:tr w:rsidR="000755A3" w14:paraId="4C9EA30F" w14:textId="77777777">
        <w:tc>
          <w:tcPr>
            <w:tcW w:w="4824" w:type="dxa"/>
            <w:tcMar>
              <w:top w:w="80" w:type="dxa"/>
              <w:left w:w="100" w:type="dxa"/>
              <w:bottom w:w="80" w:type="dxa"/>
              <w:right w:w="100" w:type="dxa"/>
            </w:tcMar>
          </w:tcPr>
          <w:p w14:paraId="7C768AE9" w14:textId="77777777" w:rsidR="000755A3" w:rsidRDefault="001303A7">
            <w:pPr>
              <w:spacing w:after="0"/>
            </w:pPr>
            <w:r>
              <w:rPr>
                <w:sz w:val="19"/>
              </w:rPr>
              <w:t>Parent-protein intensity</w:t>
            </w:r>
          </w:p>
        </w:tc>
        <w:tc>
          <w:tcPr>
            <w:tcW w:w="4824" w:type="dxa"/>
            <w:tcMar>
              <w:top w:w="80" w:type="dxa"/>
              <w:left w:w="100" w:type="dxa"/>
              <w:bottom w:w="80" w:type="dxa"/>
              <w:right w:w="100" w:type="dxa"/>
            </w:tcMar>
          </w:tcPr>
          <w:p w14:paraId="6ABC15D6" w14:textId="77777777" w:rsidR="000755A3" w:rsidRDefault="001303A7">
            <w:pPr>
              <w:spacing w:after="0"/>
            </w:pPr>
            <w:r>
              <w:rPr>
                <w:sz w:val="19"/>
              </w:rPr>
              <w:t>157 protein annotations</w:t>
            </w:r>
          </w:p>
        </w:tc>
      </w:tr>
      <w:tr w:rsidR="000755A3" w14:paraId="6B575F6A" w14:textId="77777777">
        <w:tc>
          <w:tcPr>
            <w:tcW w:w="4824" w:type="dxa"/>
            <w:tcMar>
              <w:top w:w="80" w:type="dxa"/>
              <w:left w:w="100" w:type="dxa"/>
              <w:bottom w:w="80" w:type="dxa"/>
              <w:right w:w="100" w:type="dxa"/>
            </w:tcMar>
          </w:tcPr>
          <w:p w14:paraId="7CE25B00" w14:textId="77777777" w:rsidR="000755A3" w:rsidRDefault="001303A7">
            <w:pPr>
              <w:spacing w:after="0"/>
            </w:pPr>
            <w:r>
              <w:rPr>
                <w:sz w:val="19"/>
              </w:rPr>
              <w:t>Sequence-cluster intensity</w:t>
            </w:r>
          </w:p>
        </w:tc>
        <w:tc>
          <w:tcPr>
            <w:tcW w:w="4824" w:type="dxa"/>
            <w:tcMar>
              <w:top w:w="80" w:type="dxa"/>
              <w:left w:w="100" w:type="dxa"/>
              <w:bottom w:w="80" w:type="dxa"/>
              <w:right w:w="100" w:type="dxa"/>
            </w:tcMar>
          </w:tcPr>
          <w:p w14:paraId="12CA0610" w14:textId="77777777" w:rsidR="000755A3" w:rsidRDefault="001303A7">
            <w:pPr>
              <w:spacing w:after="0"/>
            </w:pPr>
            <w:r>
              <w:rPr>
                <w:sz w:val="19"/>
              </w:rPr>
              <w:t>90 clusters (352 assigned peptides)</w:t>
            </w:r>
          </w:p>
        </w:tc>
      </w:tr>
      <w:tr w:rsidR="000755A3" w14:paraId="7E8E5155" w14:textId="77777777">
        <w:tc>
          <w:tcPr>
            <w:tcW w:w="4824" w:type="dxa"/>
            <w:tcMar>
              <w:top w:w="80" w:type="dxa"/>
              <w:left w:w="100" w:type="dxa"/>
              <w:bottom w:w="80" w:type="dxa"/>
              <w:right w:w="100" w:type="dxa"/>
            </w:tcMar>
          </w:tcPr>
          <w:p w14:paraId="11F449EA" w14:textId="77777777" w:rsidR="000755A3" w:rsidRDefault="001303A7">
            <w:pPr>
              <w:spacing w:after="0"/>
            </w:pPr>
            <w:r>
              <w:rPr>
                <w:sz w:val="19"/>
              </w:rPr>
              <w:t>Melanoma-associated subset</w:t>
            </w:r>
          </w:p>
        </w:tc>
        <w:tc>
          <w:tcPr>
            <w:tcW w:w="4824" w:type="dxa"/>
            <w:tcMar>
              <w:top w:w="80" w:type="dxa"/>
              <w:left w:w="100" w:type="dxa"/>
              <w:bottom w:w="80" w:type="dxa"/>
              <w:right w:w="100" w:type="dxa"/>
            </w:tcMar>
          </w:tcPr>
          <w:p w14:paraId="63C458C4" w14:textId="77777777" w:rsidR="000755A3" w:rsidRDefault="001303A7">
            <w:pPr>
              <w:spacing w:after="0"/>
            </w:pPr>
            <w:r>
              <w:rPr>
                <w:sz w:val="19"/>
              </w:rPr>
              <w:t>132 printed spots; 83 peptides eligible for intensity, 82 for seropositivity; 18 represented parent proteins after filtering</w:t>
            </w:r>
          </w:p>
        </w:tc>
      </w:tr>
    </w:tbl>
    <w:p w14:paraId="34D32CEE" w14:textId="77777777" w:rsidR="002D5420" w:rsidRDefault="002D5420"/>
    <w:p w14:paraId="24F735A4" w14:textId="3AD194A4" w:rsidR="00906CE5" w:rsidRDefault="00906CE5" w:rsidP="00906CE5">
      <w:pPr>
        <w:pStyle w:val="Kop1"/>
      </w:pPr>
      <w:r>
        <w:t>Availability of data and materials:</w:t>
      </w:r>
    </w:p>
    <w:p w14:paraId="395D83DB" w14:textId="5BC00541" w:rsidR="00557209" w:rsidRDefault="00557209">
      <w:r w:rsidRPr="00557209">
        <w:t>A complete deidentified results workbook was provided for confidential peer review. Additional deidentified data and the reproducible R script are available from the corresponding author on reasonable request, subject to applicable institutional and data-protection requirements.</w:t>
      </w:r>
    </w:p>
    <w:sectPr w:rsidR="00557209" w:rsidSect="00034616">
      <w:footerReference w:type="default" r:id="rId8"/>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DB09D" w14:textId="77777777" w:rsidR="00B846AB" w:rsidRDefault="00B846AB">
      <w:pPr>
        <w:spacing w:after="0" w:line="240" w:lineRule="auto"/>
      </w:pPr>
      <w:r>
        <w:separator/>
      </w:r>
    </w:p>
  </w:endnote>
  <w:endnote w:type="continuationSeparator" w:id="0">
    <w:p w14:paraId="1D473C4A" w14:textId="77777777" w:rsidR="00B846AB" w:rsidRDefault="00B84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DC58" w14:textId="77777777" w:rsidR="000755A3" w:rsidRDefault="001303A7">
    <w:pPr>
      <w:pStyle w:val="Voettekst"/>
      <w:jc w:val="center"/>
    </w:pPr>
    <w:r>
      <w:fldChar w:fldCharType="begin"/>
    </w:r>
    <w:r>
      <w:instrText xml:space="preserve"> PAGE </w:instrText>
    </w:r>
    <w:r>
      <w:fldChar w:fldCharType="separate"/>
    </w:r>
    <w:r w:rsidR="00EA7F0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AB8C8" w14:textId="77777777" w:rsidR="00B846AB" w:rsidRDefault="00B846AB">
      <w:pPr>
        <w:spacing w:after="0" w:line="240" w:lineRule="auto"/>
      </w:pPr>
      <w:r>
        <w:separator/>
      </w:r>
    </w:p>
  </w:footnote>
  <w:footnote w:type="continuationSeparator" w:id="0">
    <w:p w14:paraId="01386C2A" w14:textId="77777777" w:rsidR="00B846AB" w:rsidRDefault="00B846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41306793">
    <w:abstractNumId w:val="8"/>
  </w:num>
  <w:num w:numId="2" w16cid:durableId="593637791">
    <w:abstractNumId w:val="6"/>
  </w:num>
  <w:num w:numId="3" w16cid:durableId="751704874">
    <w:abstractNumId w:val="5"/>
  </w:num>
  <w:num w:numId="4" w16cid:durableId="1177185964">
    <w:abstractNumId w:val="4"/>
  </w:num>
  <w:num w:numId="5" w16cid:durableId="159084409">
    <w:abstractNumId w:val="7"/>
  </w:num>
  <w:num w:numId="6" w16cid:durableId="431051685">
    <w:abstractNumId w:val="3"/>
  </w:num>
  <w:num w:numId="7" w16cid:durableId="705910590">
    <w:abstractNumId w:val="2"/>
  </w:num>
  <w:num w:numId="8" w16cid:durableId="410662756">
    <w:abstractNumId w:val="1"/>
  </w:num>
  <w:num w:numId="9" w16cid:durableId="1223251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5A3"/>
    <w:rsid w:val="001303A7"/>
    <w:rsid w:val="0015074B"/>
    <w:rsid w:val="0029639D"/>
    <w:rsid w:val="002D5420"/>
    <w:rsid w:val="00326F90"/>
    <w:rsid w:val="0036476D"/>
    <w:rsid w:val="003C06A3"/>
    <w:rsid w:val="00557209"/>
    <w:rsid w:val="005C00AB"/>
    <w:rsid w:val="00683CC5"/>
    <w:rsid w:val="00906CE5"/>
    <w:rsid w:val="00A30C45"/>
    <w:rsid w:val="00A554C1"/>
    <w:rsid w:val="00AA1D8D"/>
    <w:rsid w:val="00B47730"/>
    <w:rsid w:val="00B846AB"/>
    <w:rsid w:val="00CB0664"/>
    <w:rsid w:val="00EA7F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FD6AC7"/>
  <w14:defaultImageDpi w14:val="300"/>
  <w15:docId w15:val="{59CB3E30-C9CF-4341-8AFA-8C4DDCF4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Arial" w:hAnsi="Arial"/>
      <w:sz w:val="21"/>
    </w:rPr>
  </w:style>
  <w:style w:type="paragraph" w:styleId="Kop1">
    <w:name w:val="heading 1"/>
    <w:basedOn w:val="Standaard"/>
    <w:next w:val="Standaard"/>
    <w:link w:val="Kop1Char"/>
    <w:uiPriority w:val="9"/>
    <w:qFormat/>
    <w:rsid w:val="00FC693F"/>
    <w:pPr>
      <w:keepNext/>
      <w:keepLines/>
      <w:spacing w:before="200" w:after="100"/>
      <w:outlineLvl w:val="0"/>
    </w:pPr>
    <w:rPr>
      <w:rFonts w:asciiTheme="majorHAnsi" w:eastAsiaTheme="majorEastAsia" w:hAnsiTheme="majorHAnsi" w:cstheme="majorBidi"/>
      <w:b/>
      <w:bCs/>
      <w:sz w:val="25"/>
      <w:szCs w:val="28"/>
    </w:rPr>
  </w:style>
  <w:style w:type="paragraph" w:styleId="Kop2">
    <w:name w:val="heading 2"/>
    <w:basedOn w:val="Standaard"/>
    <w:next w:val="Standaard"/>
    <w:link w:val="Kop2Char"/>
    <w:uiPriority w:val="9"/>
    <w:unhideWhenUsed/>
    <w:qFormat/>
    <w:rsid w:val="00FC693F"/>
    <w:pPr>
      <w:keepNext/>
      <w:keepLines/>
      <w:spacing w:before="200" w:after="100"/>
      <w:outlineLvl w:val="1"/>
    </w:pPr>
    <w:rPr>
      <w:rFonts w:asciiTheme="majorHAnsi" w:eastAsiaTheme="majorEastAsia" w:hAnsiTheme="majorHAnsi" w:cstheme="majorBidi"/>
      <w:b/>
      <w:bCs/>
      <w:sz w:val="22"/>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1200</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MACAU Supplementary Methods</dc:title>
  <dc:subject>Supplementary methods for the MACAU study</dc:subject>
  <dc:creator>MACAU study group</dc:creator>
  <cp:keywords/>
  <dc:description>generated by python-docx</dc:description>
  <cp:lastModifiedBy>Pieter-Paul Schauwvlieghe</cp:lastModifiedBy>
  <cp:revision>6</cp:revision>
  <dcterms:created xsi:type="dcterms:W3CDTF">2013-12-23T23:15:00Z</dcterms:created>
  <dcterms:modified xsi:type="dcterms:W3CDTF">2026-10-01T09:39:00Z</dcterms:modified>
  <cp:category/>
</cp:coreProperties>
</file>