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FFC44" w14:textId="77777777" w:rsidR="008F6358" w:rsidRDefault="008F6358" w:rsidP="008F6358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ONLINE SUPPLEMENT</w:t>
      </w:r>
    </w:p>
    <w:p w14:paraId="357DB351" w14:textId="77777777" w:rsidR="008F6358" w:rsidRDefault="008F6358" w:rsidP="008F6358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254F282" w14:textId="77777777" w:rsidR="008F6358" w:rsidRDefault="008F6358" w:rsidP="008F6358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FE83506" w14:textId="77777777" w:rsidR="008F6358" w:rsidRDefault="008F6358" w:rsidP="008F6358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A47122E" w14:textId="77777777" w:rsidR="008F6358" w:rsidRDefault="008F6358" w:rsidP="008F6358">
      <w:pPr>
        <w:ind w:left="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39130DF" w14:textId="012235C6" w:rsidR="008F6358" w:rsidRPr="001B31CC" w:rsidRDefault="008F6358" w:rsidP="008F6358">
      <w:pPr>
        <w:spacing w:line="480" w:lineRule="auto"/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Hlk84173994"/>
      <w:r w:rsidRPr="001B31CC">
        <w:rPr>
          <w:rFonts w:ascii="Times New Roman" w:hAnsi="Times New Roman" w:cs="Times New Roman"/>
          <w:b/>
          <w:sz w:val="24"/>
          <w:szCs w:val="24"/>
          <w:lang w:val="en-US"/>
        </w:rPr>
        <w:t xml:space="preserve">Clinical predictors of lung function in patients recovering from mild COVID-19 </w:t>
      </w:r>
    </w:p>
    <w:p w14:paraId="540CC3C3" w14:textId="77777777" w:rsidR="008F6358" w:rsidRPr="00055225" w:rsidRDefault="008F6358" w:rsidP="008F6358">
      <w:pPr>
        <w:ind w:left="284"/>
        <w:rPr>
          <w:rFonts w:ascii="Times New Roman" w:hAnsi="Times New Roman" w:cs="Times New Roman"/>
          <w:bCs/>
          <w:sz w:val="24"/>
          <w:szCs w:val="24"/>
          <w:lang w:val="es-MX"/>
        </w:rPr>
      </w:pPr>
      <w:r w:rsidRPr="001B31CC">
        <w:rPr>
          <w:rFonts w:ascii="Times New Roman" w:hAnsi="Times New Roman" w:cs="Times New Roman"/>
          <w:bCs/>
          <w:sz w:val="24"/>
          <w:szCs w:val="24"/>
          <w:lang w:val="es-MX"/>
        </w:rPr>
        <w:t>Arturo Cortes-Telles</w:t>
      </w:r>
      <w:r w:rsidRPr="001B31CC">
        <w:rPr>
          <w:rFonts w:ascii="Times New Roman" w:hAnsi="Times New Roman" w:cs="Times New Roman"/>
          <w:bCs/>
          <w:sz w:val="24"/>
          <w:szCs w:val="24"/>
          <w:vertAlign w:val="superscript"/>
          <w:lang w:val="es-MX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s-MX"/>
        </w:rPr>
        <w:t>*</w:t>
      </w:r>
      <w:r>
        <w:rPr>
          <w:rFonts w:ascii="Times New Roman" w:hAnsi="Times New Roman" w:cs="Times New Roman"/>
          <w:bCs/>
          <w:sz w:val="24"/>
          <w:szCs w:val="24"/>
          <w:lang w:val="es-MX"/>
        </w:rPr>
        <w:t xml:space="preserve"> </w:t>
      </w:r>
      <w:r w:rsidRPr="00055225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ORCID: </w:t>
      </w:r>
      <w:r w:rsidRPr="00055225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0000-0002-</w:t>
      </w:r>
      <w:r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5322</w:t>
      </w:r>
      <w:r w:rsidRPr="00055225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-</w:t>
      </w:r>
      <w:r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5604</w:t>
      </w:r>
    </w:p>
    <w:p w14:paraId="08BEE723" w14:textId="77777777" w:rsidR="008F6358" w:rsidRPr="001B31CC" w:rsidRDefault="008F6358" w:rsidP="008F6358">
      <w:pPr>
        <w:ind w:left="284"/>
        <w:rPr>
          <w:rFonts w:ascii="Times New Roman" w:hAnsi="Times New Roman" w:cs="Times New Roman"/>
          <w:bCs/>
          <w:sz w:val="24"/>
          <w:szCs w:val="24"/>
          <w:vertAlign w:val="superscript"/>
          <w:lang w:val="es-MX"/>
        </w:rPr>
      </w:pPr>
      <w:r w:rsidRPr="001B31CC">
        <w:rPr>
          <w:rFonts w:ascii="Times New Roman" w:hAnsi="Times New Roman" w:cs="Times New Roman"/>
          <w:bCs/>
          <w:sz w:val="24"/>
          <w:szCs w:val="24"/>
          <w:lang w:val="es-MX"/>
        </w:rPr>
        <w:t>Esperanza Figueroa-Hurtado</w:t>
      </w:r>
      <w:r w:rsidRPr="001B31CC">
        <w:rPr>
          <w:rFonts w:ascii="Times New Roman" w:hAnsi="Times New Roman" w:cs="Times New Roman"/>
          <w:bCs/>
          <w:sz w:val="24"/>
          <w:szCs w:val="24"/>
          <w:vertAlign w:val="superscript"/>
          <w:lang w:val="es-MX"/>
        </w:rPr>
        <w:t>1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s-MX"/>
        </w:rPr>
        <w:t xml:space="preserve"> </w:t>
      </w:r>
      <w:r w:rsidRPr="00055225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ORCID: </w:t>
      </w:r>
      <w:r w:rsidRPr="00055225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0000-000</w:t>
      </w:r>
      <w:r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3</w:t>
      </w:r>
      <w:r w:rsidRPr="00055225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-</w:t>
      </w:r>
      <w:r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1388</w:t>
      </w:r>
      <w:r w:rsidRPr="00055225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-</w:t>
      </w:r>
      <w:r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0572</w:t>
      </w:r>
    </w:p>
    <w:p w14:paraId="1EB5CE48" w14:textId="77777777" w:rsidR="008F6358" w:rsidRPr="00055225" w:rsidRDefault="008F6358" w:rsidP="008F6358">
      <w:pPr>
        <w:ind w:left="284"/>
        <w:rPr>
          <w:rFonts w:ascii="Times New Roman" w:hAnsi="Times New Roman" w:cs="Times New Roman"/>
          <w:bCs/>
          <w:sz w:val="24"/>
          <w:szCs w:val="24"/>
          <w:vertAlign w:val="superscript"/>
          <w:lang w:val="es-MX"/>
        </w:rPr>
      </w:pPr>
      <w:r w:rsidRPr="00055225">
        <w:rPr>
          <w:rFonts w:ascii="Times New Roman" w:hAnsi="Times New Roman" w:cs="Times New Roman"/>
          <w:bCs/>
          <w:sz w:val="24"/>
          <w:szCs w:val="24"/>
          <w:lang w:val="es-MX"/>
        </w:rPr>
        <w:t>Diana Lizbeth Ortiz-Farias</w:t>
      </w:r>
      <w:r w:rsidRPr="00055225">
        <w:rPr>
          <w:rFonts w:ascii="Times New Roman" w:hAnsi="Times New Roman" w:cs="Times New Roman"/>
          <w:bCs/>
          <w:sz w:val="24"/>
          <w:szCs w:val="24"/>
          <w:vertAlign w:val="superscript"/>
          <w:lang w:val="es-MX"/>
        </w:rPr>
        <w:t xml:space="preserve">1 </w:t>
      </w:r>
      <w:r w:rsidRPr="00055225">
        <w:rPr>
          <w:rFonts w:ascii="Times New Roman" w:hAnsi="Times New Roman" w:cs="Times New Roman"/>
          <w:bCs/>
          <w:sz w:val="24"/>
          <w:szCs w:val="24"/>
          <w:lang w:val="es-MX"/>
        </w:rPr>
        <w:t xml:space="preserve">ORCID:  </w:t>
      </w:r>
      <w:r w:rsidRPr="00055225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0000-0002-</w:t>
      </w:r>
      <w:r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3212</w:t>
      </w:r>
      <w:r w:rsidRPr="00055225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-</w:t>
      </w:r>
      <w:r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  <w:lang w:val="es-MX"/>
        </w:rPr>
        <w:t>1929</w:t>
      </w:r>
    </w:p>
    <w:p w14:paraId="3FB76C35" w14:textId="77777777" w:rsidR="008F6358" w:rsidRPr="00055225" w:rsidRDefault="008F6358" w:rsidP="008F6358">
      <w:pPr>
        <w:ind w:left="28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55225">
        <w:rPr>
          <w:rFonts w:ascii="Times New Roman" w:hAnsi="Times New Roman" w:cs="Times New Roman"/>
          <w:bCs/>
          <w:sz w:val="24"/>
          <w:szCs w:val="24"/>
          <w:lang w:val="en-US"/>
        </w:rPr>
        <w:t>Gerald Stanley Zavorsky</w:t>
      </w:r>
      <w:r w:rsidRPr="00055225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 xml:space="preserve">* </w:t>
      </w:r>
      <w:r w:rsidRPr="0005522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ORCID: </w:t>
      </w:r>
      <w:r w:rsidRPr="00F46D07">
        <w:rPr>
          <w:rStyle w:val="Strong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0000-0002-4473-1601</w:t>
      </w:r>
    </w:p>
    <w:p w14:paraId="7ABF151A" w14:textId="77777777" w:rsidR="008F6358" w:rsidRPr="00055225" w:rsidRDefault="008F6358" w:rsidP="008F6358">
      <w:pPr>
        <w:ind w:left="28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997D36" w14:textId="77777777" w:rsidR="008F6358" w:rsidRPr="001B31CC" w:rsidRDefault="008F6358" w:rsidP="008F6358">
      <w:pPr>
        <w:ind w:left="284"/>
        <w:rPr>
          <w:rFonts w:ascii="Times New Roman" w:hAnsi="Times New Roman" w:cs="Times New Roman"/>
          <w:color w:val="000000"/>
          <w:sz w:val="24"/>
          <w:szCs w:val="24"/>
          <w:lang w:val="es-MX" w:eastAsia="en-CA"/>
        </w:rPr>
      </w:pPr>
      <w:r w:rsidRPr="001B31CC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en-CA"/>
        </w:rPr>
        <w:t>1</w:t>
      </w:r>
      <w:r w:rsidRPr="001B31CC">
        <w:rPr>
          <w:rFonts w:ascii="Times New Roman" w:hAnsi="Times New Roman" w:cs="Times New Roman"/>
          <w:color w:val="000000"/>
          <w:sz w:val="24"/>
          <w:szCs w:val="24"/>
          <w:lang w:eastAsia="en-CA"/>
        </w:rPr>
        <w:t xml:space="preserve"> Respiratory and Thoracic Surgery Unit. </w:t>
      </w:r>
      <w:r w:rsidRPr="001B31CC">
        <w:rPr>
          <w:rFonts w:ascii="Times New Roman" w:hAnsi="Times New Roman" w:cs="Times New Roman"/>
          <w:color w:val="000000"/>
          <w:sz w:val="24"/>
          <w:szCs w:val="24"/>
          <w:lang w:val="es-MX" w:eastAsia="en-CA"/>
        </w:rPr>
        <w:t>Hospital Regional de Alta Especialidad de la Peninsula de Yucatan. Yucatan, Mexico.</w:t>
      </w:r>
    </w:p>
    <w:p w14:paraId="0E65305A" w14:textId="77777777" w:rsidR="008F6358" w:rsidRPr="00055225" w:rsidRDefault="008F6358" w:rsidP="008F6358">
      <w:pPr>
        <w:pStyle w:val="xmsonormal"/>
        <w:shd w:val="clear" w:color="auto" w:fill="FFFFFF"/>
        <w:spacing w:before="0" w:beforeAutospacing="0" w:after="0" w:afterAutospacing="0"/>
        <w:ind w:left="284"/>
        <w:rPr>
          <w:color w:val="201F1E"/>
        </w:rPr>
      </w:pPr>
      <w:r w:rsidRPr="00055225">
        <w:rPr>
          <w:color w:val="000000"/>
          <w:vertAlign w:val="superscript"/>
          <w:lang w:eastAsia="en-CA"/>
        </w:rPr>
        <w:t>2</w:t>
      </w:r>
      <w:r w:rsidRPr="00055225">
        <w:rPr>
          <w:color w:val="201F1E"/>
          <w:bdr w:val="none" w:sz="0" w:space="0" w:color="auto" w:frame="1"/>
        </w:rPr>
        <w:t>Pulmonary Services &amp; Blood-Gas Laboratories</w:t>
      </w:r>
      <w:r w:rsidRPr="00055225">
        <w:rPr>
          <w:color w:val="201F1E"/>
        </w:rPr>
        <w:t xml:space="preserve">. </w:t>
      </w:r>
      <w:r w:rsidRPr="00055225">
        <w:rPr>
          <w:color w:val="201F1E"/>
          <w:bdr w:val="none" w:sz="0" w:space="0" w:color="auto" w:frame="1"/>
        </w:rPr>
        <w:t>UC Davis Medical Center. Sacramento, California, USA.</w:t>
      </w:r>
    </w:p>
    <w:bookmarkEnd w:id="0"/>
    <w:p w14:paraId="646EA981" w14:textId="046999ED" w:rsidR="000D1B6C" w:rsidRPr="008F6358" w:rsidRDefault="000D1B6C" w:rsidP="000D1B6C">
      <w:pPr>
        <w:rPr>
          <w:lang w:val="es-MX"/>
        </w:rPr>
      </w:pPr>
    </w:p>
    <w:p w14:paraId="6242C754" w14:textId="36E5BE21" w:rsidR="000D1B6C" w:rsidRPr="008F6358" w:rsidRDefault="000D1B6C">
      <w:pPr>
        <w:rPr>
          <w:lang w:val="es-MX"/>
        </w:rPr>
      </w:pPr>
      <w:r w:rsidRPr="008F6358">
        <w:rPr>
          <w:lang w:val="es-MX"/>
        </w:rPr>
        <w:br w:type="page"/>
      </w:r>
    </w:p>
    <w:p w14:paraId="5F7BD434" w14:textId="77777777" w:rsidR="00AD2E7A" w:rsidRDefault="00AD2E7A" w:rsidP="000D1B6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  <w:sectPr w:rsidR="00AD2E7A" w:rsidSect="00AD2E7A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E0C587" w14:textId="384C3AE2" w:rsidR="000D1B6C" w:rsidRDefault="00C64FCB" w:rsidP="000D1B6C">
      <w:pPr>
        <w:rPr>
          <w:lang w:val="en-US"/>
        </w:rPr>
      </w:pPr>
      <w:r w:rsidRPr="00C64FCB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S1.</w:t>
      </w:r>
      <w:r w:rsidRPr="00C64F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Studies demonstrating impaired DLCO one to 180 days post- COVID-19 diagnosis. </w:t>
      </w:r>
    </w:p>
    <w:tbl>
      <w:tblPr>
        <w:tblStyle w:val="PlainTable21"/>
        <w:tblW w:w="11482" w:type="dxa"/>
        <w:tblLook w:val="04A0" w:firstRow="1" w:lastRow="0" w:firstColumn="1" w:lastColumn="0" w:noHBand="0" w:noVBand="1"/>
      </w:tblPr>
      <w:tblGrid>
        <w:gridCol w:w="2970"/>
        <w:gridCol w:w="928"/>
        <w:gridCol w:w="807"/>
        <w:gridCol w:w="831"/>
        <w:gridCol w:w="1363"/>
        <w:gridCol w:w="4583"/>
      </w:tblGrid>
      <w:tr w:rsidR="00003187" w14:paraId="6B12B806" w14:textId="77777777" w:rsidTr="000031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70B743B" w14:textId="77777777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928" w:type="dxa"/>
          </w:tcPr>
          <w:p w14:paraId="2D76C77D" w14:textId="66CCFC8D" w:rsidR="000D1B6C" w:rsidRPr="00B165D5" w:rsidRDefault="000D1B6C" w:rsidP="0000318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 f patients</w:t>
            </w:r>
          </w:p>
        </w:tc>
        <w:tc>
          <w:tcPr>
            <w:tcW w:w="807" w:type="dxa"/>
          </w:tcPr>
          <w:p w14:paraId="40CFC7E6" w14:textId="77777777" w:rsidR="000D1B6C" w:rsidRPr="00B165D5" w:rsidRDefault="000D1B6C" w:rsidP="0000318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>Age (years)</w:t>
            </w:r>
          </w:p>
        </w:tc>
        <w:tc>
          <w:tcPr>
            <w:tcW w:w="831" w:type="dxa"/>
          </w:tcPr>
          <w:p w14:paraId="7E3492F3" w14:textId="77777777" w:rsidR="000D1B6C" w:rsidRPr="00B165D5" w:rsidRDefault="000D1B6C" w:rsidP="004B413A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363" w:type="dxa"/>
          </w:tcPr>
          <w:p w14:paraId="41F670A9" w14:textId="77777777" w:rsidR="000D1B6C" w:rsidRPr="00B165D5" w:rsidRDefault="000D1B6C" w:rsidP="00003187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>Number of days post-COVID-19</w:t>
            </w:r>
          </w:p>
        </w:tc>
        <w:tc>
          <w:tcPr>
            <w:tcW w:w="4583" w:type="dxa"/>
          </w:tcPr>
          <w:p w14:paraId="264CCAF4" w14:textId="77777777" w:rsidR="000D1B6C" w:rsidRPr="00B165D5" w:rsidRDefault="000D1B6C" w:rsidP="004B413A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>Main findings</w:t>
            </w:r>
          </w:p>
        </w:tc>
      </w:tr>
      <w:tr w:rsidR="00003187" w14:paraId="1CC3C366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82A9FA9" w14:textId="77777777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 xml:space="preserve">DLCO below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the </w:t>
            </w: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 xml:space="preserve">LLN </w:t>
            </w:r>
          </w:p>
        </w:tc>
        <w:tc>
          <w:tcPr>
            <w:tcW w:w="928" w:type="dxa"/>
          </w:tcPr>
          <w:p w14:paraId="263BFC60" w14:textId="77777777" w:rsidR="000D1B6C" w:rsidRPr="00B165D5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7" w:type="dxa"/>
          </w:tcPr>
          <w:p w14:paraId="664DAA84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4C937A45" w14:textId="77777777" w:rsidR="000D1B6C" w:rsidRPr="0049087C" w:rsidRDefault="000D1B6C" w:rsidP="004B413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14:paraId="50C68D9F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</w:tcPr>
          <w:p w14:paraId="6C33DD75" w14:textId="77777777" w:rsidR="000D1B6C" w:rsidRPr="0049087C" w:rsidRDefault="000D1B6C" w:rsidP="004B413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87" w14:paraId="7A8817CF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D2BD721" w14:textId="77777777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Present Study</w:t>
            </w:r>
          </w:p>
        </w:tc>
        <w:tc>
          <w:tcPr>
            <w:tcW w:w="928" w:type="dxa"/>
          </w:tcPr>
          <w:p w14:paraId="35E8D3DF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807" w:type="dxa"/>
          </w:tcPr>
          <w:p w14:paraId="4014E568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50 (14)</w:t>
            </w:r>
          </w:p>
        </w:tc>
        <w:tc>
          <w:tcPr>
            <w:tcW w:w="831" w:type="dxa"/>
          </w:tcPr>
          <w:p w14:paraId="7CB1A6FC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30 (5)</w:t>
            </w:r>
          </w:p>
        </w:tc>
        <w:tc>
          <w:tcPr>
            <w:tcW w:w="1363" w:type="dxa"/>
          </w:tcPr>
          <w:p w14:paraId="46601A71" w14:textId="19F5CA0A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34 (4)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4583" w:type="dxa"/>
          </w:tcPr>
          <w:p w14:paraId="6FE3357E" w14:textId="77777777" w:rsidR="000D1B6C" w:rsidRPr="0049087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30% with mild COVID-19 presented with DLCO values below the LLN</w:t>
            </w:r>
          </w:p>
        </w:tc>
      </w:tr>
      <w:tr w:rsidR="00003187" w14:paraId="7F564FA8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20655E9" w14:textId="1A782F35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Abdallah </w:t>
            </w:r>
            <w:r w:rsidRPr="00D00EBD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B355A2" w:rsidRPr="00B355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</w:t>
            </w:r>
            <w:r w:rsidR="00B355A2"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581AB345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07" w:type="dxa"/>
          </w:tcPr>
          <w:p w14:paraId="135C3FED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(13)</w:t>
            </w:r>
          </w:p>
        </w:tc>
        <w:tc>
          <w:tcPr>
            <w:tcW w:w="831" w:type="dxa"/>
          </w:tcPr>
          <w:p w14:paraId="550D231D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(8)</w:t>
            </w:r>
          </w:p>
        </w:tc>
        <w:tc>
          <w:tcPr>
            <w:tcW w:w="1363" w:type="dxa"/>
          </w:tcPr>
          <w:p w14:paraId="7408FC54" w14:textId="0C996A6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 (16) 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4583" w:type="dxa"/>
          </w:tcPr>
          <w:p w14:paraId="17C518D5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71% of patients hospitalized for COVID-19 had a DLCO &lt; LLN. However, 32% of the non-hospitalized COVID-19 patients had a DLCO &lt; LLN</w:t>
            </w:r>
          </w:p>
        </w:tc>
      </w:tr>
      <w:tr w:rsidR="00003187" w14:paraId="14C8B5EE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E59DD63" w14:textId="51001179" w:rsidR="00F743A7" w:rsidRPr="00003187" w:rsidRDefault="00F743A7" w:rsidP="004B4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MX"/>
              </w:rPr>
            </w:pPr>
            <w:r w:rsidRPr="00D05F6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MX"/>
              </w:rPr>
              <w:t xml:space="preserve">Van der Sar et al. </w:t>
            </w:r>
            <w:r w:rsidRPr="000031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MX"/>
              </w:rPr>
              <w:t>(2021)</w:t>
            </w:r>
            <w:r w:rsidR="00B355A2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="00B355A2" w:rsidRPr="00003187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928" w:type="dxa"/>
          </w:tcPr>
          <w:p w14:paraId="388F053E" w14:textId="472335E7" w:rsidR="00F743A7" w:rsidRDefault="00F743A7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07" w:type="dxa"/>
          </w:tcPr>
          <w:p w14:paraId="61C8F30A" w14:textId="44EEE435" w:rsidR="00F743A7" w:rsidRDefault="00F743A7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 (13)</w:t>
            </w:r>
          </w:p>
        </w:tc>
        <w:tc>
          <w:tcPr>
            <w:tcW w:w="831" w:type="dxa"/>
          </w:tcPr>
          <w:p w14:paraId="7520A677" w14:textId="23D8940B" w:rsidR="00F743A7" w:rsidRDefault="00F743A7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3" w:type="dxa"/>
          </w:tcPr>
          <w:p w14:paraId="009F0949" w14:textId="66F74FB8" w:rsidR="00F743A7" w:rsidRDefault="00F743A7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4583" w:type="dxa"/>
          </w:tcPr>
          <w:p w14:paraId="7033F847" w14:textId="3BC87929" w:rsidR="00F743A7" w:rsidRDefault="00F743A7" w:rsidP="00003187">
            <w:pPr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63% of patients hospitalized with severe pneumonia has a DLCO &lt; LLN. However, 52% those with moderate pneumonia had a DLCO &lt; LLN</w:t>
            </w:r>
          </w:p>
        </w:tc>
      </w:tr>
      <w:tr w:rsidR="00003187" w14:paraId="5C3E8F90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D3AEDA6" w14:textId="3850D78A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Morin </w:t>
            </w:r>
            <w:r w:rsidRPr="00DC5D7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8" w:type="dxa"/>
          </w:tcPr>
          <w:p w14:paraId="48BBB878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807" w:type="dxa"/>
          </w:tcPr>
          <w:p w14:paraId="64A0B227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(16)</w:t>
            </w:r>
          </w:p>
        </w:tc>
        <w:tc>
          <w:tcPr>
            <w:tcW w:w="831" w:type="dxa"/>
          </w:tcPr>
          <w:p w14:paraId="03DF64DA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(6)</w:t>
            </w:r>
          </w:p>
        </w:tc>
        <w:tc>
          <w:tcPr>
            <w:tcW w:w="1363" w:type="dxa"/>
          </w:tcPr>
          <w:p w14:paraId="2C2CBB24" w14:textId="39E8D152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4583" w:type="dxa"/>
          </w:tcPr>
          <w:p w14:paraId="4B14138B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22% in total were below the LLN for DLCO. 16% of non-intubated patients were below the LLN, vs 36% of patients intubated </w:t>
            </w:r>
          </w:p>
        </w:tc>
      </w:tr>
      <w:tr w:rsidR="00003187" w14:paraId="20A07BA7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AB3AA72" w14:textId="112BD9B2" w:rsidR="00CF3638" w:rsidRPr="00CF3638" w:rsidRDefault="00CF3638" w:rsidP="004B413A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F363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Cort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é</w:t>
            </w:r>
            <w:r w:rsidRPr="00CF363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s-</w:t>
            </w:r>
            <w:proofErr w:type="spellStart"/>
            <w:r w:rsidRPr="00CF363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Telles</w:t>
            </w:r>
            <w:proofErr w:type="spellEnd"/>
            <w:r w:rsidRPr="00CF363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CF363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D01B3" w:rsidRPr="00CF363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499EB0E1" w14:textId="1B3B99FF" w:rsidR="00CF3638" w:rsidRPr="0049087C" w:rsidRDefault="00CF3638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807" w:type="dxa"/>
          </w:tcPr>
          <w:p w14:paraId="67F47CEE" w14:textId="4043FC84" w:rsidR="00CF3638" w:rsidRPr="0049087C" w:rsidRDefault="00CF3638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(13)</w:t>
            </w:r>
          </w:p>
        </w:tc>
        <w:tc>
          <w:tcPr>
            <w:tcW w:w="831" w:type="dxa"/>
          </w:tcPr>
          <w:p w14:paraId="2969A475" w14:textId="6123F5BE" w:rsidR="00CF3638" w:rsidRPr="0049087C" w:rsidRDefault="00CF3638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(7)</w:t>
            </w:r>
          </w:p>
        </w:tc>
        <w:tc>
          <w:tcPr>
            <w:tcW w:w="1363" w:type="dxa"/>
          </w:tcPr>
          <w:p w14:paraId="54D6E8DB" w14:textId="31871FB4" w:rsidR="00CF3638" w:rsidRPr="0049087C" w:rsidRDefault="00AD0D10" w:rsidP="000031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 (13)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4583" w:type="dxa"/>
          </w:tcPr>
          <w:p w14:paraId="53AFF6EB" w14:textId="4E9C1678" w:rsidR="00CF3638" w:rsidRPr="0049087C" w:rsidRDefault="001B76FD" w:rsidP="00003187">
            <w:pPr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19%</w:t>
            </w:r>
            <w:r w:rsidR="00AD0D10">
              <w:rPr>
                <w:rFonts w:ascii="Times New Roman" w:hAnsi="Times New Roman" w:cs="Times New Roman"/>
                <w:sz w:val="20"/>
                <w:szCs w:val="20"/>
              </w:rPr>
              <w:t xml:space="preserve"> with mild/moderate COVID-19 illness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were below the LLN for DLCO</w:t>
            </w:r>
            <w:r w:rsidR="0024381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compared to 54% for those with severe/critical COVID-19 illness.  </w:t>
            </w:r>
          </w:p>
        </w:tc>
      </w:tr>
      <w:tr w:rsidR="00003187" w14:paraId="1870F462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7167FDF" w14:textId="246C0883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proofErr w:type="spellStart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Goachicoa</w:t>
            </w:r>
            <w:proofErr w:type="spellEnd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-Rangel </w:t>
            </w:r>
            <w:r w:rsidRPr="00B165D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et al. 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928" w:type="dxa"/>
          </w:tcPr>
          <w:p w14:paraId="653471D0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807" w:type="dxa"/>
          </w:tcPr>
          <w:p w14:paraId="27FF36AB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46 (12)</w:t>
            </w:r>
          </w:p>
        </w:tc>
        <w:tc>
          <w:tcPr>
            <w:tcW w:w="831" w:type="dxa"/>
          </w:tcPr>
          <w:p w14:paraId="04E10C80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29 (5)</w:t>
            </w:r>
          </w:p>
        </w:tc>
        <w:tc>
          <w:tcPr>
            <w:tcW w:w="1363" w:type="dxa"/>
          </w:tcPr>
          <w:p w14:paraId="48A93DD3" w14:textId="551A4A4B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84 (20)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4583" w:type="dxa"/>
          </w:tcPr>
          <w:p w14:paraId="1FB5B1C1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17% of those without invasive ventilation and 41% with invasive ventilation presented with DLCO values below the LLN</w:t>
            </w:r>
          </w:p>
        </w:tc>
      </w:tr>
      <w:tr w:rsidR="00003187" w14:paraId="1B5AD8D7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05C2114" w14:textId="265CC453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Nunez-Fernandez </w:t>
            </w:r>
            <w:r w:rsidRPr="00B165D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 xml:space="preserve">et al. 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6</w:t>
            </w:r>
            <w:r w:rsidR="00E6598B"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</w:tcPr>
          <w:p w14:paraId="296DCF10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07" w:type="dxa"/>
          </w:tcPr>
          <w:p w14:paraId="74AD67A2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31" w:type="dxa"/>
          </w:tcPr>
          <w:p w14:paraId="3B6DB55A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3" w:type="dxa"/>
          </w:tcPr>
          <w:p w14:paraId="7AD30F24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120 days</w:t>
            </w:r>
          </w:p>
        </w:tc>
        <w:tc>
          <w:tcPr>
            <w:tcW w:w="4583" w:type="dxa"/>
          </w:tcPr>
          <w:p w14:paraId="0DF8C2EE" w14:textId="77777777" w:rsidR="000D1B6C" w:rsidRPr="0049087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17% presented with DLCO values below the LLN</w:t>
            </w:r>
          </w:p>
        </w:tc>
      </w:tr>
      <w:tr w:rsidR="00003187" w14:paraId="0DC30F2D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73D6250" w14:textId="426B81F1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Ekbom </w:t>
            </w:r>
            <w:r w:rsidRPr="00B165D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928" w:type="dxa"/>
          </w:tcPr>
          <w:p w14:paraId="58F13F00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7" w:type="dxa"/>
          </w:tcPr>
          <w:p w14:paraId="3A0AB5B9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831" w:type="dxa"/>
          </w:tcPr>
          <w:p w14:paraId="47EA4210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⁓30</w:t>
            </w:r>
          </w:p>
        </w:tc>
        <w:tc>
          <w:tcPr>
            <w:tcW w:w="1363" w:type="dxa"/>
          </w:tcPr>
          <w:p w14:paraId="00F54113" w14:textId="6909F598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120 days</w:t>
            </w:r>
          </w:p>
        </w:tc>
        <w:tc>
          <w:tcPr>
            <w:tcW w:w="4583" w:type="dxa"/>
          </w:tcPr>
          <w:p w14:paraId="5BCE2089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45% presented with DLCO values below the LLN</w:t>
            </w:r>
          </w:p>
        </w:tc>
      </w:tr>
      <w:tr w:rsidR="00003187" w14:paraId="13EA8DEB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F29E367" w14:textId="4DFBE421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Ven den Borst </w:t>
            </w:r>
            <w:r w:rsidRPr="00B165D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928" w:type="dxa"/>
          </w:tcPr>
          <w:p w14:paraId="5505A6C8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07" w:type="dxa"/>
          </w:tcPr>
          <w:p w14:paraId="54DC219E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59 (14)</w:t>
            </w:r>
          </w:p>
        </w:tc>
        <w:tc>
          <w:tcPr>
            <w:tcW w:w="831" w:type="dxa"/>
          </w:tcPr>
          <w:p w14:paraId="1C0297DF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28 (5)</w:t>
            </w:r>
          </w:p>
        </w:tc>
        <w:tc>
          <w:tcPr>
            <w:tcW w:w="1363" w:type="dxa"/>
          </w:tcPr>
          <w:p w14:paraId="2A8907F3" w14:textId="3E1FA8F4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90 days</w:t>
            </w:r>
          </w:p>
        </w:tc>
        <w:tc>
          <w:tcPr>
            <w:tcW w:w="4583" w:type="dxa"/>
          </w:tcPr>
          <w:p w14:paraId="6602C91F" w14:textId="77777777" w:rsidR="000D1B6C" w:rsidRPr="0049087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55%, 33%, and 0% of patients with severe, moderate, and mild disease, respectively were below the LLN for DLCO</w:t>
            </w:r>
          </w:p>
        </w:tc>
      </w:tr>
      <w:tr w:rsidR="00003187" w14:paraId="7AF68676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28533A2D" w14:textId="4A98104B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proofErr w:type="spellStart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Barisione</w:t>
            </w:r>
            <w:proofErr w:type="spellEnd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&amp; </w:t>
            </w:r>
            <w:proofErr w:type="spellStart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Brusasco</w:t>
            </w:r>
            <w:proofErr w:type="spellEnd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928" w:type="dxa"/>
          </w:tcPr>
          <w:p w14:paraId="1BEBA6F8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07" w:type="dxa"/>
          </w:tcPr>
          <w:p w14:paraId="3A712AAC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61 (12)</w:t>
            </w:r>
          </w:p>
        </w:tc>
        <w:tc>
          <w:tcPr>
            <w:tcW w:w="831" w:type="dxa"/>
          </w:tcPr>
          <w:p w14:paraId="227ED344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29 (4)</w:t>
            </w:r>
          </w:p>
        </w:tc>
        <w:tc>
          <w:tcPr>
            <w:tcW w:w="1363" w:type="dxa"/>
          </w:tcPr>
          <w:p w14:paraId="767B95D1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90 days</w:t>
            </w:r>
          </w:p>
        </w:tc>
        <w:tc>
          <w:tcPr>
            <w:tcW w:w="4583" w:type="dxa"/>
          </w:tcPr>
          <w:p w14:paraId="7E2F6304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20% presented with DLCO values below the LLN</w:t>
            </w:r>
          </w:p>
        </w:tc>
      </w:tr>
      <w:tr w:rsidR="00003187" w14:paraId="25F508B5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E91605D" w14:textId="71C3E123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proofErr w:type="spellStart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Lerum</w:t>
            </w:r>
            <w:proofErr w:type="spellEnd"/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00EBD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(2020)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928" w:type="dxa"/>
          </w:tcPr>
          <w:p w14:paraId="0A2AC799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07" w:type="dxa"/>
          </w:tcPr>
          <w:p w14:paraId="2637FD12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54 (5)</w:t>
            </w:r>
          </w:p>
        </w:tc>
        <w:tc>
          <w:tcPr>
            <w:tcW w:w="831" w:type="dxa"/>
          </w:tcPr>
          <w:p w14:paraId="4CF44FC3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3" w:type="dxa"/>
          </w:tcPr>
          <w:p w14:paraId="53A4DCD5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90 days</w:t>
            </w:r>
          </w:p>
        </w:tc>
        <w:tc>
          <w:tcPr>
            <w:tcW w:w="4583" w:type="dxa"/>
          </w:tcPr>
          <w:p w14:paraId="76B8ADEB" w14:textId="77777777" w:rsidR="000D1B6C" w:rsidRPr="0049087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24% presented with DLCO values below the LLN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29% were admitted to ICU. 23% were not admitted.</w:t>
            </w:r>
          </w:p>
        </w:tc>
      </w:tr>
      <w:tr w:rsidR="00003187" w14:paraId="18637A00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445BD6CE" w14:textId="77777777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sz w:val="20"/>
                <w:szCs w:val="20"/>
              </w:rPr>
              <w:t xml:space="preserve">DLCO &lt; 80% predicted </w:t>
            </w:r>
          </w:p>
        </w:tc>
        <w:tc>
          <w:tcPr>
            <w:tcW w:w="928" w:type="dxa"/>
          </w:tcPr>
          <w:p w14:paraId="124C6884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</w:tcPr>
          <w:p w14:paraId="185254F7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</w:tcPr>
          <w:p w14:paraId="2992465F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</w:tcPr>
          <w:p w14:paraId="6BA27EA7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3" w:type="dxa"/>
          </w:tcPr>
          <w:p w14:paraId="53E1CC32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3187" w14:paraId="294B0A56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B4C11B1" w14:textId="27D88489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Guler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9A5F79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928" w:type="dxa"/>
          </w:tcPr>
          <w:p w14:paraId="704F75E9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07" w:type="dxa"/>
          </w:tcPr>
          <w:p w14:paraId="336B57D8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(11)</w:t>
            </w:r>
          </w:p>
        </w:tc>
        <w:tc>
          <w:tcPr>
            <w:tcW w:w="831" w:type="dxa"/>
          </w:tcPr>
          <w:p w14:paraId="3815B809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(11)</w:t>
            </w:r>
          </w:p>
        </w:tc>
        <w:tc>
          <w:tcPr>
            <w:tcW w:w="1363" w:type="dxa"/>
          </w:tcPr>
          <w:p w14:paraId="3441FE72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 days</w:t>
            </w:r>
          </w:p>
        </w:tc>
        <w:tc>
          <w:tcPr>
            <w:tcW w:w="4583" w:type="dxa"/>
          </w:tcPr>
          <w:p w14:paraId="62CB38B3" w14:textId="77777777" w:rsidR="000D1B6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% and 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 xml:space="preserve">% of those with mild and severe COVID-19 illness had a DLCO &lt; 80% of predicted.  </w:t>
            </w:r>
          </w:p>
        </w:tc>
      </w:tr>
      <w:tr w:rsidR="00003187" w14:paraId="37FFB6C9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3ED860E1" w14:textId="7F0F72EB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Sonnweber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31299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928" w:type="dxa"/>
          </w:tcPr>
          <w:p w14:paraId="0E097733" w14:textId="77777777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07" w:type="dxa"/>
          </w:tcPr>
          <w:p w14:paraId="1C2EA2BE" w14:textId="77777777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 (14)</w:t>
            </w:r>
          </w:p>
        </w:tc>
        <w:tc>
          <w:tcPr>
            <w:tcW w:w="831" w:type="dxa"/>
          </w:tcPr>
          <w:p w14:paraId="442603E0" w14:textId="77777777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 (5)</w:t>
            </w:r>
          </w:p>
        </w:tc>
        <w:tc>
          <w:tcPr>
            <w:tcW w:w="1363" w:type="dxa"/>
          </w:tcPr>
          <w:p w14:paraId="016F92B4" w14:textId="503416F3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 (23)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 xml:space="preserve"> days</w:t>
            </w:r>
          </w:p>
          <w:p w14:paraId="305BAD34" w14:textId="37C05858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 (21)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4583" w:type="dxa"/>
          </w:tcPr>
          <w:p w14:paraId="48106501" w14:textId="77777777" w:rsidR="000D1B6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31% and 21% were presented with a DLCO &lt; 80% predicted at 63 days and 103 days post-COVID-19, respectively.</w:t>
            </w:r>
          </w:p>
        </w:tc>
      </w:tr>
      <w:tr w:rsidR="00003187" w14:paraId="221E355E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8140FE3" w14:textId="278BBCDA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Han </w:t>
            </w:r>
            <w:r w:rsidRPr="00707EC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928" w:type="dxa"/>
          </w:tcPr>
          <w:p w14:paraId="64B2739E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07" w:type="dxa"/>
          </w:tcPr>
          <w:p w14:paraId="2D0A73C7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 (12)</w:t>
            </w:r>
          </w:p>
        </w:tc>
        <w:tc>
          <w:tcPr>
            <w:tcW w:w="831" w:type="dxa"/>
          </w:tcPr>
          <w:p w14:paraId="05086B0B" w14:textId="74516575" w:rsidR="000D1B6C" w:rsidRDefault="00003187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63" w:type="dxa"/>
          </w:tcPr>
          <w:p w14:paraId="2EFF3EFE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days</w:t>
            </w:r>
          </w:p>
        </w:tc>
        <w:tc>
          <w:tcPr>
            <w:tcW w:w="4583" w:type="dxa"/>
          </w:tcPr>
          <w:p w14:paraId="11206061" w14:textId="1E9976E9" w:rsidR="000D1B6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26% of all patients presented with a DLCO of &lt; 80% predicted. 50% of patients with </w:t>
            </w:r>
            <w:r w:rsidR="004729AE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ibrotic-like changes on CT presented with a DLCO &lt; 80% of predicted vs 13% of patients without fibrotic-like changes on CT</w:t>
            </w:r>
          </w:p>
        </w:tc>
      </w:tr>
      <w:tr w:rsidR="00003187" w14:paraId="239E643B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7BF21F9A" w14:textId="33EEBAC1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Bellan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D467DE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928" w:type="dxa"/>
          </w:tcPr>
          <w:p w14:paraId="12B34997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807" w:type="dxa"/>
          </w:tcPr>
          <w:p w14:paraId="031AD60A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831" w:type="dxa"/>
          </w:tcPr>
          <w:p w14:paraId="3791E93E" w14:textId="05D8D2F0" w:rsidR="000D1B6C" w:rsidRPr="0049087C" w:rsidRDefault="00003187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63" w:type="dxa"/>
          </w:tcPr>
          <w:p w14:paraId="73ADBE6C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 days</w:t>
            </w:r>
          </w:p>
        </w:tc>
        <w:tc>
          <w:tcPr>
            <w:tcW w:w="4583" w:type="dxa"/>
          </w:tcPr>
          <w:p w14:paraId="6B6F3057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52% of patients with COVID-19 presented with DLCO values &lt; 80% predicted</w:t>
            </w:r>
          </w:p>
        </w:tc>
      </w:tr>
      <w:tr w:rsidR="00003187" w14:paraId="457942B0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E77F132" w14:textId="4686A97C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Qin </w:t>
            </w:r>
            <w:r w:rsidRPr="00B165D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928" w:type="dxa"/>
          </w:tcPr>
          <w:p w14:paraId="2A6CC2C3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07" w:type="dxa"/>
          </w:tcPr>
          <w:p w14:paraId="29788424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59 (14)</w:t>
            </w:r>
          </w:p>
        </w:tc>
        <w:tc>
          <w:tcPr>
            <w:tcW w:w="831" w:type="dxa"/>
          </w:tcPr>
          <w:p w14:paraId="0F720FA1" w14:textId="3A7CE066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24 (3)</w:t>
            </w:r>
          </w:p>
        </w:tc>
        <w:tc>
          <w:tcPr>
            <w:tcW w:w="1363" w:type="dxa"/>
          </w:tcPr>
          <w:p w14:paraId="25CE4FF5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90 days</w:t>
            </w:r>
          </w:p>
        </w:tc>
        <w:tc>
          <w:tcPr>
            <w:tcW w:w="4583" w:type="dxa"/>
          </w:tcPr>
          <w:p w14:paraId="76DE33E1" w14:textId="77777777" w:rsidR="000D1B6C" w:rsidRPr="0049087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 xml:space="preserve">42% and 68% of those with non-severe and severe COVID-19, respectively had a DLCO &lt; 80% pred. </w:t>
            </w:r>
          </w:p>
        </w:tc>
      </w:tr>
      <w:tr w:rsidR="00003187" w14:paraId="2CF33C7D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8002ED5" w14:textId="0863C22A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Blanco </w:t>
            </w:r>
            <w:r w:rsidRPr="00B165D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(2021)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28" w:type="dxa"/>
          </w:tcPr>
          <w:p w14:paraId="1A117381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07" w:type="dxa"/>
          </w:tcPr>
          <w:p w14:paraId="2A88D256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55 (11)</w:t>
            </w:r>
          </w:p>
        </w:tc>
        <w:tc>
          <w:tcPr>
            <w:tcW w:w="831" w:type="dxa"/>
          </w:tcPr>
          <w:p w14:paraId="5DFA091A" w14:textId="742A3C80" w:rsidR="000D1B6C" w:rsidRPr="0049087C" w:rsidRDefault="00003187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363" w:type="dxa"/>
          </w:tcPr>
          <w:p w14:paraId="5C3C1ECF" w14:textId="159A0C49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003187">
              <w:rPr>
                <w:rFonts w:ascii="Times New Roman" w:hAnsi="Times New Roman" w:cs="Times New Roman"/>
                <w:sz w:val="20"/>
                <w:szCs w:val="20"/>
              </w:rPr>
              <w:t xml:space="preserve"> days</w:t>
            </w:r>
          </w:p>
        </w:tc>
        <w:tc>
          <w:tcPr>
            <w:tcW w:w="4583" w:type="dxa"/>
          </w:tcPr>
          <w:p w14:paraId="0976C86A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52% with DLCO values below 80% predicted</w:t>
            </w:r>
          </w:p>
        </w:tc>
      </w:tr>
      <w:tr w:rsidR="00003187" w14:paraId="16CB849E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A6440CF" w14:textId="5C41ED94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Shah et al. (2020)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928" w:type="dxa"/>
          </w:tcPr>
          <w:p w14:paraId="4316FDEC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07" w:type="dxa"/>
          </w:tcPr>
          <w:p w14:paraId="64180D77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31" w:type="dxa"/>
          </w:tcPr>
          <w:p w14:paraId="09C97A0E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63" w:type="dxa"/>
          </w:tcPr>
          <w:p w14:paraId="115C2D2D" w14:textId="77777777" w:rsidR="000D1B6C" w:rsidRPr="0049087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 days</w:t>
            </w:r>
          </w:p>
        </w:tc>
        <w:tc>
          <w:tcPr>
            <w:tcW w:w="4583" w:type="dxa"/>
          </w:tcPr>
          <w:p w14:paraId="183DD2C5" w14:textId="77777777" w:rsidR="000D1B6C" w:rsidRPr="0049087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About 50% of subjects were below 80% predicted. </w:t>
            </w:r>
          </w:p>
        </w:tc>
      </w:tr>
      <w:tr w:rsidR="00003187" w14:paraId="76DB81B1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8AB6BF4" w14:textId="61531D7A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Mo </w:t>
            </w:r>
            <w:r w:rsidRPr="00B165D5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(2020)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928" w:type="dxa"/>
          </w:tcPr>
          <w:p w14:paraId="03593F38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07" w:type="dxa"/>
          </w:tcPr>
          <w:p w14:paraId="11DAF714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49 (14)</w:t>
            </w:r>
          </w:p>
        </w:tc>
        <w:tc>
          <w:tcPr>
            <w:tcW w:w="831" w:type="dxa"/>
          </w:tcPr>
          <w:p w14:paraId="1845626E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24 (3)</w:t>
            </w:r>
          </w:p>
        </w:tc>
        <w:tc>
          <w:tcPr>
            <w:tcW w:w="1363" w:type="dxa"/>
          </w:tcPr>
          <w:p w14:paraId="70C6D4D1" w14:textId="2806914B" w:rsidR="000D1B6C" w:rsidRDefault="00AA3BFB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(6) days</w:t>
            </w:r>
          </w:p>
          <w:p w14:paraId="38DDD739" w14:textId="76A6C8C1" w:rsidR="00AA3BFB" w:rsidRPr="0049087C" w:rsidRDefault="00AA3BFB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(7) days</w:t>
            </w:r>
          </w:p>
        </w:tc>
        <w:tc>
          <w:tcPr>
            <w:tcW w:w="4583" w:type="dxa"/>
          </w:tcPr>
          <w:p w14:paraId="31968791" w14:textId="3386C9BA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30% and 8</w:t>
            </w:r>
            <w:r w:rsidR="00AA3B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 xml:space="preserve">% of those with mild and severe COVID-19 illness had a DLCO &lt; 80% of predicted.  </w:t>
            </w:r>
          </w:p>
        </w:tc>
      </w:tr>
      <w:tr w:rsidR="00003187" w14:paraId="1A67C83F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5E0B5018" w14:textId="07DA93FC" w:rsidR="000D1B6C" w:rsidRPr="00B165D5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Liang </w:t>
            </w:r>
            <w:r w:rsidRPr="005D4E87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(2020)</w:t>
            </w:r>
            <w:r w:rsidR="008D01B3" w:rsidRP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928" w:type="dxa"/>
          </w:tcPr>
          <w:p w14:paraId="730C9F07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07" w:type="dxa"/>
          </w:tcPr>
          <w:p w14:paraId="463DC87A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(14)</w:t>
            </w:r>
          </w:p>
        </w:tc>
        <w:tc>
          <w:tcPr>
            <w:tcW w:w="831" w:type="dxa"/>
          </w:tcPr>
          <w:p w14:paraId="4B40D0C1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(5)</w:t>
            </w:r>
          </w:p>
        </w:tc>
        <w:tc>
          <w:tcPr>
            <w:tcW w:w="1363" w:type="dxa"/>
          </w:tcPr>
          <w:p w14:paraId="10954D30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days</w:t>
            </w:r>
          </w:p>
        </w:tc>
        <w:tc>
          <w:tcPr>
            <w:tcW w:w="4583" w:type="dxa"/>
          </w:tcPr>
          <w:p w14:paraId="4ABEF271" w14:textId="77777777" w:rsidR="000D1B6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 of patients presented with a DLCO of &lt; 80% predicted</w:t>
            </w:r>
          </w:p>
        </w:tc>
      </w:tr>
      <w:tr w:rsidR="00003187" w14:paraId="0B1C9911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1A79E1A5" w14:textId="2B5A2C00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Huang et al. (2020)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928" w:type="dxa"/>
          </w:tcPr>
          <w:p w14:paraId="50D238BA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07" w:type="dxa"/>
          </w:tcPr>
          <w:p w14:paraId="2BD723D8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(14)</w:t>
            </w:r>
          </w:p>
        </w:tc>
        <w:tc>
          <w:tcPr>
            <w:tcW w:w="831" w:type="dxa"/>
          </w:tcPr>
          <w:p w14:paraId="7786DB00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(4)</w:t>
            </w:r>
          </w:p>
        </w:tc>
        <w:tc>
          <w:tcPr>
            <w:tcW w:w="1363" w:type="dxa"/>
          </w:tcPr>
          <w:p w14:paraId="0B8C7E6C" w14:textId="77777777" w:rsidR="000D1B6C" w:rsidRPr="0049087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days</w:t>
            </w:r>
          </w:p>
        </w:tc>
        <w:tc>
          <w:tcPr>
            <w:tcW w:w="4583" w:type="dxa"/>
          </w:tcPr>
          <w:p w14:paraId="27DAAC9C" w14:textId="77777777" w:rsidR="000D1B6C" w:rsidRPr="0049087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 xml:space="preserve">% and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 xml:space="preserve">% of those with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severe and non-</w:t>
            </w: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 xml:space="preserve">severe COVID-19 illness had a DLCO &lt; 80% of predicted.  </w:t>
            </w:r>
          </w:p>
        </w:tc>
      </w:tr>
      <w:tr w:rsidR="00003187" w14:paraId="7D9CD005" w14:textId="77777777" w:rsidTr="000031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6328E416" w14:textId="0C9727CF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 w:rsidRPr="00B165D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Liu et al. (2020)</w:t>
            </w:r>
            <w:r w:rsid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928" w:type="dxa"/>
          </w:tcPr>
          <w:p w14:paraId="32C301B3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7" w:type="dxa"/>
          </w:tcPr>
          <w:p w14:paraId="7E250478" w14:textId="77777777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 (8)</w:t>
            </w:r>
          </w:p>
        </w:tc>
        <w:tc>
          <w:tcPr>
            <w:tcW w:w="831" w:type="dxa"/>
          </w:tcPr>
          <w:p w14:paraId="6D2964A1" w14:textId="63B9770E" w:rsidR="000D1B6C" w:rsidRDefault="000D1B6C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(4)</w:t>
            </w:r>
          </w:p>
        </w:tc>
        <w:tc>
          <w:tcPr>
            <w:tcW w:w="1363" w:type="dxa"/>
          </w:tcPr>
          <w:p w14:paraId="68066A33" w14:textId="07ABD9BE" w:rsidR="000D1B6C" w:rsidRDefault="00003187" w:rsidP="00003187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4583" w:type="dxa"/>
          </w:tcPr>
          <w:p w14:paraId="59250E27" w14:textId="77777777" w:rsidR="000D1B6C" w:rsidRDefault="000D1B6C" w:rsidP="00003187">
            <w:pPr>
              <w:spacing w:line="259" w:lineRule="auto"/>
              <w:ind w:left="117" w:right="-4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About 85% had </w:t>
            </w: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DLCO values below 80% predicted</w:t>
            </w:r>
          </w:p>
        </w:tc>
      </w:tr>
      <w:tr w:rsidR="00003187" w14:paraId="0478BD41" w14:textId="77777777" w:rsidTr="000031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dxa"/>
          </w:tcPr>
          <w:p w14:paraId="03E55891" w14:textId="3AE6F6D6" w:rsidR="000D1B6C" w:rsidRPr="008D01B3" w:rsidRDefault="000D1B6C" w:rsidP="004B413A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Zhao </w:t>
            </w:r>
            <w:r w:rsidRPr="00A56A31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et al.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(2020)</w:t>
            </w:r>
            <w:r w:rsidR="008D01B3" w:rsidRPr="008D01B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928" w:type="dxa"/>
          </w:tcPr>
          <w:p w14:paraId="108352D3" w14:textId="77777777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07" w:type="dxa"/>
          </w:tcPr>
          <w:p w14:paraId="190D1935" w14:textId="77777777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(16)</w:t>
            </w:r>
          </w:p>
        </w:tc>
        <w:tc>
          <w:tcPr>
            <w:tcW w:w="831" w:type="dxa"/>
          </w:tcPr>
          <w:p w14:paraId="268CD4B5" w14:textId="77777777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(3)</w:t>
            </w:r>
          </w:p>
        </w:tc>
        <w:tc>
          <w:tcPr>
            <w:tcW w:w="1363" w:type="dxa"/>
          </w:tcPr>
          <w:p w14:paraId="03C8DE0D" w14:textId="77777777" w:rsidR="000D1B6C" w:rsidRDefault="000D1B6C" w:rsidP="00003187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 days</w:t>
            </w:r>
          </w:p>
        </w:tc>
        <w:tc>
          <w:tcPr>
            <w:tcW w:w="4583" w:type="dxa"/>
          </w:tcPr>
          <w:p w14:paraId="4BFB5856" w14:textId="77777777" w:rsidR="000D1B6C" w:rsidRDefault="000D1B6C" w:rsidP="00003187">
            <w:pPr>
              <w:spacing w:line="259" w:lineRule="auto"/>
              <w:ind w:left="117" w:right="-4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49087C">
              <w:rPr>
                <w:rFonts w:ascii="Times New Roman" w:hAnsi="Times New Roman" w:cs="Times New Roman"/>
                <w:sz w:val="20"/>
                <w:szCs w:val="20"/>
              </w:rPr>
              <w:t>24% presented with DLCO values below the LLN</w:t>
            </w:r>
          </w:p>
        </w:tc>
      </w:tr>
    </w:tbl>
    <w:p w14:paraId="587DE640" w14:textId="1CFF7DCE" w:rsidR="0005461A" w:rsidRPr="00F70814" w:rsidRDefault="00B3171A" w:rsidP="00AD2E7A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AB617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Table S2.</w:t>
      </w:r>
      <w:r w:rsidRPr="00F708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24BB">
        <w:rPr>
          <w:rFonts w:ascii="Times New Roman" w:hAnsi="Times New Roman" w:cs="Times New Roman"/>
          <w:sz w:val="24"/>
          <w:szCs w:val="24"/>
          <w:lang w:val="en-US"/>
        </w:rPr>
        <w:t xml:space="preserve">Results from the medical assessment and detailed medical history obtained 34 (SD 4) </w:t>
      </w:r>
      <w:r w:rsidR="008B2181">
        <w:rPr>
          <w:rFonts w:ascii="Times New Roman" w:hAnsi="Times New Roman" w:cs="Times New Roman"/>
          <w:sz w:val="24"/>
          <w:szCs w:val="24"/>
          <w:lang w:val="en-US"/>
        </w:rPr>
        <w:t xml:space="preserve">days </w:t>
      </w:r>
      <w:r w:rsidR="00AB6175">
        <w:rPr>
          <w:rFonts w:ascii="Times New Roman" w:hAnsi="Times New Roman" w:cs="Times New Roman"/>
          <w:sz w:val="24"/>
          <w:szCs w:val="24"/>
          <w:lang w:val="en-US"/>
        </w:rPr>
        <w:t xml:space="preserve">post-COVID-19 diagnosis. </w:t>
      </w:r>
    </w:p>
    <w:tbl>
      <w:tblPr>
        <w:tblStyle w:val="PlainTable2"/>
        <w:tblW w:w="9720" w:type="dxa"/>
        <w:jc w:val="center"/>
        <w:tblLook w:val="04A0" w:firstRow="1" w:lastRow="0" w:firstColumn="1" w:lastColumn="0" w:noHBand="0" w:noVBand="1"/>
      </w:tblPr>
      <w:tblGrid>
        <w:gridCol w:w="3824"/>
        <w:gridCol w:w="2072"/>
        <w:gridCol w:w="2648"/>
        <w:gridCol w:w="1176"/>
      </w:tblGrid>
      <w:tr w:rsidR="00F70814" w:rsidRPr="00F70814" w14:paraId="54CEF47F" w14:textId="4815CEA4" w:rsidTr="00364D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323F8E3A" w14:textId="77777777" w:rsidR="00F70814" w:rsidRPr="00F70814" w:rsidRDefault="00F708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</w:tcPr>
          <w:p w14:paraId="159A37D9" w14:textId="77777777" w:rsidR="00F70814" w:rsidRPr="00F70814" w:rsidRDefault="00F70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DLCO &lt; LLN</w:t>
            </w:r>
          </w:p>
          <w:p w14:paraId="4B40136C" w14:textId="097F66FF" w:rsidR="00F70814" w:rsidRPr="00F70814" w:rsidRDefault="00F70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= 44</w:t>
            </w:r>
          </w:p>
        </w:tc>
        <w:tc>
          <w:tcPr>
            <w:tcW w:w="2648" w:type="dxa"/>
          </w:tcPr>
          <w:p w14:paraId="715B9D73" w14:textId="77777777" w:rsidR="00F70814" w:rsidRPr="00F70814" w:rsidRDefault="00F70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DLCO ≥ LLN</w:t>
            </w:r>
          </w:p>
          <w:p w14:paraId="7435F398" w14:textId="246EE988" w:rsidR="00F70814" w:rsidRPr="00F70814" w:rsidRDefault="00F70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= 100</w:t>
            </w:r>
          </w:p>
        </w:tc>
        <w:tc>
          <w:tcPr>
            <w:tcW w:w="1176" w:type="dxa"/>
          </w:tcPr>
          <w:p w14:paraId="07A55361" w14:textId="15F05218" w:rsidR="00F70814" w:rsidRPr="00F70814" w:rsidRDefault="00F70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p-value</w:t>
            </w:r>
          </w:p>
        </w:tc>
      </w:tr>
      <w:tr w:rsidR="00F70814" w:rsidRPr="00F70814" w14:paraId="22B848D4" w14:textId="6C7C75FE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6B0F677" w14:textId="3B3A6083" w:rsidR="00F70814" w:rsidRPr="00F70814" w:rsidRDefault="00395A00" w:rsidP="0004773D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Restrictive spirometric pattern (</w:t>
            </w:r>
            <w:r w:rsidR="00F70814"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FVC&lt; LLN</w:t>
            </w:r>
            <w:r w:rsidR="006446A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 and FEV</w:t>
            </w:r>
            <w:r w:rsidR="006446A2" w:rsidRPr="006446A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bscript"/>
                <w:lang w:val="en-US"/>
              </w:rPr>
              <w:t>1</w:t>
            </w:r>
            <w:r w:rsidR="006446A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/FVC ≥ LLN)</w:t>
            </w:r>
          </w:p>
        </w:tc>
        <w:tc>
          <w:tcPr>
            <w:tcW w:w="2072" w:type="dxa"/>
          </w:tcPr>
          <w:p w14:paraId="6DEBE79A" w14:textId="055DC2C1" w:rsidR="00F70814" w:rsidRPr="00F70814" w:rsidRDefault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(41%)</w:t>
            </w:r>
          </w:p>
        </w:tc>
        <w:tc>
          <w:tcPr>
            <w:tcW w:w="2648" w:type="dxa"/>
          </w:tcPr>
          <w:p w14:paraId="0E20FDE1" w14:textId="31833088" w:rsidR="00F70814" w:rsidRPr="00F70814" w:rsidRDefault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(13%)</w:t>
            </w:r>
          </w:p>
        </w:tc>
        <w:tc>
          <w:tcPr>
            <w:tcW w:w="1176" w:type="dxa"/>
          </w:tcPr>
          <w:p w14:paraId="7DC79598" w14:textId="6E41CC91" w:rsidR="00F70814" w:rsidRPr="00D81A7A" w:rsidRDefault="006C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81A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0.0002</w:t>
            </w:r>
          </w:p>
        </w:tc>
      </w:tr>
      <w:tr w:rsidR="00F70814" w:rsidRPr="00F70814" w14:paraId="142E6A15" w14:textId="6CC2E007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6F59450B" w14:textId="257BA9BB" w:rsidR="00F70814" w:rsidRPr="00F70814" w:rsidRDefault="00F708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Weight loss</w:t>
            </w:r>
          </w:p>
        </w:tc>
        <w:tc>
          <w:tcPr>
            <w:tcW w:w="2072" w:type="dxa"/>
          </w:tcPr>
          <w:p w14:paraId="4EBAB639" w14:textId="454B46B5" w:rsidR="00F70814" w:rsidRPr="00F70814" w:rsidRDefault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(36%)</w:t>
            </w:r>
          </w:p>
        </w:tc>
        <w:tc>
          <w:tcPr>
            <w:tcW w:w="2648" w:type="dxa"/>
          </w:tcPr>
          <w:p w14:paraId="6BED9307" w14:textId="5524027F" w:rsidR="00F70814" w:rsidRPr="00F70814" w:rsidRDefault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 (40%)</w:t>
            </w:r>
          </w:p>
        </w:tc>
        <w:tc>
          <w:tcPr>
            <w:tcW w:w="1176" w:type="dxa"/>
          </w:tcPr>
          <w:p w14:paraId="0B195778" w14:textId="4B04BA58" w:rsidR="00F70814" w:rsidRPr="00F70814" w:rsidRDefault="006C1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0.65</w:t>
            </w:r>
          </w:p>
        </w:tc>
      </w:tr>
      <w:tr w:rsidR="00F70814" w:rsidRPr="00F70814" w14:paraId="6D7B0D38" w14:textId="663D51DC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557608BB" w14:textId="77767BA9" w:rsidR="00F70814" w:rsidRPr="00F70814" w:rsidRDefault="00F708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Use of oral corticosteroids</w:t>
            </w:r>
          </w:p>
        </w:tc>
        <w:tc>
          <w:tcPr>
            <w:tcW w:w="2072" w:type="dxa"/>
          </w:tcPr>
          <w:p w14:paraId="2C39BE42" w14:textId="0F6DACD2" w:rsidR="00F70814" w:rsidRPr="00F70814" w:rsidRDefault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 </w:t>
            </w:r>
            <w:r w:rsidR="006C1D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20%)</w:t>
            </w:r>
          </w:p>
        </w:tc>
        <w:tc>
          <w:tcPr>
            <w:tcW w:w="2648" w:type="dxa"/>
          </w:tcPr>
          <w:p w14:paraId="3E44B907" w14:textId="197D1143" w:rsidR="00F70814" w:rsidRPr="00F70814" w:rsidRDefault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(14%)</w:t>
            </w:r>
          </w:p>
        </w:tc>
        <w:tc>
          <w:tcPr>
            <w:tcW w:w="1176" w:type="dxa"/>
          </w:tcPr>
          <w:p w14:paraId="597A58C3" w14:textId="7C7FC487" w:rsidR="00F70814" w:rsidRPr="00F70814" w:rsidRDefault="006C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0.37</w:t>
            </w:r>
          </w:p>
        </w:tc>
      </w:tr>
      <w:tr w:rsidR="00F70814" w:rsidRPr="00F70814" w14:paraId="60A180DB" w14:textId="45AC03A3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4B708B8" w14:textId="19B140EF" w:rsidR="00F70814" w:rsidRPr="00F70814" w:rsidRDefault="00F708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Use of anticoagulants</w:t>
            </w:r>
          </w:p>
        </w:tc>
        <w:tc>
          <w:tcPr>
            <w:tcW w:w="2072" w:type="dxa"/>
          </w:tcPr>
          <w:p w14:paraId="1CD63990" w14:textId="33D95E54" w:rsidR="00F70814" w:rsidRPr="00F70814" w:rsidRDefault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 (77%)</w:t>
            </w:r>
          </w:p>
        </w:tc>
        <w:tc>
          <w:tcPr>
            <w:tcW w:w="2648" w:type="dxa"/>
          </w:tcPr>
          <w:p w14:paraId="616AFE0F" w14:textId="2100340F" w:rsidR="00F70814" w:rsidRPr="00F70814" w:rsidRDefault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(75%)</w:t>
            </w:r>
          </w:p>
        </w:tc>
        <w:tc>
          <w:tcPr>
            <w:tcW w:w="1176" w:type="dxa"/>
          </w:tcPr>
          <w:p w14:paraId="73145309" w14:textId="56F4D8DD" w:rsidR="00F70814" w:rsidRPr="00F70814" w:rsidRDefault="006C1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0.80</w:t>
            </w:r>
          </w:p>
        </w:tc>
      </w:tr>
      <w:tr w:rsidR="00F70814" w:rsidRPr="00F70814" w14:paraId="53700DC5" w14:textId="6DC283C4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0068DBB" w14:textId="60075F6F" w:rsidR="00F70814" w:rsidRPr="00F70814" w:rsidRDefault="00F70814" w:rsidP="006D43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Cardiac disease</w:t>
            </w:r>
          </w:p>
        </w:tc>
        <w:tc>
          <w:tcPr>
            <w:tcW w:w="2072" w:type="dxa"/>
          </w:tcPr>
          <w:p w14:paraId="367813AE" w14:textId="177BCCD3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 (7%)</w:t>
            </w:r>
          </w:p>
        </w:tc>
        <w:tc>
          <w:tcPr>
            <w:tcW w:w="2648" w:type="dxa"/>
          </w:tcPr>
          <w:p w14:paraId="3797BE66" w14:textId="67C29DA9" w:rsidR="00F70814" w:rsidRPr="00B71017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(1%)</w:t>
            </w:r>
          </w:p>
        </w:tc>
        <w:tc>
          <w:tcPr>
            <w:tcW w:w="1176" w:type="dxa"/>
          </w:tcPr>
          <w:p w14:paraId="5A45EE03" w14:textId="5F7BC099" w:rsidR="00F70814" w:rsidRPr="00B71017" w:rsidRDefault="006C1DD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0.046</w:t>
            </w:r>
          </w:p>
        </w:tc>
      </w:tr>
      <w:tr w:rsidR="00F70814" w:rsidRPr="00F70814" w14:paraId="4A17AD07" w14:textId="47C8D403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07094915" w14:textId="6E2E3066" w:rsidR="00F70814" w:rsidRPr="00F70814" w:rsidRDefault="00F70814" w:rsidP="006D43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Tac</w:t>
            </w:r>
            <w:r w:rsidR="000D315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hycardia</w:t>
            </w:r>
          </w:p>
        </w:tc>
        <w:tc>
          <w:tcPr>
            <w:tcW w:w="2072" w:type="dxa"/>
          </w:tcPr>
          <w:p w14:paraId="0A4560E1" w14:textId="316C2A74" w:rsidR="00F70814" w:rsidRPr="00F70814" w:rsidRDefault="00F7081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(2%)</w:t>
            </w:r>
          </w:p>
        </w:tc>
        <w:tc>
          <w:tcPr>
            <w:tcW w:w="2648" w:type="dxa"/>
          </w:tcPr>
          <w:p w14:paraId="22A25EB3" w14:textId="008BAA5A" w:rsidR="00F70814" w:rsidRPr="00F70814" w:rsidRDefault="00F7081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(6%)</w:t>
            </w:r>
          </w:p>
        </w:tc>
        <w:tc>
          <w:tcPr>
            <w:tcW w:w="1176" w:type="dxa"/>
          </w:tcPr>
          <w:p w14:paraId="7E7A58A5" w14:textId="6201134E" w:rsidR="00F70814" w:rsidRPr="00F70814" w:rsidRDefault="006C1DD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0.30</w:t>
            </w:r>
          </w:p>
        </w:tc>
      </w:tr>
      <w:tr w:rsidR="00F70814" w:rsidRPr="00F70814" w14:paraId="416966D7" w14:textId="36A79ED0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12EB78F6" w14:textId="091300F0" w:rsidR="00F70814" w:rsidRPr="00F70814" w:rsidRDefault="00F70814" w:rsidP="006D43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Symptoms of Cardiovascular Disease</w:t>
            </w:r>
          </w:p>
        </w:tc>
        <w:tc>
          <w:tcPr>
            <w:tcW w:w="2072" w:type="dxa"/>
          </w:tcPr>
          <w:p w14:paraId="6E8C2744" w14:textId="77777777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</w:tcPr>
          <w:p w14:paraId="11CB5ADC" w14:textId="77777777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</w:tcPr>
          <w:p w14:paraId="5784688E" w14:textId="77777777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0814" w:rsidRPr="00F70814" w14:paraId="0922C56D" w14:textId="0DABE502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ED9319E" w14:textId="5387399E" w:rsidR="00F70814" w:rsidRPr="00F70814" w:rsidRDefault="00F70814" w:rsidP="006D43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Hypertension </w:t>
            </w:r>
          </w:p>
        </w:tc>
        <w:tc>
          <w:tcPr>
            <w:tcW w:w="2072" w:type="dxa"/>
          </w:tcPr>
          <w:p w14:paraId="5D514EFE" w14:textId="655AAE21" w:rsidR="00F70814" w:rsidRPr="00F70814" w:rsidRDefault="00F7081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(25%)</w:t>
            </w:r>
          </w:p>
        </w:tc>
        <w:tc>
          <w:tcPr>
            <w:tcW w:w="2648" w:type="dxa"/>
          </w:tcPr>
          <w:p w14:paraId="135042E3" w14:textId="337C77FB" w:rsidR="00F70814" w:rsidRPr="00F70814" w:rsidRDefault="00F7081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(17%)</w:t>
            </w:r>
          </w:p>
        </w:tc>
        <w:tc>
          <w:tcPr>
            <w:tcW w:w="1176" w:type="dxa"/>
          </w:tcPr>
          <w:p w14:paraId="167D33E7" w14:textId="0C50846F" w:rsidR="00F70814" w:rsidRPr="00F70814" w:rsidRDefault="006C1DD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</w:tr>
      <w:tr w:rsidR="00F70814" w:rsidRPr="00F70814" w14:paraId="153A4765" w14:textId="5C3CE4E8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15FC9A9A" w14:textId="075F80D5" w:rsidR="00F70814" w:rsidRPr="00F70814" w:rsidRDefault="00F70814" w:rsidP="006D43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Diabetes</w:t>
            </w:r>
          </w:p>
        </w:tc>
        <w:tc>
          <w:tcPr>
            <w:tcW w:w="2072" w:type="dxa"/>
          </w:tcPr>
          <w:p w14:paraId="16C3BBAC" w14:textId="2D66FBE1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(2%)</w:t>
            </w:r>
          </w:p>
        </w:tc>
        <w:tc>
          <w:tcPr>
            <w:tcW w:w="2648" w:type="dxa"/>
          </w:tcPr>
          <w:p w14:paraId="6E037206" w14:textId="0E1C5AF5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(4%)</w:t>
            </w:r>
          </w:p>
        </w:tc>
        <w:tc>
          <w:tcPr>
            <w:tcW w:w="1176" w:type="dxa"/>
          </w:tcPr>
          <w:p w14:paraId="272676C5" w14:textId="609F0131" w:rsidR="00F70814" w:rsidRPr="00F70814" w:rsidRDefault="006C1DD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0.54</w:t>
            </w:r>
          </w:p>
        </w:tc>
      </w:tr>
      <w:tr w:rsidR="00F70814" w:rsidRPr="00F70814" w14:paraId="00BFB6FA" w14:textId="09A718EB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59CE2DFC" w14:textId="24855338" w:rsidR="00F70814" w:rsidRPr="00F70814" w:rsidRDefault="003E7D3C" w:rsidP="006D43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Current or former smoker</w:t>
            </w:r>
          </w:p>
        </w:tc>
        <w:tc>
          <w:tcPr>
            <w:tcW w:w="2072" w:type="dxa"/>
          </w:tcPr>
          <w:p w14:paraId="55C705E5" w14:textId="328C9B42" w:rsidR="00F70814" w:rsidRPr="00F70814" w:rsidRDefault="00F7081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(16%)</w:t>
            </w:r>
          </w:p>
        </w:tc>
        <w:tc>
          <w:tcPr>
            <w:tcW w:w="2648" w:type="dxa"/>
          </w:tcPr>
          <w:p w14:paraId="4F3A0ADE" w14:textId="0C7659B4" w:rsidR="00F70814" w:rsidRPr="00F70814" w:rsidRDefault="00F7081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(14%)</w:t>
            </w:r>
          </w:p>
        </w:tc>
        <w:tc>
          <w:tcPr>
            <w:tcW w:w="1176" w:type="dxa"/>
          </w:tcPr>
          <w:p w14:paraId="6A73AF6F" w14:textId="49440CA8" w:rsidR="00F70814" w:rsidRPr="00F70814" w:rsidRDefault="006C1DD4" w:rsidP="006D43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0.76</w:t>
            </w:r>
          </w:p>
        </w:tc>
      </w:tr>
      <w:tr w:rsidR="00F70814" w:rsidRPr="00F70814" w14:paraId="2D495C51" w14:textId="731E1AC6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438AC6D1" w14:textId="45A90DF1" w:rsidR="00F70814" w:rsidRPr="00F70814" w:rsidRDefault="00F70814" w:rsidP="006D43A5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Obesity (BMI ≥ 30 kg/m</w:t>
            </w: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2</w:t>
            </w: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2072" w:type="dxa"/>
          </w:tcPr>
          <w:p w14:paraId="3DFA22FB" w14:textId="32C67012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(57%)</w:t>
            </w:r>
          </w:p>
        </w:tc>
        <w:tc>
          <w:tcPr>
            <w:tcW w:w="2648" w:type="dxa"/>
          </w:tcPr>
          <w:p w14:paraId="401CD5F8" w14:textId="02DF23F8" w:rsidR="00F70814" w:rsidRPr="00F70814" w:rsidRDefault="00F7081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 (44%)</w:t>
            </w:r>
          </w:p>
        </w:tc>
        <w:tc>
          <w:tcPr>
            <w:tcW w:w="1176" w:type="dxa"/>
          </w:tcPr>
          <w:p w14:paraId="64F61BE2" w14:textId="7C0F7301" w:rsidR="00F70814" w:rsidRPr="00F70814" w:rsidRDefault="006C1DD4" w:rsidP="006D4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0.15</w:t>
            </w:r>
          </w:p>
        </w:tc>
      </w:tr>
      <w:tr w:rsidR="00F70814" w:rsidRPr="00F70814" w14:paraId="7FAC94E5" w14:textId="49B9B74D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4E153EF6" w14:textId="261A50F5" w:rsidR="00F70814" w:rsidRPr="00F70814" w:rsidRDefault="00F70814" w:rsidP="001224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Other symptoms</w:t>
            </w:r>
            <w:r w:rsidR="00AB61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post-COVID-19 diagnosis</w:t>
            </w:r>
          </w:p>
        </w:tc>
        <w:tc>
          <w:tcPr>
            <w:tcW w:w="2072" w:type="dxa"/>
          </w:tcPr>
          <w:p w14:paraId="201D4527" w14:textId="77777777" w:rsidR="00F70814" w:rsidRPr="00F70814" w:rsidRDefault="00F70814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</w:tcPr>
          <w:p w14:paraId="1DF29E38" w14:textId="77777777" w:rsidR="00F70814" w:rsidRPr="00F70814" w:rsidRDefault="00F70814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</w:tcPr>
          <w:p w14:paraId="74B9D990" w14:textId="77777777" w:rsidR="00F70814" w:rsidRPr="00F70814" w:rsidRDefault="00F70814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70814" w:rsidRPr="00F70814" w14:paraId="341A2FFA" w14:textId="18DC6C4A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179ED04" w14:textId="3C4A8152" w:rsidR="00F70814" w:rsidRPr="00F70814" w:rsidRDefault="00F70814" w:rsidP="0012240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Fatigue</w:t>
            </w:r>
          </w:p>
        </w:tc>
        <w:tc>
          <w:tcPr>
            <w:tcW w:w="2072" w:type="dxa"/>
          </w:tcPr>
          <w:p w14:paraId="5D866674" w14:textId="3D038714" w:rsidR="00F70814" w:rsidRPr="00F70814" w:rsidRDefault="00F70814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 (77%)</w:t>
            </w:r>
          </w:p>
        </w:tc>
        <w:tc>
          <w:tcPr>
            <w:tcW w:w="2648" w:type="dxa"/>
          </w:tcPr>
          <w:p w14:paraId="08154C3B" w14:textId="735046B9" w:rsidR="00F70814" w:rsidRPr="00F70814" w:rsidRDefault="00F70814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 (73%)</w:t>
            </w:r>
          </w:p>
        </w:tc>
        <w:tc>
          <w:tcPr>
            <w:tcW w:w="1176" w:type="dxa"/>
          </w:tcPr>
          <w:p w14:paraId="5B3319D7" w14:textId="562D9FEF" w:rsidR="00F70814" w:rsidRPr="00F70814" w:rsidRDefault="00F6003D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0.61</w:t>
            </w:r>
          </w:p>
        </w:tc>
      </w:tr>
      <w:tr w:rsidR="00F70814" w:rsidRPr="00F70814" w14:paraId="7F448FE5" w14:textId="52732778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7B015D4F" w14:textId="5B517E2B" w:rsidR="00F70814" w:rsidRPr="00F70814" w:rsidRDefault="00F70814" w:rsidP="0012240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Shortness of breath on effort</w:t>
            </w:r>
          </w:p>
        </w:tc>
        <w:tc>
          <w:tcPr>
            <w:tcW w:w="2072" w:type="dxa"/>
          </w:tcPr>
          <w:p w14:paraId="7E658A2B" w14:textId="464A3EDA" w:rsidR="00F70814" w:rsidRPr="00F70814" w:rsidRDefault="00F70814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 (52%)</w:t>
            </w:r>
          </w:p>
        </w:tc>
        <w:tc>
          <w:tcPr>
            <w:tcW w:w="2648" w:type="dxa"/>
          </w:tcPr>
          <w:p w14:paraId="1872982C" w14:textId="06476F0B" w:rsidR="00F70814" w:rsidRPr="00F70814" w:rsidRDefault="00F70814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 (38%)</w:t>
            </w:r>
          </w:p>
        </w:tc>
        <w:tc>
          <w:tcPr>
            <w:tcW w:w="1176" w:type="dxa"/>
          </w:tcPr>
          <w:p w14:paraId="26BE02AF" w14:textId="5728D392" w:rsidR="00F70814" w:rsidRPr="00F70814" w:rsidRDefault="00F6003D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0.12</w:t>
            </w:r>
          </w:p>
        </w:tc>
      </w:tr>
      <w:tr w:rsidR="00F70814" w:rsidRPr="00F70814" w14:paraId="3FB7BD4B" w14:textId="6279B01D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399626C" w14:textId="724B18FE" w:rsidR="00F70814" w:rsidRPr="00F70814" w:rsidRDefault="00F70814" w:rsidP="0012240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Chest tightness</w:t>
            </w:r>
          </w:p>
        </w:tc>
        <w:tc>
          <w:tcPr>
            <w:tcW w:w="2072" w:type="dxa"/>
          </w:tcPr>
          <w:p w14:paraId="4E61895F" w14:textId="44F6FDB7" w:rsidR="00F70814" w:rsidRPr="00F70814" w:rsidRDefault="00F70814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(34%)</w:t>
            </w:r>
          </w:p>
        </w:tc>
        <w:tc>
          <w:tcPr>
            <w:tcW w:w="2648" w:type="dxa"/>
          </w:tcPr>
          <w:p w14:paraId="0EDFEDF0" w14:textId="676633D8" w:rsidR="00F70814" w:rsidRPr="00F70814" w:rsidRDefault="00F70814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 (37%)</w:t>
            </w:r>
          </w:p>
        </w:tc>
        <w:tc>
          <w:tcPr>
            <w:tcW w:w="1176" w:type="dxa"/>
          </w:tcPr>
          <w:p w14:paraId="71663FBE" w14:textId="678BCAF7" w:rsidR="00F70814" w:rsidRPr="00F70814" w:rsidRDefault="00F6003D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0.73</w:t>
            </w:r>
          </w:p>
        </w:tc>
      </w:tr>
      <w:tr w:rsidR="00F70814" w:rsidRPr="00F70814" w14:paraId="6C3045E3" w14:textId="7AA85BD9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1BECF020" w14:textId="21DDB6C7" w:rsidR="00F70814" w:rsidRPr="00F70814" w:rsidRDefault="00F70814" w:rsidP="0012240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Sore throat</w:t>
            </w:r>
          </w:p>
        </w:tc>
        <w:tc>
          <w:tcPr>
            <w:tcW w:w="2072" w:type="dxa"/>
          </w:tcPr>
          <w:p w14:paraId="6BC4BA56" w14:textId="2E40F5C0" w:rsidR="00F70814" w:rsidRPr="00F70814" w:rsidRDefault="00F70814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(30%)</w:t>
            </w:r>
          </w:p>
        </w:tc>
        <w:tc>
          <w:tcPr>
            <w:tcW w:w="2648" w:type="dxa"/>
          </w:tcPr>
          <w:p w14:paraId="752D76B7" w14:textId="7FFBDAA2" w:rsidR="00F70814" w:rsidRPr="00F70814" w:rsidRDefault="00F70814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(26%)</w:t>
            </w:r>
          </w:p>
        </w:tc>
        <w:tc>
          <w:tcPr>
            <w:tcW w:w="1176" w:type="dxa"/>
          </w:tcPr>
          <w:p w14:paraId="27D88F8A" w14:textId="740CE2A1" w:rsidR="00F70814" w:rsidRPr="00F70814" w:rsidRDefault="00F6003D" w:rsidP="001224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0.62</w:t>
            </w:r>
          </w:p>
        </w:tc>
      </w:tr>
      <w:tr w:rsidR="00F70814" w:rsidRPr="00F70814" w14:paraId="4176A04D" w14:textId="3A0776C7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33145DBA" w14:textId="39CA8B06" w:rsidR="00F70814" w:rsidRPr="00F70814" w:rsidRDefault="00F70814" w:rsidP="00122402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Headache</w:t>
            </w:r>
          </w:p>
        </w:tc>
        <w:tc>
          <w:tcPr>
            <w:tcW w:w="2072" w:type="dxa"/>
          </w:tcPr>
          <w:p w14:paraId="2F5C65A3" w14:textId="00F00DAF" w:rsidR="00F70814" w:rsidRPr="00F70814" w:rsidRDefault="00F70814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(14%)</w:t>
            </w:r>
          </w:p>
        </w:tc>
        <w:tc>
          <w:tcPr>
            <w:tcW w:w="2648" w:type="dxa"/>
          </w:tcPr>
          <w:p w14:paraId="06B3F97B" w14:textId="1D8B7782" w:rsidR="00F70814" w:rsidRPr="00F70814" w:rsidRDefault="00F70814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(14%)</w:t>
            </w:r>
          </w:p>
        </w:tc>
        <w:tc>
          <w:tcPr>
            <w:tcW w:w="1176" w:type="dxa"/>
          </w:tcPr>
          <w:p w14:paraId="4B647B5F" w14:textId="0C4C5897" w:rsidR="00F70814" w:rsidRPr="00F70814" w:rsidRDefault="00F6003D" w:rsidP="001224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1.00</w:t>
            </w:r>
          </w:p>
        </w:tc>
      </w:tr>
      <w:tr w:rsidR="00F70814" w:rsidRPr="00F70814" w14:paraId="1BD5CD66" w14:textId="68DDC580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82B8A07" w14:textId="0B33C2D8" w:rsidR="00F70814" w:rsidRPr="00F70814" w:rsidRDefault="00F70814" w:rsidP="00F708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Loss of smell</w:t>
            </w:r>
          </w:p>
        </w:tc>
        <w:tc>
          <w:tcPr>
            <w:tcW w:w="2072" w:type="dxa"/>
          </w:tcPr>
          <w:p w14:paraId="295AE3AB" w14:textId="16111552" w:rsidR="00F70814" w:rsidRPr="00F70814" w:rsidRDefault="00F70814" w:rsidP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(14%)</w:t>
            </w:r>
          </w:p>
        </w:tc>
        <w:tc>
          <w:tcPr>
            <w:tcW w:w="2648" w:type="dxa"/>
          </w:tcPr>
          <w:p w14:paraId="1EDCE8A5" w14:textId="1299C592" w:rsidR="00F70814" w:rsidRPr="00F70814" w:rsidRDefault="00F70814" w:rsidP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(22%)</w:t>
            </w:r>
          </w:p>
        </w:tc>
        <w:tc>
          <w:tcPr>
            <w:tcW w:w="1176" w:type="dxa"/>
          </w:tcPr>
          <w:p w14:paraId="1EEE9F1C" w14:textId="5762B261" w:rsidR="00F70814" w:rsidRPr="00F70814" w:rsidRDefault="00F6003D" w:rsidP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</w:tr>
      <w:tr w:rsidR="00F70814" w:rsidRPr="00F70814" w14:paraId="32E2DA96" w14:textId="435AC652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56737C95" w14:textId="0A02B309" w:rsidR="00F70814" w:rsidRPr="00F70814" w:rsidRDefault="00F70814" w:rsidP="00F708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Loss of taste</w:t>
            </w:r>
          </w:p>
        </w:tc>
        <w:tc>
          <w:tcPr>
            <w:tcW w:w="2072" w:type="dxa"/>
          </w:tcPr>
          <w:p w14:paraId="277F47AE" w14:textId="286BA5FC" w:rsidR="00F70814" w:rsidRPr="00F70814" w:rsidRDefault="00F70814" w:rsidP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(9%)</w:t>
            </w:r>
          </w:p>
        </w:tc>
        <w:tc>
          <w:tcPr>
            <w:tcW w:w="2648" w:type="dxa"/>
          </w:tcPr>
          <w:p w14:paraId="58EDB919" w14:textId="5A22A998" w:rsidR="00F70814" w:rsidRPr="00F70814" w:rsidRDefault="00F70814" w:rsidP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(18%)</w:t>
            </w:r>
          </w:p>
        </w:tc>
        <w:tc>
          <w:tcPr>
            <w:tcW w:w="1176" w:type="dxa"/>
          </w:tcPr>
          <w:p w14:paraId="0C7706C4" w14:textId="722ED72C" w:rsidR="00F70814" w:rsidRPr="00F70814" w:rsidRDefault="00F6003D" w:rsidP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</w:tr>
      <w:tr w:rsidR="00F70814" w:rsidRPr="00F70814" w14:paraId="7AB2BBAD" w14:textId="4D4B51E9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07F0D2AA" w14:textId="613B08C3" w:rsidR="00F70814" w:rsidRPr="00F70814" w:rsidRDefault="00F70814" w:rsidP="00F708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Abdominal pain</w:t>
            </w:r>
          </w:p>
        </w:tc>
        <w:tc>
          <w:tcPr>
            <w:tcW w:w="2072" w:type="dxa"/>
          </w:tcPr>
          <w:p w14:paraId="3CCE6A6C" w14:textId="44CB7B0E" w:rsidR="00F70814" w:rsidRPr="00F70814" w:rsidRDefault="00F70814" w:rsidP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(2%)</w:t>
            </w:r>
          </w:p>
        </w:tc>
        <w:tc>
          <w:tcPr>
            <w:tcW w:w="2648" w:type="dxa"/>
          </w:tcPr>
          <w:p w14:paraId="55D58095" w14:textId="30CC17C1" w:rsidR="00F70814" w:rsidRPr="00F70814" w:rsidRDefault="00F70814" w:rsidP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(5%)</w:t>
            </w:r>
          </w:p>
        </w:tc>
        <w:tc>
          <w:tcPr>
            <w:tcW w:w="1176" w:type="dxa"/>
          </w:tcPr>
          <w:p w14:paraId="5D924723" w14:textId="1E264454" w:rsidR="00F70814" w:rsidRPr="00F70814" w:rsidRDefault="00F6003D" w:rsidP="00F70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0.40</w:t>
            </w:r>
          </w:p>
        </w:tc>
      </w:tr>
      <w:tr w:rsidR="00F70814" w:rsidRPr="00F70814" w14:paraId="4B9F2F4E" w14:textId="4FBFEE58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09BB8E02" w14:textId="20B804B5" w:rsidR="00F70814" w:rsidRPr="00F70814" w:rsidRDefault="00F70814" w:rsidP="00F70814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Muscle or joint pain</w:t>
            </w:r>
          </w:p>
        </w:tc>
        <w:tc>
          <w:tcPr>
            <w:tcW w:w="2072" w:type="dxa"/>
          </w:tcPr>
          <w:p w14:paraId="7B438904" w14:textId="36472271" w:rsidR="00F70814" w:rsidRPr="00F70814" w:rsidRDefault="00F70814" w:rsidP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(14%)</w:t>
            </w:r>
          </w:p>
        </w:tc>
        <w:tc>
          <w:tcPr>
            <w:tcW w:w="2648" w:type="dxa"/>
          </w:tcPr>
          <w:p w14:paraId="68EC4851" w14:textId="4E995311" w:rsidR="00F70814" w:rsidRPr="00F70814" w:rsidRDefault="00F70814" w:rsidP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(18%) </w:t>
            </w:r>
          </w:p>
        </w:tc>
        <w:tc>
          <w:tcPr>
            <w:tcW w:w="1176" w:type="dxa"/>
          </w:tcPr>
          <w:p w14:paraId="11277DA3" w14:textId="6FF7A80C" w:rsidR="00F70814" w:rsidRPr="00F70814" w:rsidRDefault="00F6003D" w:rsidP="00F70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0.56</w:t>
            </w:r>
          </w:p>
        </w:tc>
      </w:tr>
      <w:tr w:rsidR="00656F86" w:rsidRPr="00F70814" w14:paraId="13BE41AB" w14:textId="77777777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8026259" w14:textId="7C015DE1" w:rsidR="00656F86" w:rsidRPr="00F70814" w:rsidRDefault="00656F86" w:rsidP="00656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Visual s</w:t>
            </w: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igns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post-COVID-19 diagnosis</w:t>
            </w:r>
          </w:p>
        </w:tc>
        <w:tc>
          <w:tcPr>
            <w:tcW w:w="2072" w:type="dxa"/>
          </w:tcPr>
          <w:p w14:paraId="7E83A7ED" w14:textId="77777777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8" w:type="dxa"/>
          </w:tcPr>
          <w:p w14:paraId="1BCE26C3" w14:textId="77777777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6" w:type="dxa"/>
          </w:tcPr>
          <w:p w14:paraId="4EB1BD76" w14:textId="77777777" w:rsidR="00656F86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6F86" w:rsidRPr="00F70814" w14:paraId="5A54B6F1" w14:textId="77777777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089222AB" w14:textId="7EFB2532" w:rsidR="00656F86" w:rsidRPr="00F70814" w:rsidRDefault="00656F86" w:rsidP="00656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Cough</w:t>
            </w:r>
          </w:p>
        </w:tc>
        <w:tc>
          <w:tcPr>
            <w:tcW w:w="2072" w:type="dxa"/>
          </w:tcPr>
          <w:p w14:paraId="6948A188" w14:textId="03CEF3B7" w:rsidR="00656F86" w:rsidRPr="00F70814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(46%)</w:t>
            </w:r>
          </w:p>
        </w:tc>
        <w:tc>
          <w:tcPr>
            <w:tcW w:w="2648" w:type="dxa"/>
          </w:tcPr>
          <w:p w14:paraId="2269CD14" w14:textId="35687365" w:rsidR="00656F86" w:rsidRPr="00F70814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 (43%)</w:t>
            </w:r>
          </w:p>
        </w:tc>
        <w:tc>
          <w:tcPr>
            <w:tcW w:w="1176" w:type="dxa"/>
          </w:tcPr>
          <w:p w14:paraId="4FED369B" w14:textId="031FC136" w:rsidR="00656F86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</w:t>
            </w:r>
          </w:p>
        </w:tc>
      </w:tr>
      <w:tr w:rsidR="00656F86" w:rsidRPr="00F70814" w14:paraId="5997A7B7" w14:textId="77777777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6C240601" w14:textId="2A09EB1A" w:rsidR="00656F86" w:rsidRPr="00F70814" w:rsidRDefault="00656F86" w:rsidP="00656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Hair loss</w:t>
            </w:r>
          </w:p>
        </w:tc>
        <w:tc>
          <w:tcPr>
            <w:tcW w:w="2072" w:type="dxa"/>
          </w:tcPr>
          <w:p w14:paraId="3D074415" w14:textId="598D1332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(25%)</w:t>
            </w:r>
          </w:p>
        </w:tc>
        <w:tc>
          <w:tcPr>
            <w:tcW w:w="2648" w:type="dxa"/>
          </w:tcPr>
          <w:p w14:paraId="5ACBACDF" w14:textId="14263B56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 (28%)</w:t>
            </w:r>
          </w:p>
        </w:tc>
        <w:tc>
          <w:tcPr>
            <w:tcW w:w="1176" w:type="dxa"/>
          </w:tcPr>
          <w:p w14:paraId="52B3DFA5" w14:textId="19BF0160" w:rsidR="00656F86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0.71</w:t>
            </w:r>
          </w:p>
        </w:tc>
      </w:tr>
      <w:tr w:rsidR="00656F86" w:rsidRPr="00F70814" w14:paraId="1DB191C3" w14:textId="77777777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2F51F784" w14:textId="4031A142" w:rsidR="00656F86" w:rsidRPr="00F70814" w:rsidRDefault="00656F86" w:rsidP="00656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Diarrhea</w:t>
            </w:r>
          </w:p>
        </w:tc>
        <w:tc>
          <w:tcPr>
            <w:tcW w:w="2072" w:type="dxa"/>
          </w:tcPr>
          <w:p w14:paraId="76916209" w14:textId="4B043C64" w:rsidR="00656F86" w:rsidRPr="00F70814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(9%)</w:t>
            </w:r>
          </w:p>
        </w:tc>
        <w:tc>
          <w:tcPr>
            <w:tcW w:w="2648" w:type="dxa"/>
          </w:tcPr>
          <w:p w14:paraId="426AE05E" w14:textId="7C8D92E1" w:rsidR="00656F86" w:rsidRPr="00F70814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(6%)</w:t>
            </w:r>
          </w:p>
        </w:tc>
        <w:tc>
          <w:tcPr>
            <w:tcW w:w="1176" w:type="dxa"/>
          </w:tcPr>
          <w:p w14:paraId="192E3B9C" w14:textId="5E48B7AD" w:rsidR="00656F86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0.52</w:t>
            </w:r>
          </w:p>
        </w:tc>
      </w:tr>
      <w:tr w:rsidR="00656F86" w:rsidRPr="00B71017" w14:paraId="266C8077" w14:textId="77777777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667D3D8B" w14:textId="2B8924BB" w:rsidR="00656F86" w:rsidRPr="00F70814" w:rsidRDefault="00656F86" w:rsidP="00656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Blocked nose and/or runny nose</w:t>
            </w:r>
          </w:p>
        </w:tc>
        <w:tc>
          <w:tcPr>
            <w:tcW w:w="2072" w:type="dxa"/>
          </w:tcPr>
          <w:p w14:paraId="6DAEE352" w14:textId="4752E90F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(21%)</w:t>
            </w:r>
          </w:p>
        </w:tc>
        <w:tc>
          <w:tcPr>
            <w:tcW w:w="2648" w:type="dxa"/>
          </w:tcPr>
          <w:p w14:paraId="6953BB38" w14:textId="52C3B718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 (44%)</w:t>
            </w:r>
          </w:p>
        </w:tc>
        <w:tc>
          <w:tcPr>
            <w:tcW w:w="1176" w:type="dxa"/>
          </w:tcPr>
          <w:p w14:paraId="4C424C0E" w14:textId="3953FAF8" w:rsidR="00656F86" w:rsidRPr="00B71017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0.0087</w:t>
            </w:r>
          </w:p>
        </w:tc>
      </w:tr>
      <w:tr w:rsidR="00656F86" w:rsidRPr="00B71017" w14:paraId="01E7E166" w14:textId="77777777" w:rsidTr="00364D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78398E83" w14:textId="778209FA" w:rsidR="00656F86" w:rsidRPr="00F70814" w:rsidRDefault="002271CC" w:rsidP="00656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 xml:space="preserve">Excessive </w:t>
            </w:r>
            <w:r w:rsidR="00656F86"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sweat</w:t>
            </w:r>
            <w:r w:rsidR="000D263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ing</w:t>
            </w:r>
          </w:p>
        </w:tc>
        <w:tc>
          <w:tcPr>
            <w:tcW w:w="2072" w:type="dxa"/>
          </w:tcPr>
          <w:p w14:paraId="531D30C0" w14:textId="2C6FF61B" w:rsidR="00656F86" w:rsidRPr="00F70814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 (11%)</w:t>
            </w:r>
          </w:p>
        </w:tc>
        <w:tc>
          <w:tcPr>
            <w:tcW w:w="2648" w:type="dxa"/>
          </w:tcPr>
          <w:p w14:paraId="21E404A7" w14:textId="5E413675" w:rsidR="00656F86" w:rsidRPr="00F70814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(25%)</w:t>
            </w:r>
          </w:p>
        </w:tc>
        <w:tc>
          <w:tcPr>
            <w:tcW w:w="1176" w:type="dxa"/>
          </w:tcPr>
          <w:p w14:paraId="43933869" w14:textId="06D31FBE" w:rsidR="00656F86" w:rsidRPr="00B71017" w:rsidRDefault="00656F86" w:rsidP="00656F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10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0.057</w:t>
            </w:r>
          </w:p>
        </w:tc>
      </w:tr>
      <w:tr w:rsidR="00656F86" w:rsidRPr="00F70814" w14:paraId="2247ADC0" w14:textId="77777777" w:rsidTr="00364D4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4" w:type="dxa"/>
          </w:tcPr>
          <w:p w14:paraId="36264825" w14:textId="32E164CF" w:rsidR="00656F86" w:rsidRPr="00F70814" w:rsidRDefault="00656F86" w:rsidP="00656F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Sore or red eyes</w:t>
            </w:r>
          </w:p>
        </w:tc>
        <w:tc>
          <w:tcPr>
            <w:tcW w:w="2072" w:type="dxa"/>
          </w:tcPr>
          <w:p w14:paraId="75AA7B72" w14:textId="0BE52CAC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(9%)</w:t>
            </w:r>
          </w:p>
        </w:tc>
        <w:tc>
          <w:tcPr>
            <w:tcW w:w="2648" w:type="dxa"/>
          </w:tcPr>
          <w:p w14:paraId="284EB39C" w14:textId="71EF834B" w:rsidR="00656F86" w:rsidRPr="00F70814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8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 (4%)</w:t>
            </w:r>
          </w:p>
        </w:tc>
        <w:tc>
          <w:tcPr>
            <w:tcW w:w="1176" w:type="dxa"/>
          </w:tcPr>
          <w:p w14:paraId="6E4D306D" w14:textId="0C8CD906" w:rsidR="00656F86" w:rsidRDefault="00656F86" w:rsidP="00656F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0.23</w:t>
            </w:r>
          </w:p>
        </w:tc>
      </w:tr>
    </w:tbl>
    <w:p w14:paraId="4F851CF0" w14:textId="522F9060" w:rsidR="0005461A" w:rsidRDefault="006D43A5" w:rsidP="00AC0024">
      <w:pPr>
        <w:ind w:left="851" w:right="603"/>
        <w:rPr>
          <w:lang w:val="en-US"/>
        </w:rPr>
      </w:pPr>
      <w:r w:rsidRPr="00F70814">
        <w:rPr>
          <w:rFonts w:ascii="Times New Roman" w:hAnsi="Times New Roman" w:cs="Times New Roman"/>
          <w:sz w:val="24"/>
          <w:szCs w:val="24"/>
          <w:lang w:val="en-US"/>
        </w:rPr>
        <w:t>Patients were asked to recount presence or absence of symptoms at time of visit</w:t>
      </w:r>
      <w:r w:rsidR="00F6003D">
        <w:rPr>
          <w:rFonts w:ascii="Times New Roman" w:hAnsi="Times New Roman" w:cs="Times New Roman"/>
          <w:sz w:val="24"/>
          <w:szCs w:val="24"/>
          <w:lang w:val="en-US"/>
        </w:rPr>
        <w:t xml:space="preserve">. The N-1 Chi-Squared Test was used to compare proportions </w:t>
      </w:r>
      <w:r w:rsidR="00A26BFE">
        <w:rPr>
          <w:rFonts w:ascii="Times New Roman" w:hAnsi="Times New Roman" w:cs="Times New Roman"/>
          <w:sz w:val="24"/>
          <w:szCs w:val="24"/>
          <w:lang w:val="en-US"/>
        </w:rPr>
        <w:t>between those with a DLCO &lt; LLN and those with a DLCO ≥ LLN</w:t>
      </w:r>
      <w:r w:rsidR="00F600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204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23</w:t>
      </w:r>
      <w:r w:rsidR="00F600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101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B71017">
        <w:rPr>
          <w:rFonts w:ascii="Times New Roman" w:hAnsi="Times New Roman" w:cs="Times New Roman"/>
          <w:sz w:val="24"/>
          <w:szCs w:val="24"/>
          <w:lang w:val="en-US"/>
        </w:rPr>
        <w:t>Benjamini</w:t>
      </w:r>
      <w:proofErr w:type="spellEnd"/>
      <w:r w:rsidR="00B71017">
        <w:rPr>
          <w:rFonts w:ascii="Times New Roman" w:hAnsi="Times New Roman" w:cs="Times New Roman"/>
          <w:sz w:val="24"/>
          <w:szCs w:val="24"/>
          <w:lang w:val="en-US"/>
        </w:rPr>
        <w:t>-Hochberg procedure was used to control the false discovery rate</w:t>
      </w:r>
      <w:r w:rsidR="00B924B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A2046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24</w:t>
      </w:r>
      <w:r w:rsidR="00B924BB">
        <w:rPr>
          <w:rFonts w:ascii="Times New Roman" w:hAnsi="Times New Roman" w:cs="Times New Roman"/>
          <w:sz w:val="24"/>
          <w:szCs w:val="24"/>
          <w:lang w:val="en-US"/>
        </w:rPr>
        <w:t xml:space="preserve"> which we set to 0.05.  </w:t>
      </w:r>
      <w:r w:rsidR="00B71017">
        <w:rPr>
          <w:rFonts w:ascii="Times New Roman" w:hAnsi="Times New Roman" w:cs="Times New Roman"/>
          <w:sz w:val="24"/>
          <w:szCs w:val="24"/>
          <w:lang w:val="en-US"/>
        </w:rPr>
        <w:t xml:space="preserve">As such, the only comparison that was </w:t>
      </w:r>
      <w:r w:rsidR="00656F86">
        <w:rPr>
          <w:rFonts w:ascii="Times New Roman" w:hAnsi="Times New Roman" w:cs="Times New Roman"/>
          <w:sz w:val="24"/>
          <w:szCs w:val="24"/>
          <w:lang w:val="en-US"/>
        </w:rPr>
        <w:t xml:space="preserve">significantly </w:t>
      </w:r>
      <w:r w:rsidR="00B71017">
        <w:rPr>
          <w:rFonts w:ascii="Times New Roman" w:hAnsi="Times New Roman" w:cs="Times New Roman"/>
          <w:sz w:val="24"/>
          <w:szCs w:val="24"/>
          <w:lang w:val="en-US"/>
        </w:rPr>
        <w:t xml:space="preserve">different between the two groups was the proportion of those with spirometric restriction. </w:t>
      </w:r>
      <w:r w:rsidR="0005461A">
        <w:rPr>
          <w:lang w:val="en-US"/>
        </w:rPr>
        <w:br w:type="page"/>
      </w:r>
    </w:p>
    <w:p w14:paraId="09CF3B72" w14:textId="77777777" w:rsidR="00AD2E7A" w:rsidRDefault="00AD2E7A" w:rsidP="008F6358">
      <w:p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  <w:sectPr w:rsidR="00AD2E7A" w:rsidSect="00D05F65">
          <w:pgSz w:w="12240" w:h="15840"/>
          <w:pgMar w:top="432" w:right="432" w:bottom="432" w:left="432" w:header="720" w:footer="720" w:gutter="0"/>
          <w:cols w:space="720"/>
          <w:docGrid w:linePitch="360"/>
        </w:sectPr>
      </w:pPr>
    </w:p>
    <w:p w14:paraId="6BEAB672" w14:textId="6B6B2DF7" w:rsidR="008F6358" w:rsidRPr="0062306D" w:rsidRDefault="008F6358" w:rsidP="008F6358">
      <w:pPr>
        <w:spacing w:line="48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proofErr w:type="spellStart"/>
      <w:r w:rsidRPr="0062306D">
        <w:rPr>
          <w:rFonts w:ascii="Times New Roman" w:hAnsi="Times New Roman" w:cs="Times New Roman"/>
          <w:b/>
          <w:bCs/>
          <w:sz w:val="24"/>
          <w:szCs w:val="24"/>
          <w:lang w:val="es-MX"/>
        </w:rPr>
        <w:lastRenderedPageBreak/>
        <w:t>References</w:t>
      </w:r>
      <w:proofErr w:type="spellEnd"/>
    </w:p>
    <w:p w14:paraId="47862AA3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6B6C">
        <w:rPr>
          <w:rFonts w:ascii="Times New Roman" w:hAnsi="Times New Roman" w:cs="Times New Roman"/>
          <w:sz w:val="24"/>
          <w:szCs w:val="24"/>
        </w:rPr>
        <w:t>1.</w:t>
      </w:r>
      <w:r w:rsidRPr="00E86B6C">
        <w:rPr>
          <w:rFonts w:ascii="Times New Roman" w:hAnsi="Times New Roman" w:cs="Times New Roman"/>
          <w:sz w:val="24"/>
          <w:szCs w:val="24"/>
        </w:rPr>
        <w:tab/>
      </w:r>
      <w:r w:rsidR="00E86B6C" w:rsidRPr="00D657B4">
        <w:rPr>
          <w:rFonts w:ascii="Times New Roman" w:hAnsi="Times New Roman" w:cs="Times New Roman"/>
          <w:sz w:val="24"/>
          <w:szCs w:val="24"/>
        </w:rPr>
        <w:t>Abdallah SJ, Voduc N, Corrales-Medina VF, McGuinty M, Pratt A, Chopra A,</w:t>
      </w:r>
      <w:r w:rsidR="00E86B6C">
        <w:rPr>
          <w:rFonts w:ascii="Times New Roman" w:hAnsi="Times New Roman" w:cs="Times New Roman"/>
          <w:sz w:val="24"/>
          <w:szCs w:val="24"/>
        </w:rPr>
        <w:t xml:space="preserve"> </w:t>
      </w:r>
      <w:r w:rsidR="00E86B6C" w:rsidRPr="00D657B4">
        <w:rPr>
          <w:rFonts w:ascii="Times New Roman" w:hAnsi="Times New Roman" w:cs="Times New Roman"/>
          <w:sz w:val="24"/>
          <w:szCs w:val="24"/>
        </w:rPr>
        <w:t xml:space="preserve">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Symptoms, Pulmonary Function and Functional Capacity Four Months after COVID-19.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Ann Am Thorac Soc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2021. Apr 19. doi: 10.1513/AnnalsATS.202012-1489RL. Online ahead of print.</w:t>
      </w:r>
    </w:p>
    <w:p w14:paraId="7A5CA733" w14:textId="77777777" w:rsidR="00E86B6C" w:rsidRPr="00805B60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6B6C">
        <w:rPr>
          <w:rFonts w:ascii="Times New Roman" w:hAnsi="Times New Roman" w:cs="Times New Roman"/>
          <w:sz w:val="24"/>
          <w:szCs w:val="24"/>
          <w:lang w:val="es-MX"/>
        </w:rPr>
        <w:t>2.</w:t>
      </w:r>
      <w:r w:rsidRPr="00E86B6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 xml:space="preserve">van der Sar-van der Brugge S, Talman S, Boonman-de Winter L, de Mol M, Hoefman E, van Etten RW, 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Pulmonary function and health-related quality of life after COVID-19 pneumonia. </w:t>
      </w:r>
      <w:r w:rsidR="00E86B6C" w:rsidRPr="00805B60">
        <w:rPr>
          <w:rFonts w:ascii="Times New Roman" w:hAnsi="Times New Roman" w:cs="Times New Roman"/>
          <w:i/>
          <w:iCs/>
          <w:sz w:val="24"/>
          <w:szCs w:val="24"/>
        </w:rPr>
        <w:t>Respir. Med.</w:t>
      </w:r>
      <w:r w:rsidR="00E86B6C" w:rsidRPr="00805B60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805B60">
        <w:rPr>
          <w:rFonts w:ascii="Times New Roman" w:hAnsi="Times New Roman" w:cs="Times New Roman"/>
          <w:b/>
          <w:bCs/>
          <w:sz w:val="24"/>
          <w:szCs w:val="24"/>
        </w:rPr>
        <w:t>176</w:t>
      </w:r>
      <w:r w:rsidR="00E86B6C" w:rsidRPr="00805B60">
        <w:rPr>
          <w:rFonts w:ascii="Times New Roman" w:hAnsi="Times New Roman" w:cs="Times New Roman"/>
          <w:sz w:val="24"/>
          <w:szCs w:val="24"/>
        </w:rPr>
        <w:t>: 106272. doi: 10.1016/j.rmed.2020.106272.</w:t>
      </w:r>
    </w:p>
    <w:p w14:paraId="5A183FE7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4729AE">
        <w:rPr>
          <w:rFonts w:ascii="Times New Roman" w:hAnsi="Times New Roman" w:cs="Times New Roman"/>
          <w:sz w:val="24"/>
          <w:szCs w:val="24"/>
        </w:rPr>
        <w:t>3.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Morin L, Savale L, Pham T, </w:t>
      </w:r>
      <w:r w:rsidR="00E86B6C" w:rsidRPr="00D657B4">
        <w:rPr>
          <w:rFonts w:ascii="Times New Roman" w:hAnsi="Times New Roman" w:cs="Times New Roman"/>
          <w:sz w:val="24"/>
          <w:szCs w:val="24"/>
        </w:rPr>
        <w:t>Colle R, Figueiredo S, Harrois A,</w:t>
      </w:r>
      <w:r w:rsidR="00E86B6C">
        <w:rPr>
          <w:rFonts w:ascii="Times New Roman" w:hAnsi="Times New Roman" w:cs="Times New Roman"/>
          <w:sz w:val="24"/>
          <w:szCs w:val="24"/>
        </w:rPr>
        <w:t xml:space="preserve">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Writing Committee for the Comebac Study Group. Four-Month Clinical Status of a Cohort of Patients After Hospitalization for COVID-19.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  <w:lang w:val="es-MX"/>
        </w:rPr>
        <w:t>JAMA</w:t>
      </w:r>
      <w:r w:rsidR="00E86B6C">
        <w:rPr>
          <w:rFonts w:ascii="Times New Roman" w:hAnsi="Times New Roman" w:cs="Times New Roman"/>
          <w:i/>
          <w:iCs/>
          <w:sz w:val="24"/>
          <w:szCs w:val="24"/>
          <w:lang w:val="es-MX"/>
        </w:rPr>
        <w:t>,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  <w:lang w:val="es-MX"/>
        </w:rPr>
        <w:t>325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>: 1525-34. doi: 10.1001/jama.2021.3331.</w:t>
      </w:r>
    </w:p>
    <w:p w14:paraId="01907FFB" w14:textId="77777777" w:rsidR="00E86B6C" w:rsidRPr="00E86B6C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7434CD">
        <w:rPr>
          <w:rFonts w:ascii="Times New Roman" w:hAnsi="Times New Roman" w:cs="Times New Roman"/>
          <w:sz w:val="24"/>
          <w:szCs w:val="24"/>
          <w:lang w:val="es-MX"/>
        </w:rPr>
        <w:t>4.</w:t>
      </w:r>
      <w:r w:rsidRPr="007434CD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 xml:space="preserve">Cortes-Telles A, Lopez-Romero S, Figueroa-Hurtado E, Pou-Aguilar YN, Wong AW, Milne KM, 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Pulmonary function and functional capacity in COVID-19 survivors with persistent dyspnoea. </w:t>
      </w:r>
      <w:r w:rsidR="00E86B6C" w:rsidRPr="00E86B6C">
        <w:rPr>
          <w:rFonts w:ascii="Times New Roman" w:hAnsi="Times New Roman" w:cs="Times New Roman"/>
          <w:i/>
          <w:iCs/>
          <w:sz w:val="24"/>
          <w:szCs w:val="24"/>
          <w:lang w:val="es-MX"/>
        </w:rPr>
        <w:t>Respir. Physiol. Neurobiol.</w:t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 xml:space="preserve"> 2021; </w:t>
      </w:r>
      <w:r w:rsidR="00E86B6C" w:rsidRPr="00E86B6C">
        <w:rPr>
          <w:rFonts w:ascii="Times New Roman" w:hAnsi="Times New Roman" w:cs="Times New Roman"/>
          <w:b/>
          <w:bCs/>
          <w:sz w:val="24"/>
          <w:szCs w:val="24"/>
          <w:lang w:val="es-MX"/>
        </w:rPr>
        <w:t>288</w:t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>: 103644. doi: 10.1016/j.resp.2021.103644.</w:t>
      </w:r>
    </w:p>
    <w:p w14:paraId="038D99A3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E86B6C">
        <w:rPr>
          <w:rFonts w:ascii="Times New Roman" w:hAnsi="Times New Roman" w:cs="Times New Roman"/>
          <w:sz w:val="24"/>
          <w:szCs w:val="24"/>
          <w:lang w:val="es-MX"/>
        </w:rPr>
        <w:t>5.</w:t>
      </w:r>
      <w:r w:rsidRPr="00E86B6C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Gochicoa-Rangel L, Hernandez-Morales AP, Salles-Rojas A, </w:t>
      </w:r>
      <w:r w:rsidR="00E86B6C" w:rsidRPr="00D657B4">
        <w:rPr>
          <w:rFonts w:ascii="Times New Roman" w:hAnsi="Times New Roman" w:cs="Times New Roman"/>
          <w:sz w:val="24"/>
          <w:szCs w:val="24"/>
          <w:lang w:val="es-MX"/>
        </w:rPr>
        <w:t xml:space="preserve">Madrid-Mejia W, Guzman-Valderrabano C, Gonzalez-Molina A, 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Gas Exchange Impairment During COVID-19 Recovery.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Respir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Care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E86B6C" w:rsidRPr="000E3A33">
        <w:rPr>
          <w:rFonts w:ascii="Times New Roman" w:hAnsi="Times New Roman" w:cs="Times New Roman"/>
          <w:sz w:val="24"/>
          <w:szCs w:val="24"/>
        </w:rPr>
        <w:t>: 1610-7. doi: 10.4187/respcare.09114.</w:t>
      </w:r>
    </w:p>
    <w:p w14:paraId="060BD584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434CD">
        <w:rPr>
          <w:rFonts w:ascii="Times New Roman" w:hAnsi="Times New Roman" w:cs="Times New Roman"/>
          <w:sz w:val="24"/>
          <w:szCs w:val="24"/>
          <w:lang w:val="es-MX"/>
        </w:rPr>
        <w:t>6.</w:t>
      </w:r>
      <w:r w:rsidRPr="007434CD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Nunez-Fernandez M, Ramos-Hernandez C, Garcia-Rio F, </w:t>
      </w:r>
      <w:r w:rsidR="00E86B6C" w:rsidRPr="006734A3">
        <w:rPr>
          <w:rFonts w:ascii="Times New Roman" w:hAnsi="Times New Roman" w:cs="Times New Roman"/>
          <w:sz w:val="24"/>
          <w:szCs w:val="24"/>
          <w:lang w:val="es-MX"/>
        </w:rPr>
        <w:t xml:space="preserve">Torres-Duran M, Nodar-Germinas A, Tilve-Gomez A, 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Alterations in Respiratory Function Test Three Months after Hospitalisation for COVID-19 Pneumonia: Value of Determining Nitric Oxide Diffusion.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Clin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Med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E86B6C" w:rsidRPr="000E3A33">
        <w:rPr>
          <w:rFonts w:ascii="Times New Roman" w:hAnsi="Times New Roman" w:cs="Times New Roman"/>
          <w:sz w:val="24"/>
          <w:szCs w:val="24"/>
        </w:rPr>
        <w:t>: 2119. doi: 10.3390/jcm10102119.</w:t>
      </w:r>
    </w:p>
    <w:p w14:paraId="67C1AE58" w14:textId="77777777" w:rsidR="00E86B6C" w:rsidRPr="00E86B6C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2306D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62306D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Ekbom E, Frithiof R, Emilsson O, </w:t>
      </w:r>
      <w:r w:rsidR="00E86B6C" w:rsidRPr="00D657B4">
        <w:rPr>
          <w:rFonts w:ascii="Times New Roman" w:hAnsi="Times New Roman" w:cs="Times New Roman"/>
          <w:sz w:val="24"/>
          <w:szCs w:val="24"/>
        </w:rPr>
        <w:t xml:space="preserve">Larson LM, Lipcsey M, Rubertsson S,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Impaired diffusing capacity for carbon monoxide is common in critically ill Covid-19 patients at four months post-discharge. </w:t>
      </w:r>
      <w:r w:rsidR="00E86B6C" w:rsidRPr="00E86B6C">
        <w:rPr>
          <w:rFonts w:ascii="Times New Roman" w:hAnsi="Times New Roman" w:cs="Times New Roman"/>
          <w:i/>
          <w:iCs/>
          <w:sz w:val="24"/>
          <w:szCs w:val="24"/>
        </w:rPr>
        <w:t>Respir. Med.</w:t>
      </w:r>
      <w:r w:rsidR="00E86B6C" w:rsidRPr="00E86B6C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E86B6C">
        <w:rPr>
          <w:rFonts w:ascii="Times New Roman" w:hAnsi="Times New Roman" w:cs="Times New Roman"/>
          <w:b/>
          <w:bCs/>
          <w:sz w:val="24"/>
          <w:szCs w:val="24"/>
        </w:rPr>
        <w:t>182</w:t>
      </w:r>
      <w:r w:rsidR="00E86B6C" w:rsidRPr="00E86B6C">
        <w:rPr>
          <w:rFonts w:ascii="Times New Roman" w:hAnsi="Times New Roman" w:cs="Times New Roman"/>
          <w:sz w:val="24"/>
          <w:szCs w:val="24"/>
        </w:rPr>
        <w:t>: 106394. doi: 10.1016/j.rmed.2021.106394.</w:t>
      </w:r>
    </w:p>
    <w:p w14:paraId="3AF71F94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8.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van den Borst B, Peters JB, Brink M, </w:t>
      </w:r>
      <w:r w:rsidR="00E86B6C" w:rsidRPr="006734A3">
        <w:rPr>
          <w:rFonts w:ascii="Times New Roman" w:hAnsi="Times New Roman" w:cs="Times New Roman"/>
          <w:sz w:val="24"/>
          <w:szCs w:val="24"/>
        </w:rPr>
        <w:t xml:space="preserve">Schoon Y, Bleeker-Rovers CP, Schers H,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Comprehensive Health Assessment 3 Months After Recovery From Acute Coronavirus Disease 2019 (COVID-19).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Clin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Infect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Dis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73</w:t>
      </w:r>
      <w:r w:rsidR="00E86B6C" w:rsidRPr="000E3A33">
        <w:rPr>
          <w:rFonts w:ascii="Times New Roman" w:hAnsi="Times New Roman" w:cs="Times New Roman"/>
          <w:sz w:val="24"/>
          <w:szCs w:val="24"/>
        </w:rPr>
        <w:t>: e1089-98. doi: 10.1093/cid/ciaa1750.</w:t>
      </w:r>
    </w:p>
    <w:p w14:paraId="3B5C2584" w14:textId="6B7CC518" w:rsidR="008F6358" w:rsidRPr="004729AE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9.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Pr="00722C6B">
        <w:rPr>
          <w:rFonts w:ascii="Times New Roman" w:hAnsi="Times New Roman" w:cs="Times New Roman"/>
          <w:sz w:val="24"/>
          <w:szCs w:val="24"/>
        </w:rPr>
        <w:t xml:space="preserve">Barisione G, Brusasco V. Lung diffusing capacity for nitric oxide and carbon monoxide following mild-to-severe COVID-19. 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>Physiol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 xml:space="preserve"> Rep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sz w:val="24"/>
          <w:szCs w:val="24"/>
        </w:rPr>
        <w:t xml:space="preserve"> 2021; </w:t>
      </w:r>
      <w:r w:rsidRPr="00722C6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22C6B">
        <w:rPr>
          <w:rFonts w:ascii="Times New Roman" w:hAnsi="Times New Roman" w:cs="Times New Roman"/>
          <w:sz w:val="24"/>
          <w:szCs w:val="24"/>
        </w:rPr>
        <w:t>: e14748. doi: 10.14814/phy2.14748.</w:t>
      </w:r>
    </w:p>
    <w:p w14:paraId="6BB91704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10.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Lerum TV, Aalokken TM, Bronstad E, </w:t>
      </w:r>
      <w:r w:rsidR="00E86B6C" w:rsidRPr="006734A3">
        <w:rPr>
          <w:rFonts w:ascii="Times New Roman" w:hAnsi="Times New Roman" w:cs="Times New Roman"/>
          <w:sz w:val="24"/>
          <w:szCs w:val="24"/>
        </w:rPr>
        <w:t xml:space="preserve">Aarli B, Ikdahl E, Lund KMA,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Dyspnoea, lung function and CT findings 3 months after hospital admission for COVID-19.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Eur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Respir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="00E86B6C" w:rsidRPr="000E3A33">
        <w:rPr>
          <w:rFonts w:ascii="Times New Roman" w:hAnsi="Times New Roman" w:cs="Times New Roman"/>
          <w:sz w:val="24"/>
          <w:szCs w:val="24"/>
        </w:rPr>
        <w:t>: 2003448. doi: 10.1183/13993003.03448-2020.</w:t>
      </w:r>
    </w:p>
    <w:p w14:paraId="5062A724" w14:textId="77777777" w:rsidR="00E86B6C" w:rsidRPr="00E86B6C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11.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Guler SA, Ebner L, Aubry-Beigelman C, </w:t>
      </w:r>
      <w:r w:rsidR="00E86B6C" w:rsidRPr="006734A3">
        <w:rPr>
          <w:rFonts w:ascii="Times New Roman" w:hAnsi="Times New Roman" w:cs="Times New Roman"/>
          <w:sz w:val="24"/>
          <w:szCs w:val="24"/>
        </w:rPr>
        <w:t xml:space="preserve">Bridevaux PO, Brutsche M, Clarenbach C,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Pulmonary function and radiological features 4 months after COVID-19: first results from the national prospective observational Swiss COVID-19 lung study. </w:t>
      </w:r>
      <w:r w:rsidR="00E86B6C" w:rsidRPr="00E86B6C">
        <w:rPr>
          <w:rFonts w:ascii="Times New Roman" w:hAnsi="Times New Roman" w:cs="Times New Roman"/>
          <w:i/>
          <w:iCs/>
          <w:sz w:val="24"/>
          <w:szCs w:val="24"/>
        </w:rPr>
        <w:t>Eur. Respir. J.</w:t>
      </w:r>
      <w:r w:rsidR="00E86B6C" w:rsidRPr="00E86B6C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E86B6C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="00E86B6C" w:rsidRPr="00E86B6C">
        <w:rPr>
          <w:rFonts w:ascii="Times New Roman" w:hAnsi="Times New Roman" w:cs="Times New Roman"/>
          <w:sz w:val="24"/>
          <w:szCs w:val="24"/>
        </w:rPr>
        <w:t>: 2003690. doi: 10.1183/13993003.03690-2020.</w:t>
      </w:r>
    </w:p>
    <w:p w14:paraId="2271D746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4729AE">
        <w:rPr>
          <w:rFonts w:ascii="Times New Roman" w:hAnsi="Times New Roman" w:cs="Times New Roman"/>
          <w:sz w:val="24"/>
          <w:szCs w:val="24"/>
        </w:rPr>
        <w:t>12.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Sonnweber T, Sahanic S, Pizzini A, </w:t>
      </w:r>
      <w:r w:rsidR="00E86B6C" w:rsidRPr="00AB1C01">
        <w:rPr>
          <w:rFonts w:ascii="Times New Roman" w:hAnsi="Times New Roman" w:cs="Times New Roman"/>
          <w:sz w:val="24"/>
          <w:szCs w:val="24"/>
        </w:rPr>
        <w:t xml:space="preserve">Luger A, Schwabl C, Sonnweber B,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Cardiopulmonary recovery after COVID-19: an observational prospective multicentre trial. </w:t>
      </w:r>
      <w:r w:rsidR="00E86B6C" w:rsidRPr="00E86B6C">
        <w:rPr>
          <w:rFonts w:ascii="Times New Roman" w:hAnsi="Times New Roman" w:cs="Times New Roman"/>
          <w:i/>
          <w:iCs/>
          <w:sz w:val="24"/>
          <w:szCs w:val="24"/>
        </w:rPr>
        <w:t xml:space="preserve">Eur. Respir.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  <w:lang w:val="es-MX"/>
        </w:rPr>
        <w:t>J</w:t>
      </w:r>
      <w:r w:rsidR="00E86B6C">
        <w:rPr>
          <w:rFonts w:ascii="Times New Roman" w:hAnsi="Times New Roman" w:cs="Times New Roman"/>
          <w:i/>
          <w:iCs/>
          <w:sz w:val="24"/>
          <w:szCs w:val="24"/>
          <w:lang w:val="es-MX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  <w:lang w:val="es-MX"/>
        </w:rPr>
        <w:t>57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>: 2003481. doi: 10.1183/13993003.03481-2020.</w:t>
      </w:r>
    </w:p>
    <w:p w14:paraId="7FAED436" w14:textId="77777777" w:rsidR="00E86B6C" w:rsidRPr="00E86B6C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5E1DD9">
        <w:rPr>
          <w:rFonts w:ascii="Times New Roman" w:hAnsi="Times New Roman" w:cs="Times New Roman"/>
          <w:sz w:val="24"/>
          <w:szCs w:val="24"/>
          <w:lang w:val="es-MX"/>
        </w:rPr>
        <w:lastRenderedPageBreak/>
        <w:t>13.</w:t>
      </w:r>
      <w:r w:rsidRPr="005E1DD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Han X, Fan Y, Alwalid O, </w:t>
      </w:r>
      <w:r w:rsidR="00E86B6C" w:rsidRPr="00FE3343">
        <w:rPr>
          <w:rFonts w:ascii="Times New Roman" w:hAnsi="Times New Roman" w:cs="Times New Roman"/>
          <w:sz w:val="24"/>
          <w:szCs w:val="24"/>
          <w:lang w:val="es-MX"/>
        </w:rPr>
        <w:t xml:space="preserve">Li N, Jia X, Yuan M, 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Six-month Follow-up Chest CT Findings after Severe COVID-19 Pneumonia. </w:t>
      </w:r>
      <w:r w:rsidR="00E86B6C" w:rsidRPr="00E86B6C">
        <w:rPr>
          <w:rFonts w:ascii="Times New Roman" w:hAnsi="Times New Roman" w:cs="Times New Roman"/>
          <w:i/>
          <w:iCs/>
          <w:sz w:val="24"/>
          <w:szCs w:val="24"/>
          <w:lang w:val="es-MX"/>
        </w:rPr>
        <w:t>Radiology.</w:t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 xml:space="preserve"> 2021; </w:t>
      </w:r>
      <w:r w:rsidR="00E86B6C" w:rsidRPr="00E86B6C">
        <w:rPr>
          <w:rFonts w:ascii="Times New Roman" w:hAnsi="Times New Roman" w:cs="Times New Roman"/>
          <w:b/>
          <w:bCs/>
          <w:sz w:val="24"/>
          <w:szCs w:val="24"/>
          <w:lang w:val="es-MX"/>
        </w:rPr>
        <w:t>299</w:t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>: E177-86. doi: 10.1148/radiol.2021203153.</w:t>
      </w:r>
    </w:p>
    <w:p w14:paraId="7CBFE18E" w14:textId="77777777" w:rsidR="00E86B6C" w:rsidRPr="00D657B4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E1DD9">
        <w:rPr>
          <w:rFonts w:ascii="Times New Roman" w:hAnsi="Times New Roman" w:cs="Times New Roman"/>
          <w:sz w:val="24"/>
          <w:szCs w:val="24"/>
          <w:lang w:val="es-MX"/>
        </w:rPr>
        <w:t>14.</w:t>
      </w:r>
      <w:r w:rsidRPr="005E1DD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Bellan M, Soddu D, Balbo PE, </w:t>
      </w:r>
      <w:r w:rsidR="00E86B6C" w:rsidRPr="00D657B4">
        <w:rPr>
          <w:rFonts w:ascii="Times New Roman" w:hAnsi="Times New Roman" w:cs="Times New Roman"/>
          <w:sz w:val="24"/>
          <w:szCs w:val="24"/>
          <w:lang w:val="es-MX"/>
        </w:rPr>
        <w:t>Baricich A, Zeppegno P, Avanzi GC,</w:t>
      </w:r>
      <w:r w:rsidR="00E86B6C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Respiratory and Psychophysical Sequelae Among Patients With COVID-19 Four Months After Hospital Discharge. </w:t>
      </w:r>
      <w:r w:rsidR="00E86B6C" w:rsidRPr="00D657B4">
        <w:rPr>
          <w:rFonts w:ascii="Times New Roman" w:hAnsi="Times New Roman" w:cs="Times New Roman"/>
          <w:i/>
          <w:iCs/>
          <w:sz w:val="24"/>
          <w:szCs w:val="24"/>
        </w:rPr>
        <w:t>JAMA. Netw. Open.</w:t>
      </w:r>
      <w:r w:rsidR="00E86B6C" w:rsidRPr="00D657B4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D657B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86B6C" w:rsidRPr="00D657B4">
        <w:rPr>
          <w:rFonts w:ascii="Times New Roman" w:hAnsi="Times New Roman" w:cs="Times New Roman"/>
          <w:sz w:val="24"/>
          <w:szCs w:val="24"/>
        </w:rPr>
        <w:t>: e2036142. doi: 10.1001/jamanetworkopen.2020.36142.</w:t>
      </w:r>
    </w:p>
    <w:p w14:paraId="17CA603C" w14:textId="5A6CE13A" w:rsidR="008F6358" w:rsidRPr="00E86B6C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15.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Qin W, Chen S, Zhang Y, </w:t>
      </w:r>
      <w:r w:rsidR="00E86B6C" w:rsidRPr="00805B60">
        <w:rPr>
          <w:rFonts w:ascii="Times New Roman" w:hAnsi="Times New Roman" w:cs="Times New Roman"/>
          <w:sz w:val="24"/>
          <w:szCs w:val="24"/>
        </w:rPr>
        <w:t xml:space="preserve">Dong F, Zhang Z, Hu B,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Diffusion capacity abnormalities for carbon monoxide in patients with COVID-19 at 3-month follow-up.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Eur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Respir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="00E86B6C" w:rsidRPr="000E3A33">
        <w:rPr>
          <w:rFonts w:ascii="Times New Roman" w:hAnsi="Times New Roman" w:cs="Times New Roman"/>
          <w:sz w:val="24"/>
          <w:szCs w:val="24"/>
        </w:rPr>
        <w:t>: 2003677. doi: 10.1183/13993003.03677-2020.</w:t>
      </w:r>
    </w:p>
    <w:p w14:paraId="267E1CC8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7434CD">
        <w:rPr>
          <w:rFonts w:ascii="Times New Roman" w:hAnsi="Times New Roman" w:cs="Times New Roman"/>
          <w:sz w:val="24"/>
          <w:szCs w:val="24"/>
          <w:lang w:val="es-MX"/>
        </w:rPr>
        <w:t>16.</w:t>
      </w:r>
      <w:r w:rsidRPr="007434CD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Blanco JR, Cobos-Ceballos MJ, Navarro F, </w:t>
      </w:r>
      <w:r w:rsidR="00E86B6C" w:rsidRPr="00AB1C01">
        <w:rPr>
          <w:rFonts w:ascii="Times New Roman" w:hAnsi="Times New Roman" w:cs="Times New Roman"/>
          <w:sz w:val="24"/>
          <w:szCs w:val="24"/>
          <w:lang w:val="es-MX"/>
        </w:rPr>
        <w:t xml:space="preserve">Sanjoaquin I, Arnaiz de Las Revillas F, Bernal E, </w:t>
      </w:r>
      <w:r w:rsidR="00E86B6C" w:rsidRPr="000E3A33">
        <w:rPr>
          <w:rFonts w:ascii="Times New Roman" w:hAnsi="Times New Roman" w:cs="Times New Roman"/>
          <w:sz w:val="24"/>
          <w:szCs w:val="24"/>
          <w:lang w:val="es-MX"/>
        </w:rPr>
        <w:t xml:space="preserve">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Pulmonary long-term consequences of COVID-19 infections after hospital discharge.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Clin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Microbiol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Infect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E86B6C" w:rsidRPr="000E3A33">
        <w:rPr>
          <w:rFonts w:ascii="Times New Roman" w:hAnsi="Times New Roman" w:cs="Times New Roman"/>
          <w:sz w:val="24"/>
          <w:szCs w:val="24"/>
        </w:rPr>
        <w:t>: 892-6. doi: 10.1016/j.cmi.2021.02.019.</w:t>
      </w:r>
    </w:p>
    <w:p w14:paraId="0FCCFA8A" w14:textId="77777777" w:rsidR="00E86B6C" w:rsidRPr="00805B60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17.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Shah AS, Wong AW, Hague CJ, </w:t>
      </w:r>
      <w:r w:rsidR="00E86B6C" w:rsidRPr="00805B60">
        <w:rPr>
          <w:rFonts w:ascii="Times New Roman" w:hAnsi="Times New Roman" w:cs="Times New Roman"/>
          <w:sz w:val="24"/>
          <w:szCs w:val="24"/>
        </w:rPr>
        <w:t xml:space="preserve">Murphy DT, Johnston JC, Ryerson CJ,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A prospective study of 12-week respiratory outcomes in COVID-19-related hospitalisations. </w:t>
      </w:r>
      <w:r w:rsidR="00E86B6C" w:rsidRPr="00805B60">
        <w:rPr>
          <w:rFonts w:ascii="Times New Roman" w:hAnsi="Times New Roman" w:cs="Times New Roman"/>
          <w:i/>
          <w:iCs/>
          <w:sz w:val="24"/>
          <w:szCs w:val="24"/>
        </w:rPr>
        <w:t>Thorax.</w:t>
      </w:r>
      <w:r w:rsidR="00E86B6C" w:rsidRPr="00805B60">
        <w:rPr>
          <w:rFonts w:ascii="Times New Roman" w:hAnsi="Times New Roman" w:cs="Times New Roman"/>
          <w:sz w:val="24"/>
          <w:szCs w:val="24"/>
        </w:rPr>
        <w:t xml:space="preserve"> 2021; </w:t>
      </w:r>
      <w:r w:rsidR="00E86B6C" w:rsidRPr="00805B60">
        <w:rPr>
          <w:rFonts w:ascii="Times New Roman" w:hAnsi="Times New Roman" w:cs="Times New Roman"/>
          <w:b/>
          <w:bCs/>
          <w:sz w:val="24"/>
          <w:szCs w:val="24"/>
        </w:rPr>
        <w:t>76</w:t>
      </w:r>
      <w:r w:rsidR="00E86B6C" w:rsidRPr="00805B60">
        <w:rPr>
          <w:rFonts w:ascii="Times New Roman" w:hAnsi="Times New Roman" w:cs="Times New Roman"/>
          <w:sz w:val="24"/>
          <w:szCs w:val="24"/>
        </w:rPr>
        <w:t>: 402-4. doi: 10.1136/thoraxjnl-2020-216308.</w:t>
      </w:r>
    </w:p>
    <w:p w14:paraId="0940D6A5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62306D">
        <w:rPr>
          <w:rFonts w:ascii="Times New Roman" w:hAnsi="Times New Roman" w:cs="Times New Roman"/>
          <w:sz w:val="24"/>
          <w:szCs w:val="24"/>
        </w:rPr>
        <w:t>18.</w:t>
      </w:r>
      <w:r w:rsidRPr="0062306D">
        <w:rPr>
          <w:rFonts w:ascii="Times New Roman" w:hAnsi="Times New Roman" w:cs="Times New Roman"/>
          <w:sz w:val="24"/>
          <w:szCs w:val="24"/>
        </w:rPr>
        <w:tab/>
      </w:r>
      <w:r w:rsidR="00E86B6C" w:rsidRPr="00805B60">
        <w:rPr>
          <w:rFonts w:ascii="Times New Roman" w:hAnsi="Times New Roman" w:cs="Times New Roman"/>
          <w:sz w:val="24"/>
          <w:szCs w:val="24"/>
        </w:rPr>
        <w:t xml:space="preserve">Mo X, Jian W, Su Z, Chen M, Peng H, Peng P, 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Abnormal pulmonary function in COVID-19 patients at time of hospital discharge.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Eur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Respir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J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2020;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="00E86B6C" w:rsidRPr="000E3A33">
        <w:rPr>
          <w:rFonts w:ascii="Times New Roman" w:hAnsi="Times New Roman" w:cs="Times New Roman"/>
          <w:sz w:val="24"/>
          <w:szCs w:val="24"/>
        </w:rPr>
        <w:t>: 2001217. doi: 10.1183/13993003.01217-2020.</w:t>
      </w:r>
    </w:p>
    <w:p w14:paraId="2CF402E4" w14:textId="17773682" w:rsidR="00E86B6C" w:rsidRPr="00E86B6C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  <w:lang w:val="es-MX"/>
        </w:rPr>
      </w:pPr>
      <w:r w:rsidRPr="004729AE">
        <w:rPr>
          <w:rFonts w:ascii="Times New Roman" w:hAnsi="Times New Roman" w:cs="Times New Roman"/>
          <w:sz w:val="24"/>
          <w:szCs w:val="24"/>
        </w:rPr>
        <w:t>19.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Liang L, Yang B, Jiang N, </w:t>
      </w:r>
      <w:r w:rsidR="00E86B6C" w:rsidRPr="00805B60">
        <w:rPr>
          <w:rFonts w:ascii="Times New Roman" w:hAnsi="Times New Roman" w:cs="Times New Roman"/>
          <w:sz w:val="24"/>
          <w:szCs w:val="24"/>
        </w:rPr>
        <w:t xml:space="preserve">Fu W, He X, Zhou Y,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Three-month Follow-up Study of Survivors of Coronavirus Disease 2019 after Discharge. </w:t>
      </w:r>
      <w:r w:rsidR="00E86B6C" w:rsidRPr="00E86B6C">
        <w:rPr>
          <w:rFonts w:ascii="Times New Roman" w:hAnsi="Times New Roman" w:cs="Times New Roman"/>
          <w:i/>
          <w:iCs/>
          <w:sz w:val="24"/>
          <w:szCs w:val="24"/>
          <w:lang w:val="es-MX"/>
        </w:rPr>
        <w:t>J. Korean. Med. Sci.</w:t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 xml:space="preserve"> 2020; </w:t>
      </w:r>
      <w:r w:rsidR="00E86B6C" w:rsidRPr="00E86B6C">
        <w:rPr>
          <w:rFonts w:ascii="Times New Roman" w:hAnsi="Times New Roman" w:cs="Times New Roman"/>
          <w:b/>
          <w:bCs/>
          <w:sz w:val="24"/>
          <w:szCs w:val="24"/>
          <w:lang w:val="es-MX"/>
        </w:rPr>
        <w:t>35</w:t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>: e418. doi: 10.3346/jkms.2020.35.e418.</w:t>
      </w:r>
    </w:p>
    <w:p w14:paraId="5D933EAA" w14:textId="77777777" w:rsidR="00E86B6C" w:rsidRPr="000E3A33" w:rsidRDefault="008F6358" w:rsidP="00D53D56">
      <w:pPr>
        <w:pStyle w:val="EndNoteBibliography"/>
        <w:spacing w:after="0" w:line="48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5E1DD9">
        <w:rPr>
          <w:rFonts w:ascii="Times New Roman" w:hAnsi="Times New Roman" w:cs="Times New Roman"/>
          <w:sz w:val="24"/>
          <w:szCs w:val="24"/>
          <w:lang w:val="es-MX"/>
        </w:rPr>
        <w:lastRenderedPageBreak/>
        <w:t>20.</w:t>
      </w:r>
      <w:r w:rsidRPr="005E1DD9">
        <w:rPr>
          <w:rFonts w:ascii="Times New Roman" w:hAnsi="Times New Roman" w:cs="Times New Roman"/>
          <w:sz w:val="24"/>
          <w:szCs w:val="24"/>
          <w:lang w:val="es-MX"/>
        </w:rPr>
        <w:tab/>
      </w:r>
      <w:r w:rsidR="00E86B6C" w:rsidRPr="00E86B6C">
        <w:rPr>
          <w:rFonts w:ascii="Times New Roman" w:hAnsi="Times New Roman" w:cs="Times New Roman"/>
          <w:sz w:val="24"/>
          <w:szCs w:val="24"/>
          <w:lang w:val="es-MX"/>
        </w:rPr>
        <w:t xml:space="preserve">Huang Y, Tan C, Wu J, Chen M, Wang Z, Luo L, et al.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Impact of coronavirus disease 2019 on pulmonary function in early convalescence phase.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Respir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Res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2020;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E86B6C" w:rsidRPr="000E3A33">
        <w:rPr>
          <w:rFonts w:ascii="Times New Roman" w:hAnsi="Times New Roman" w:cs="Times New Roman"/>
          <w:sz w:val="24"/>
          <w:szCs w:val="24"/>
        </w:rPr>
        <w:t>: 163. doi: 10.1186/s12931-020-01429-6.</w:t>
      </w:r>
    </w:p>
    <w:p w14:paraId="236A6938" w14:textId="77777777" w:rsidR="00E86B6C" w:rsidRPr="000E3A33" w:rsidRDefault="008F6358" w:rsidP="00E86B6C">
      <w:pPr>
        <w:pStyle w:val="EndNoteBibliography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21.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Liu K, Zhang W, Yang Y, </w:t>
      </w:r>
      <w:r w:rsidR="00E86B6C" w:rsidRPr="00805B60">
        <w:rPr>
          <w:rFonts w:ascii="Times New Roman" w:hAnsi="Times New Roman" w:cs="Times New Roman"/>
          <w:sz w:val="24"/>
          <w:szCs w:val="24"/>
        </w:rPr>
        <w:t>Zhang J, Li Y, Chen Y.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Respiratory rehabilitation in elderly patients with COVID-19: A randomized controlled study. 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>Complement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Ther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Clin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i/>
          <w:iCs/>
          <w:sz w:val="24"/>
          <w:szCs w:val="24"/>
        </w:rPr>
        <w:t xml:space="preserve"> Pract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 2020; </w:t>
      </w:r>
      <w:r w:rsidR="00E86B6C" w:rsidRPr="000E3A33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E86B6C" w:rsidRPr="000E3A33">
        <w:rPr>
          <w:rFonts w:ascii="Times New Roman" w:hAnsi="Times New Roman" w:cs="Times New Roman"/>
          <w:sz w:val="24"/>
          <w:szCs w:val="24"/>
        </w:rPr>
        <w:t>: 101166. doi: 10.1016/j.ctcp.2020.101166.</w:t>
      </w:r>
    </w:p>
    <w:p w14:paraId="4BB45DC5" w14:textId="77777777" w:rsidR="00E86B6C" w:rsidRPr="00E86B6C" w:rsidRDefault="008F6358" w:rsidP="00E86B6C">
      <w:pPr>
        <w:pStyle w:val="EndNoteBibliography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22.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Zhao YM, Shang YM, Song WB, </w:t>
      </w:r>
      <w:r w:rsidR="00E86B6C" w:rsidRPr="00805B60">
        <w:rPr>
          <w:rFonts w:ascii="Times New Roman" w:hAnsi="Times New Roman" w:cs="Times New Roman"/>
          <w:sz w:val="24"/>
          <w:szCs w:val="24"/>
        </w:rPr>
        <w:t xml:space="preserve">Li QQ, Xie H, Xu QF, </w:t>
      </w:r>
      <w:r w:rsidR="00E86B6C" w:rsidRPr="000E3A33">
        <w:rPr>
          <w:rFonts w:ascii="Times New Roman" w:hAnsi="Times New Roman" w:cs="Times New Roman"/>
          <w:sz w:val="24"/>
          <w:szCs w:val="24"/>
        </w:rPr>
        <w:t xml:space="preserve">et al. Follow-up study of the pulmonary function and related physiological characteristics of COVID-19 survivors three months after recovery. </w:t>
      </w:r>
      <w:r w:rsidR="00E86B6C" w:rsidRPr="00E86B6C">
        <w:rPr>
          <w:rFonts w:ascii="Times New Roman" w:hAnsi="Times New Roman" w:cs="Times New Roman"/>
          <w:i/>
          <w:iCs/>
          <w:sz w:val="24"/>
          <w:szCs w:val="24"/>
        </w:rPr>
        <w:t>EClinicalMedicine.</w:t>
      </w:r>
      <w:r w:rsidR="00E86B6C" w:rsidRPr="00E86B6C">
        <w:rPr>
          <w:rFonts w:ascii="Times New Roman" w:hAnsi="Times New Roman" w:cs="Times New Roman"/>
          <w:sz w:val="24"/>
          <w:szCs w:val="24"/>
        </w:rPr>
        <w:t xml:space="preserve"> 2020; </w:t>
      </w:r>
      <w:r w:rsidR="00E86B6C" w:rsidRPr="00E86B6C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E86B6C" w:rsidRPr="00E86B6C">
        <w:rPr>
          <w:rFonts w:ascii="Times New Roman" w:hAnsi="Times New Roman" w:cs="Times New Roman"/>
          <w:sz w:val="24"/>
          <w:szCs w:val="24"/>
        </w:rPr>
        <w:t>: 100463.</w:t>
      </w:r>
      <w:r w:rsidR="00E86B6C" w:rsidRPr="00E86B6C">
        <w:rPr>
          <w:sz w:val="24"/>
          <w:szCs w:val="24"/>
        </w:rPr>
        <w:t xml:space="preserve"> </w:t>
      </w:r>
      <w:r w:rsidR="00E86B6C" w:rsidRPr="00E86B6C">
        <w:rPr>
          <w:rFonts w:ascii="Times New Roman" w:hAnsi="Times New Roman" w:cs="Times New Roman"/>
          <w:sz w:val="24"/>
          <w:szCs w:val="24"/>
        </w:rPr>
        <w:t>doi: 10.1016/j.eclinm.2020.100463.</w:t>
      </w:r>
    </w:p>
    <w:p w14:paraId="0AC7C2C5" w14:textId="42299D00" w:rsidR="008F6358" w:rsidRPr="004729AE" w:rsidRDefault="008F6358" w:rsidP="008F6358">
      <w:pPr>
        <w:pStyle w:val="EndNoteBibliography"/>
        <w:spacing w:after="0"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23.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Pr="00722C6B">
        <w:rPr>
          <w:rFonts w:ascii="Times New Roman" w:hAnsi="Times New Roman" w:cs="Times New Roman"/>
          <w:sz w:val="24"/>
          <w:szCs w:val="24"/>
        </w:rPr>
        <w:t xml:space="preserve">Campbell I. Chi-squared and Fisher-Irwin tests of two-by-two tables with small sample recommendations. 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>Stat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 xml:space="preserve"> Med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sz w:val="24"/>
          <w:szCs w:val="24"/>
        </w:rPr>
        <w:t xml:space="preserve"> 2007; </w:t>
      </w:r>
      <w:r w:rsidRPr="00722C6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722C6B">
        <w:rPr>
          <w:rFonts w:ascii="Times New Roman" w:hAnsi="Times New Roman" w:cs="Times New Roman"/>
          <w:sz w:val="24"/>
          <w:szCs w:val="24"/>
        </w:rPr>
        <w:t>: 3661-75. doi: 10.1002/sim.2832.</w:t>
      </w:r>
    </w:p>
    <w:p w14:paraId="468C7FB1" w14:textId="3FB6C712" w:rsidR="000D1B6C" w:rsidRPr="008F6358" w:rsidRDefault="008F6358" w:rsidP="008F6358">
      <w:pPr>
        <w:pStyle w:val="EndNoteBibliography"/>
        <w:spacing w:line="48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29AE">
        <w:rPr>
          <w:rFonts w:ascii="Times New Roman" w:hAnsi="Times New Roman" w:cs="Times New Roman"/>
          <w:sz w:val="24"/>
          <w:szCs w:val="24"/>
        </w:rPr>
        <w:t>24.</w:t>
      </w:r>
      <w:r w:rsidRPr="004729AE">
        <w:rPr>
          <w:rFonts w:ascii="Times New Roman" w:hAnsi="Times New Roman" w:cs="Times New Roman"/>
          <w:sz w:val="24"/>
          <w:szCs w:val="24"/>
        </w:rPr>
        <w:tab/>
      </w:r>
      <w:r w:rsidRPr="00722C6B">
        <w:rPr>
          <w:rFonts w:ascii="Times New Roman" w:hAnsi="Times New Roman" w:cs="Times New Roman"/>
          <w:sz w:val="24"/>
          <w:szCs w:val="24"/>
        </w:rPr>
        <w:t xml:space="preserve">Benjamini Y, Hochberg Y. Controlling the false discovery rate: a practical and powerful approach to multiple testing. 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 xml:space="preserve"> Royal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 xml:space="preserve"> Stat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 xml:space="preserve"> Soc</w:t>
      </w:r>
      <w:r w:rsidR="00E86B6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2C6B">
        <w:rPr>
          <w:rFonts w:ascii="Times New Roman" w:hAnsi="Times New Roman" w:cs="Times New Roman"/>
          <w:i/>
          <w:iCs/>
          <w:sz w:val="24"/>
          <w:szCs w:val="24"/>
        </w:rPr>
        <w:t xml:space="preserve"> B</w:t>
      </w:r>
      <w:r w:rsidRPr="00722C6B">
        <w:rPr>
          <w:rFonts w:ascii="Times New Roman" w:hAnsi="Times New Roman" w:cs="Times New Roman"/>
          <w:sz w:val="24"/>
          <w:szCs w:val="24"/>
        </w:rPr>
        <w:t xml:space="preserve"> 1995; </w:t>
      </w:r>
      <w:r w:rsidRPr="00722C6B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Pr="00722C6B">
        <w:rPr>
          <w:rFonts w:ascii="Times New Roman" w:hAnsi="Times New Roman" w:cs="Times New Roman"/>
          <w:sz w:val="24"/>
          <w:szCs w:val="24"/>
        </w:rPr>
        <w:t>: 289-300.</w:t>
      </w:r>
    </w:p>
    <w:sectPr w:rsidR="000D1B6C" w:rsidRPr="008F6358" w:rsidSect="00AD2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19A63" w14:textId="77777777" w:rsidR="00A520A4" w:rsidRDefault="00A520A4" w:rsidP="000D1B6C">
      <w:pPr>
        <w:spacing w:after="0" w:line="240" w:lineRule="auto"/>
      </w:pPr>
      <w:r>
        <w:separator/>
      </w:r>
    </w:p>
  </w:endnote>
  <w:endnote w:type="continuationSeparator" w:id="0">
    <w:p w14:paraId="3CA00433" w14:textId="77777777" w:rsidR="00A520A4" w:rsidRDefault="00A520A4" w:rsidP="000D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9742E" w14:textId="77777777" w:rsidR="00A520A4" w:rsidRDefault="00A520A4" w:rsidP="000D1B6C">
      <w:pPr>
        <w:spacing w:after="0" w:line="240" w:lineRule="auto"/>
      </w:pPr>
      <w:r>
        <w:separator/>
      </w:r>
    </w:p>
  </w:footnote>
  <w:footnote w:type="continuationSeparator" w:id="0">
    <w:p w14:paraId="0B1D2AF5" w14:textId="77777777" w:rsidR="00A520A4" w:rsidRDefault="00A520A4" w:rsidP="000D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4186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677DA41" w14:textId="1E038FC7" w:rsidR="000D1B6C" w:rsidRDefault="000D1B6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4033C" w14:textId="77777777" w:rsidR="000D1B6C" w:rsidRDefault="000D1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3MDAyt7A0NzA3NTZT0lEKTi0uzszPAykwrwUAKhE9m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Respiratory J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axdaaxdbzdvzyedzr4xz057p5rfe20esssd&quot;&gt;Zavorsky_EndNote_Library&lt;record-ids&gt;&lt;item&gt;8581&lt;/item&gt;&lt;item&gt;23575&lt;/item&gt;&lt;item&gt;23576&lt;/item&gt;&lt;item&gt;23715&lt;/item&gt;&lt;item&gt;23734&lt;/item&gt;&lt;item&gt;23735&lt;/item&gt;&lt;item&gt;23736&lt;/item&gt;&lt;item&gt;23745&lt;/item&gt;&lt;item&gt;23746&lt;/item&gt;&lt;item&gt;23747&lt;/item&gt;&lt;item&gt;23748&lt;/item&gt;&lt;item&gt;23749&lt;/item&gt;&lt;item&gt;23758&lt;/item&gt;&lt;item&gt;23759&lt;/item&gt;&lt;item&gt;23760&lt;/item&gt;&lt;item&gt;23762&lt;/item&gt;&lt;item&gt;23763&lt;/item&gt;&lt;item&gt;23764&lt;/item&gt;&lt;item&gt;23765&lt;/item&gt;&lt;item&gt;23766&lt;/item&gt;&lt;item&gt;23767&lt;/item&gt;&lt;item&gt;23769&lt;/item&gt;&lt;item&gt;23770&lt;/item&gt;&lt;item&gt;23773&lt;/item&gt;&lt;/record-ids&gt;&lt;/item&gt;&lt;/Libraries&gt;"/>
  </w:docVars>
  <w:rsids>
    <w:rsidRoot w:val="000D1B6C"/>
    <w:rsid w:val="00003187"/>
    <w:rsid w:val="0004773D"/>
    <w:rsid w:val="0005461A"/>
    <w:rsid w:val="000D1B6C"/>
    <w:rsid w:val="000D2636"/>
    <w:rsid w:val="000D3158"/>
    <w:rsid w:val="00100870"/>
    <w:rsid w:val="00122402"/>
    <w:rsid w:val="00144E24"/>
    <w:rsid w:val="00177347"/>
    <w:rsid w:val="001B76FD"/>
    <w:rsid w:val="002271CC"/>
    <w:rsid w:val="0024381F"/>
    <w:rsid w:val="002E3EA5"/>
    <w:rsid w:val="00364D4B"/>
    <w:rsid w:val="00395A00"/>
    <w:rsid w:val="003E7D3C"/>
    <w:rsid w:val="004729AE"/>
    <w:rsid w:val="00476F96"/>
    <w:rsid w:val="00637790"/>
    <w:rsid w:val="006446A2"/>
    <w:rsid w:val="00656F86"/>
    <w:rsid w:val="00681F4D"/>
    <w:rsid w:val="006B0B76"/>
    <w:rsid w:val="006C1DD4"/>
    <w:rsid w:val="006D0A91"/>
    <w:rsid w:val="006D43A5"/>
    <w:rsid w:val="007266E3"/>
    <w:rsid w:val="00752B95"/>
    <w:rsid w:val="00835E47"/>
    <w:rsid w:val="00861C22"/>
    <w:rsid w:val="00890DF7"/>
    <w:rsid w:val="008B2181"/>
    <w:rsid w:val="008D01B3"/>
    <w:rsid w:val="008F6358"/>
    <w:rsid w:val="00907B88"/>
    <w:rsid w:val="0091181E"/>
    <w:rsid w:val="00915337"/>
    <w:rsid w:val="00997F80"/>
    <w:rsid w:val="00A01010"/>
    <w:rsid w:val="00A041FD"/>
    <w:rsid w:val="00A20467"/>
    <w:rsid w:val="00A24B0E"/>
    <w:rsid w:val="00A26BFE"/>
    <w:rsid w:val="00A400F0"/>
    <w:rsid w:val="00A520A4"/>
    <w:rsid w:val="00AA3BFB"/>
    <w:rsid w:val="00AB6175"/>
    <w:rsid w:val="00AC0024"/>
    <w:rsid w:val="00AD0D10"/>
    <w:rsid w:val="00AD2E7A"/>
    <w:rsid w:val="00B26B94"/>
    <w:rsid w:val="00B3171A"/>
    <w:rsid w:val="00B355A2"/>
    <w:rsid w:val="00B5701E"/>
    <w:rsid w:val="00B71017"/>
    <w:rsid w:val="00B924BB"/>
    <w:rsid w:val="00BE203A"/>
    <w:rsid w:val="00BF57A5"/>
    <w:rsid w:val="00C22A15"/>
    <w:rsid w:val="00C64FCB"/>
    <w:rsid w:val="00CF3638"/>
    <w:rsid w:val="00CF78C3"/>
    <w:rsid w:val="00D05F65"/>
    <w:rsid w:val="00D53D56"/>
    <w:rsid w:val="00D81A7A"/>
    <w:rsid w:val="00E6246C"/>
    <w:rsid w:val="00E6598B"/>
    <w:rsid w:val="00E73BDA"/>
    <w:rsid w:val="00E86B6C"/>
    <w:rsid w:val="00EB2E5F"/>
    <w:rsid w:val="00EE6AD5"/>
    <w:rsid w:val="00F6003D"/>
    <w:rsid w:val="00F70814"/>
    <w:rsid w:val="00F743A7"/>
    <w:rsid w:val="00F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A4360D"/>
  <w15:chartTrackingRefBased/>
  <w15:docId w15:val="{A392AD6E-2137-4B5D-8525-66B5DE8D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99"/>
    <w:rsid w:val="000D1B6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xmsonormal">
    <w:name w:val="x_msonormal"/>
    <w:basedOn w:val="Normal"/>
    <w:rsid w:val="000D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Strong">
    <w:name w:val="Strong"/>
    <w:basedOn w:val="DefaultParagraphFont"/>
    <w:uiPriority w:val="22"/>
    <w:qFormat/>
    <w:rsid w:val="000D1B6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D1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B6C"/>
  </w:style>
  <w:style w:type="paragraph" w:styleId="Footer">
    <w:name w:val="footer"/>
    <w:basedOn w:val="Normal"/>
    <w:link w:val="FooterChar"/>
    <w:uiPriority w:val="99"/>
    <w:unhideWhenUsed/>
    <w:rsid w:val="000D1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B6C"/>
  </w:style>
  <w:style w:type="paragraph" w:customStyle="1" w:styleId="EndNoteBibliographyTitle">
    <w:name w:val="EndNote Bibliography Title"/>
    <w:basedOn w:val="Normal"/>
    <w:link w:val="EndNoteBibliographyTitleChar"/>
    <w:rsid w:val="0005461A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461A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5461A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05461A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B3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F708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1711</Words>
  <Characters>9755</Characters>
  <Application>Microsoft Office Word</Application>
  <DocSecurity>0</DocSecurity>
  <Lines>81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Zavorsky</dc:creator>
  <cp:keywords/>
  <dc:description/>
  <cp:lastModifiedBy>Gerald S Zavorsky PhD</cp:lastModifiedBy>
  <cp:revision>5</cp:revision>
  <dcterms:created xsi:type="dcterms:W3CDTF">2021-11-29T01:19:00Z</dcterms:created>
  <dcterms:modified xsi:type="dcterms:W3CDTF">2021-11-29T02:30:00Z</dcterms:modified>
</cp:coreProperties>
</file>