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1D5AE" w14:textId="77777777" w:rsidR="0082512A" w:rsidRDefault="00D64D03">
      <w:pPr>
        <w:pStyle w:val="Titolo"/>
      </w:pPr>
      <w:r>
        <w:t>Supplementary material for semiconductor spin magnetometers in astronomical instrumentation</w:t>
      </w:r>
    </w:p>
    <w:p w14:paraId="015F5206" w14:textId="77777777" w:rsidR="0082512A" w:rsidRDefault="00D64D03">
      <w:pPr>
        <w:pStyle w:val="FirstParagraph"/>
      </w:pPr>
      <w:r>
        <w:rPr>
          <w:b/>
          <w:bCs/>
        </w:rPr>
        <w:t>Accompanying manuscript:</w:t>
      </w:r>
      <w:r>
        <w:t xml:space="preserve"> Calibration aware limits of semiconductor spin magnetometers for astronomical instrumentation</w:t>
      </w:r>
    </w:p>
    <w:p w14:paraId="40DA738A" w14:textId="77777777" w:rsidR="0082512A" w:rsidRDefault="00D64D03">
      <w:pPr>
        <w:pStyle w:val="Corpotesto"/>
      </w:pPr>
      <w:r>
        <w:rPr>
          <w:b/>
          <w:bCs/>
        </w:rPr>
        <w:t>Author:</w:t>
      </w:r>
      <w:r>
        <w:t xml:space="preserve"> Baldo Alberto Luigi Dalporto</w:t>
      </w:r>
    </w:p>
    <w:p w14:paraId="178F5A4A" w14:textId="77777777" w:rsidR="0082512A" w:rsidRDefault="00D64D03">
      <w:pPr>
        <w:pStyle w:val="Corpotesto"/>
      </w:pPr>
      <w:r>
        <w:rPr>
          <w:b/>
          <w:bCs/>
        </w:rPr>
        <w:t>Affiliation:</w:t>
      </w:r>
      <w:r>
        <w:t xml:space="preserve"> Instituto Tecnológico de Santo Domingo (INTEC), Santo Domingo, Dominican Republic</w:t>
      </w:r>
    </w:p>
    <w:p w14:paraId="71879010" w14:textId="77777777" w:rsidR="0082512A" w:rsidRDefault="00D64D03">
      <w:pPr>
        <w:pStyle w:val="Corpotesto"/>
      </w:pPr>
      <w:r>
        <w:rPr>
          <w:b/>
          <w:bCs/>
        </w:rPr>
        <w:t>Additional file 1 — Analytical reproduction package</w:t>
      </w:r>
    </w:p>
    <w:p w14:paraId="78AEA514" w14:textId="77777777" w:rsidR="0082512A" w:rsidRDefault="00D64D03">
      <w:pPr>
        <w:pStyle w:val="Corpotesto"/>
      </w:pPr>
      <w:r>
        <w:t>This document explains the analytical calculations and deterministic numerical checks supporting the accompanying Research article. It is included in the Additional file 1 archive together with the executable script, numerical outputs, and original figures. All dimensional inputs below are design assumptions. No laboratory measurements, prototype tests, field trials, or astronomical observations are reported. Equations numbered S1–S9 belong to this supplement; unprefixed equation and figure numbers refer to</w:t>
      </w:r>
      <w:r>
        <w:t xml:space="preserve"> the main manuscript.</w:t>
      </w:r>
    </w:p>
    <w:p w14:paraId="5EFFE66D" w14:textId="77777777" w:rsidR="0082512A" w:rsidRDefault="00D64D03">
      <w:pPr>
        <w:pStyle w:val="Titolo1"/>
      </w:pPr>
      <w:bookmarkStart w:id="0" w:name="X446e7cb61d81c89bfc8b3f8d8549a6d683f3d5f"/>
      <w:r>
        <w:t>S1 Scalar correction and the meaning of the guarantee</w:t>
      </w:r>
    </w:p>
    <w:p w14:paraId="1A37CEAC" w14:textId="77777777" w:rsidR="0082512A" w:rsidRDefault="00D64D03">
      <w:pPr>
        <w:pStyle w:val="FirstParagraph"/>
      </w:pPr>
      <w:r>
        <w:t>The science channel and magnetic witness obey</w:t>
      </w:r>
    </w:p>
    <w:p w14:paraId="6A00659D" w14:textId="77777777" w:rsidR="0082512A" w:rsidRDefault="00D64D03">
      <w:pPr>
        <w:pStyle w:val="Corpotesto"/>
        <w:keepLines/>
        <w:spacing w:before="120" w:after="160" w:line="264" w:lineRule="auto"/>
      </w:pPr>
      <m:oMathPara>
        <m:oMathParaPr>
          <m:jc m:val="center"/>
        </m:oMathParaPr>
        <m:oMath>
          <m:r>
            <w:rPr>
              <w:rFonts w:ascii="Cambria Math" w:hAnsi="Cambria Math"/>
            </w:rPr>
            <m:t>z</m:t>
          </m:r>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kb</m:t>
          </m:r>
          <m:r>
            <m:rPr>
              <m:sty m:val="p"/>
            </m:rPr>
            <w:rPr>
              <w:rFonts w:ascii="Cambria Math" w:hAnsi="Cambria Math"/>
            </w:rPr>
            <m:t>+</m:t>
          </m:r>
          <m:r>
            <w:rPr>
              <w:rFonts w:ascii="Cambria Math" w:hAnsi="Cambria Math"/>
            </w:rPr>
            <m:t>ϵ</m:t>
          </m:r>
          <m:r>
            <m:rPr>
              <m:sty m:val="p"/>
            </m:rPr>
            <w:rPr>
              <w:rFonts w:ascii="Cambria Math" w:hAnsi="Cambria Math"/>
            </w:rPr>
            <m:t>,</m:t>
          </m:r>
          <m:r>
            <w:rPr>
              <w:rFonts w:ascii="Cambria Math" w:hAnsi="Cambria Math"/>
            </w:rPr>
            <m:t>  </m:t>
          </m:r>
          <m:r>
            <w:rPr>
              <w:rFonts w:ascii="Cambria Math" w:hAnsi="Cambria Math"/>
            </w:rPr>
            <m:t>y</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  </m:t>
          </m:r>
          <m:r>
            <m:rPr>
              <m:nor/>
            </m:rPr>
            <m:t>(S1)</m:t>
          </m:r>
        </m:oMath>
      </m:oMathPara>
    </w:p>
    <w:p w14:paraId="2C471CAA" w14:textId="77777777" w:rsidR="0082512A" w:rsidRDefault="00D64D03">
      <w:pPr>
        <w:pStyle w:val="FirstParagraph"/>
      </w:pPr>
      <w:r>
        <w:t>The magnetic fluctuation b, witness noise n, and remaining instrument error ε have zero means and are pairwise uncorrelated. Their variances are p &gt; 0, r ≥ 0, and σ₀², respectively. The coupling k is constant over the inference window. The correction coefficient w is fixed using information independent of that science interval. For the corrected estimate z − wy, the reduction in mean-square error relative to the uncorrected channel at the same k is</w:t>
      </w:r>
    </w:p>
    <w:p w14:paraId="3F237D6D" w14:textId="77777777" w:rsidR="0082512A" w:rsidRDefault="00D64D03">
      <w:pPr>
        <w:pStyle w:val="Corpotesto"/>
        <w:keepLines/>
        <w:spacing w:before="120" w:after="160" w:line="264" w:lineRule="auto"/>
      </w:pPr>
      <m:oMathPara>
        <m:oMathParaPr>
          <m:jc m:val="center"/>
        </m:oMathParaPr>
        <m:oMath>
          <m:r>
            <w:rPr>
              <w:rFonts w:ascii="Cambria Math" w:hAnsi="Cambria Math"/>
            </w:rPr>
            <m:t>Δ</m:t>
          </m:r>
          <m:d>
            <m:dPr>
              <m:ctrlPr>
                <w:rPr>
                  <w:rFonts w:ascii="Cambria Math" w:hAnsi="Cambria Math"/>
                </w:rPr>
              </m:ctrlPr>
            </m:dPr>
            <m:e>
              <m:r>
                <w:rPr>
                  <w:rFonts w:ascii="Cambria Math" w:hAnsi="Cambria Math"/>
                </w:rPr>
                <m:t>w</m:t>
              </m:r>
              <m:r>
                <m:rPr>
                  <m:sty m:val="p"/>
                </m:rPr>
                <w:rPr>
                  <w:rFonts w:ascii="Cambria Math" w:hAnsi="Cambria Math"/>
                </w:rPr>
                <m:t>;</m:t>
              </m:r>
              <m:r>
                <w:rPr>
                  <w:rFonts w:ascii="Cambria Math" w:hAnsi="Cambria Math"/>
                </w:rPr>
                <m:t>k</m:t>
              </m:r>
            </m:e>
          </m:d>
          <m:r>
            <m:rPr>
              <m:sty m:val="p"/>
            </m:rPr>
            <w:rPr>
              <w:rFonts w:ascii="Cambria Math" w:hAnsi="Cambria Math"/>
            </w:rPr>
            <m:t>=</m:t>
          </m:r>
          <m:r>
            <w:rPr>
              <w:rFonts w:ascii="Cambria Math" w:hAnsi="Cambria Math"/>
            </w:rPr>
            <m:t>2</m:t>
          </m:r>
          <m:r>
            <w:rPr>
              <w:rFonts w:ascii="Cambria Math" w:hAnsi="Cambria Math"/>
            </w:rPr>
            <m:t>pkw</m:t>
          </m:r>
          <m:r>
            <m:rPr>
              <m:sty m:val="p"/>
            </m:rPr>
            <w:rPr>
              <w:rFonts w:ascii="Cambria Math" w:hAnsi="Cambria Math"/>
            </w:rPr>
            <m:t>-</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r</m:t>
              </m:r>
            </m:e>
          </m:d>
          <m:sSup>
            <m:sSupPr>
              <m:ctrlPr>
                <w:rPr>
                  <w:rFonts w:ascii="Cambria Math" w:hAnsi="Cambria Math"/>
                </w:rPr>
              </m:ctrlPr>
            </m:sSupPr>
            <m:e>
              <m:r>
                <w:rPr>
                  <w:rFonts w:ascii="Cambria Math" w:hAnsi="Cambria Math"/>
                </w:rPr>
                <m:t>w</m:t>
              </m:r>
            </m:e>
            <m:sup>
              <m:r>
                <w:rPr>
                  <w:rFonts w:ascii="Cambria Math" w:hAnsi="Cambria Math"/>
                </w:rPr>
                <m:t>2</m:t>
              </m:r>
            </m:sup>
          </m:sSup>
          <m:r>
            <m:rPr>
              <m:sty m:val="p"/>
            </m:rPr>
            <w:rPr>
              <w:rFonts w:ascii="Cambria Math" w:hAnsi="Cambria Math"/>
            </w:rPr>
            <m:t>.</m:t>
          </m:r>
          <m:r>
            <w:rPr>
              <w:rFonts w:ascii="Cambria Math" w:hAnsi="Cambria Math"/>
            </w:rPr>
            <m:t>  </m:t>
          </m:r>
          <m:r>
            <m:rPr>
              <m:nor/>
            </m:rPr>
            <m:t>(S2)</m:t>
          </m:r>
        </m:oMath>
      </m:oMathPara>
    </w:p>
    <w:p w14:paraId="4F8F8601" w14:textId="77777777" w:rsidR="0082512A" w:rsidRDefault="00D64D03">
      <w:pPr>
        <w:pStyle w:val="FirstParagraph"/>
      </w:pPr>
      <w:r>
        <w:t>For k in the closed interval [k₀ − δ, k₀ + δ], δ ≥ 0, minimization over k gives</w:t>
      </w:r>
    </w:p>
    <w:p w14:paraId="5014B22C" w14:textId="77777777" w:rsidR="0082512A" w:rsidRDefault="00D64D03">
      <w:pPr>
        <w:pStyle w:val="Corpotesto"/>
        <w:keepLines/>
        <w:spacing w:before="120" w:after="160" w:line="264" w:lineRule="auto"/>
      </w:pPr>
      <m:oMathPara>
        <m:oMathParaPr>
          <m:jc m:val="center"/>
        </m:oMathParaPr>
        <m:oMath>
          <m:r>
            <w:rPr>
              <w:rFonts w:ascii="Cambria Math" w:hAnsi="Cambria Math"/>
            </w:rPr>
            <m:t>G</m:t>
          </m:r>
          <m:d>
            <m:dPr>
              <m:ctrlPr>
                <w:rPr>
                  <w:rFonts w:ascii="Cambria Math" w:hAnsi="Cambria Math"/>
                </w:rPr>
              </m:ctrlPr>
            </m:dPr>
            <m:e>
              <m:r>
                <w:rPr>
                  <w:rFonts w:ascii="Cambria Math" w:hAnsi="Cambria Math"/>
                </w:rPr>
                <m:t>w</m:t>
              </m:r>
            </m:e>
          </m:d>
          <m:r>
            <m:rPr>
              <m:sty m:val="p"/>
            </m:rPr>
            <w:rPr>
              <w:rFonts w:ascii="Cambria Math" w:hAnsi="Cambria Math"/>
            </w:rPr>
            <m:t>=</m:t>
          </m:r>
          <m:r>
            <w:rPr>
              <w:rFonts w:ascii="Cambria Math" w:hAnsi="Cambria Math"/>
            </w:rPr>
            <m:t>2</m:t>
          </m:r>
          <m:r>
            <w:rPr>
              <w:rFonts w:ascii="Cambria Math" w:hAnsi="Cambria Math"/>
            </w:rPr>
            <m:t>p</m:t>
          </m:r>
          <m:sSub>
            <m:sSubPr>
              <m:ctrlPr>
                <w:rPr>
                  <w:rFonts w:ascii="Cambria Math" w:hAnsi="Cambria Math"/>
                </w:rPr>
              </m:ctrlPr>
            </m:sSubPr>
            <m:e>
              <m:r>
                <w:rPr>
                  <w:rFonts w:ascii="Cambria Math" w:hAnsi="Cambria Math"/>
                </w:rPr>
                <m:t>k</m:t>
              </m:r>
            </m:e>
            <m:sub>
              <m:r>
                <w:rPr>
                  <w:rFonts w:ascii="Cambria Math" w:hAnsi="Cambria Math"/>
                </w:rPr>
                <m:t>0</m:t>
              </m:r>
            </m:sub>
          </m:sSub>
          <m:r>
            <w:rPr>
              <w:rFonts w:ascii="Cambria Math" w:hAnsi="Cambria Math"/>
            </w:rPr>
            <m:t>w</m:t>
          </m:r>
          <m:r>
            <m:rPr>
              <m:sty m:val="p"/>
            </m:rPr>
            <w:rPr>
              <w:rFonts w:ascii="Cambria Math" w:hAnsi="Cambria Math"/>
            </w:rPr>
            <m:t>-</m:t>
          </m:r>
          <m:r>
            <w:rPr>
              <w:rFonts w:ascii="Cambria Math" w:hAnsi="Cambria Math"/>
            </w:rPr>
            <m:t>2</m:t>
          </m:r>
          <m:r>
            <w:rPr>
              <w:rFonts w:ascii="Cambria Math" w:hAnsi="Cambria Math"/>
            </w:rPr>
            <m:t>pδ</m:t>
          </m:r>
          <m:r>
            <m:rPr>
              <m:sty m:val="p"/>
            </m:rPr>
            <w:rPr>
              <w:rFonts w:ascii="Cambria Math" w:hAnsi="Cambria Math"/>
            </w:rPr>
            <m:t>|</m:t>
          </m:r>
          <m:r>
            <w:rPr>
              <w:rFonts w:ascii="Cambria Math" w:hAnsi="Cambria Math"/>
            </w:rPr>
            <m:t>w</m:t>
          </m:r>
          <m:r>
            <m:rPr>
              <m:sty m:val="p"/>
            </m:rPr>
            <w:rPr>
              <w:rFonts w:ascii="Cambria Math" w:hAnsi="Cambria Math"/>
            </w:rPr>
            <m:t>|-</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r</m:t>
              </m:r>
            </m:e>
          </m:d>
          <m:sSup>
            <m:sSupPr>
              <m:ctrlPr>
                <w:rPr>
                  <w:rFonts w:ascii="Cambria Math" w:hAnsi="Cambria Math"/>
                </w:rPr>
              </m:ctrlPr>
            </m:sSupPr>
            <m:e>
              <m:r>
                <w:rPr>
                  <w:rFonts w:ascii="Cambria Math" w:hAnsi="Cambria Math"/>
                </w:rPr>
                <m:t>w</m:t>
              </m:r>
            </m:e>
            <m:sup>
              <m:r>
                <w:rPr>
                  <w:rFonts w:ascii="Cambria Math" w:hAnsi="Cambria Math"/>
                </w:rPr>
                <m:t>2</m:t>
              </m:r>
            </m:sup>
          </m:sSup>
          <m:r>
            <m:rPr>
              <m:sty m:val="p"/>
            </m:rPr>
            <w:rPr>
              <w:rFonts w:ascii="Cambria Math" w:hAnsi="Cambria Math"/>
            </w:rPr>
            <m:t>.</m:t>
          </m:r>
          <m:r>
            <w:rPr>
              <w:rFonts w:ascii="Cambria Math" w:hAnsi="Cambria Math"/>
            </w:rPr>
            <m:t>  </m:t>
          </m:r>
          <m:r>
            <m:rPr>
              <m:nor/>
            </m:rPr>
            <m:t>(S3)</m:t>
          </m:r>
        </m:oMath>
      </m:oMathPara>
    </w:p>
    <w:p w14:paraId="45042BB5" w14:textId="77777777" w:rsidR="0082512A" w:rsidRDefault="00D64D03">
      <w:pPr>
        <w:pStyle w:val="FirstParagraph"/>
      </w:pPr>
      <w:r>
        <w:t>The minimum lies at an interval endpoint because Eq. (S2) is affine in k. On each half-line in w, Eq. (S3) is a concave quadratic. Maximizing the two branches, while retaining w = 0 as an admissible choice, yields</w:t>
      </w:r>
    </w:p>
    <w:p w14:paraId="4C0DA3E8" w14:textId="77777777" w:rsidR="0082512A" w:rsidRDefault="00D64D03">
      <w:pPr>
        <w:pStyle w:val="Corpotesto"/>
        <w:keepLines/>
        <w:spacing w:before="120" w:after="160" w:line="264" w:lineRule="auto"/>
      </w:pPr>
      <m:oMathPara>
        <m:oMathParaPr>
          <m:jc m:val="center"/>
        </m:oMathParaPr>
        <m:oMath>
          <m:sSub>
            <m:sSubPr>
              <m:ctrlPr>
                <w:rPr>
                  <w:rFonts w:ascii="Cambria Math" w:hAnsi="Cambria Math"/>
                </w:rPr>
              </m:ctrlPr>
            </m:sSubPr>
            <m:e>
              <m:r>
                <w:rPr>
                  <w:rFonts w:ascii="Cambria Math" w:hAnsi="Cambria Math"/>
                </w:rPr>
                <m:t>w</m:t>
              </m:r>
            </m:e>
            <m:sub>
              <m:r>
                <m:rPr>
                  <m:sty m:val="p"/>
                </m:rPr>
                <w:rPr>
                  <w:rFonts w:ascii="Cambria Math" w:hAnsi="Cambria Math"/>
                </w:rPr>
                <m:t>*</m:t>
              </m:r>
            </m:sub>
          </m:sSub>
          <m:r>
            <m:rPr>
              <m:sty m:val="p"/>
            </m:rPr>
            <w:rPr>
              <w:rFonts w:ascii="Cambria Math" w:hAnsi="Cambria Math"/>
            </w:rPr>
            <m:t>=</m:t>
          </m:r>
          <m:f>
            <m:fPr>
              <m:ctrlPr>
                <w:rPr>
                  <w:rFonts w:ascii="Cambria Math" w:hAnsi="Cambria Math"/>
                </w:rPr>
              </m:ctrlPr>
            </m:fPr>
            <m:num>
              <m:r>
                <w:rPr>
                  <w:rFonts w:ascii="Cambria Math" w:hAnsi="Cambria Math"/>
                </w:rPr>
                <m:t>p</m:t>
              </m:r>
              <m:r>
                <w:rPr>
                  <w:rFonts w:ascii="Cambria Math" w:hAnsi="Cambria Math"/>
                </w:rPr>
                <m:t> </m:t>
              </m:r>
              <m:r>
                <m:rPr>
                  <m:sty m:val="p"/>
                </m:rPr>
                <w:rPr>
                  <w:rFonts w:ascii="Cambria Math" w:hAnsi="Cambria Math"/>
                </w:rPr>
                <m:t>sgn</m:t>
              </m:r>
              <m:d>
                <m:dPr>
                  <m:ctrlPr>
                    <w:rPr>
                      <w:rFonts w:ascii="Cambria Math" w:hAnsi="Cambria Math"/>
                    </w:rPr>
                  </m:ctrlPr>
                </m:dPr>
                <m:e>
                  <m:sSub>
                    <m:sSubPr>
                      <m:ctrlPr>
                        <w:rPr>
                          <w:rFonts w:ascii="Cambria Math" w:hAnsi="Cambria Math"/>
                        </w:rPr>
                      </m:ctrlPr>
                    </m:sSubPr>
                    <m:e>
                      <m:r>
                        <w:rPr>
                          <w:rFonts w:ascii="Cambria Math" w:hAnsi="Cambria Math"/>
                        </w:rPr>
                        <m:t>k</m:t>
                      </m:r>
                    </m:e>
                    <m:sub>
                      <m:r>
                        <w:rPr>
                          <w:rFonts w:ascii="Cambria Math" w:hAnsi="Cambria Math"/>
                        </w:rPr>
                        <m:t>0</m:t>
                      </m:r>
                    </m:sub>
                  </m:sSub>
                </m:e>
              </m:d>
              <m:r>
                <m:rPr>
                  <m:sty m:val="p"/>
                </m:rPr>
                <w:rPr>
                  <w:rFonts w:ascii="Cambria Math" w:hAnsi="Cambria Math"/>
                </w:rPr>
                <m:t>max</m:t>
              </m:r>
              <m:d>
                <m:dPr>
                  <m:ctrlPr>
                    <w:rPr>
                      <w:rFonts w:ascii="Cambria Math" w:hAnsi="Cambria Math"/>
                    </w:rPr>
                  </m:ctrlPr>
                </m:dPr>
                <m:e>
                  <m:r>
                    <m:rPr>
                      <m:sty m:val="p"/>
                    </m:rP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0</m:t>
                      </m:r>
                    </m:sub>
                  </m:sSub>
                  <m:r>
                    <m:rPr>
                      <m:sty m:val="p"/>
                    </m:rPr>
                    <w:rPr>
                      <w:rFonts w:ascii="Cambria Math" w:hAnsi="Cambria Math"/>
                    </w:rPr>
                    <m:t>|-</m:t>
                  </m:r>
                  <m:r>
                    <w:rPr>
                      <w:rFonts w:ascii="Cambria Math" w:hAnsi="Cambria Math"/>
                    </w:rPr>
                    <m:t>δ</m:t>
                  </m:r>
                  <m:r>
                    <m:rPr>
                      <m:sty m:val="p"/>
                    </m:rPr>
                    <w:rPr>
                      <w:rFonts w:ascii="Cambria Math" w:hAnsi="Cambria Math"/>
                    </w:rPr>
                    <m:t>,</m:t>
                  </m:r>
                  <m:r>
                    <w:rPr>
                      <w:rFonts w:ascii="Cambria Math" w:hAnsi="Cambria Math"/>
                    </w:rPr>
                    <m:t>0</m:t>
                  </m:r>
                </m:e>
              </m:d>
            </m:num>
            <m:den>
              <m:r>
                <w:rPr>
                  <w:rFonts w:ascii="Cambria Math" w:hAnsi="Cambria Math"/>
                </w:rPr>
                <m:t>p</m:t>
              </m:r>
              <m:r>
                <m:rPr>
                  <m:sty m:val="p"/>
                </m:rPr>
                <w:rPr>
                  <w:rFonts w:ascii="Cambria Math" w:hAnsi="Cambria Math"/>
                </w:rPr>
                <m:t>+</m:t>
              </m:r>
              <m:r>
                <w:rPr>
                  <w:rFonts w:ascii="Cambria Math" w:hAnsi="Cambria Math"/>
                </w:rPr>
                <m:t>r</m:t>
              </m:r>
            </m:den>
          </m:f>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G</m:t>
              </m:r>
            </m:e>
            <m:sub>
              <m:r>
                <m:rPr>
                  <m:sty m:val="p"/>
                </m:rPr>
                <w:rPr>
                  <w:rFonts w:ascii="Cambria Math" w:hAnsi="Cambria Math"/>
                </w:rPr>
                <m:t>*</m:t>
              </m:r>
            </m:sub>
          </m:sSub>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p</m:t>
                  </m:r>
                </m:e>
                <m:sup>
                  <m:r>
                    <w:rPr>
                      <w:rFonts w:ascii="Cambria Math" w:hAnsi="Cambria Math"/>
                    </w:rPr>
                    <m:t>2</m:t>
                  </m:r>
                </m:sup>
              </m:sSup>
              <m:r>
                <m:rPr>
                  <m:sty m:val="p"/>
                </m:rPr>
                <w:rPr>
                  <w:rFonts w:ascii="Cambria Math" w:hAnsi="Cambria Math"/>
                </w:rPr>
                <m:t>max</m:t>
              </m:r>
              <m:sSup>
                <m:sSupPr>
                  <m:ctrlPr>
                    <w:rPr>
                      <w:rFonts w:ascii="Cambria Math" w:hAnsi="Cambria Math"/>
                    </w:rPr>
                  </m:ctrlPr>
                </m:sSupPr>
                <m:e>
                  <m:d>
                    <m:dPr>
                      <m:ctrlPr>
                        <w:rPr>
                          <w:rFonts w:ascii="Cambria Math" w:hAnsi="Cambria Math"/>
                        </w:rPr>
                      </m:ctrlPr>
                    </m:dPr>
                    <m:e>
                      <m:r>
                        <m:rPr>
                          <m:sty m:val="p"/>
                        </m:rP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0</m:t>
                          </m:r>
                        </m:sub>
                      </m:sSub>
                      <m:r>
                        <m:rPr>
                          <m:sty m:val="p"/>
                        </m:rPr>
                        <w:rPr>
                          <w:rFonts w:ascii="Cambria Math" w:hAnsi="Cambria Math"/>
                        </w:rPr>
                        <m:t>|-</m:t>
                      </m:r>
                      <m:r>
                        <w:rPr>
                          <w:rFonts w:ascii="Cambria Math" w:hAnsi="Cambria Math"/>
                        </w:rPr>
                        <m:t>δ</m:t>
                      </m:r>
                      <m:r>
                        <m:rPr>
                          <m:sty m:val="p"/>
                        </m:rPr>
                        <w:rPr>
                          <w:rFonts w:ascii="Cambria Math" w:hAnsi="Cambria Math"/>
                        </w:rPr>
                        <m:t>,</m:t>
                      </m:r>
                      <m:r>
                        <w:rPr>
                          <w:rFonts w:ascii="Cambria Math" w:hAnsi="Cambria Math"/>
                        </w:rPr>
                        <m:t>0</m:t>
                      </m:r>
                    </m:e>
                  </m:d>
                </m:e>
                <m:sup>
                  <m:r>
                    <w:rPr>
                      <w:rFonts w:ascii="Cambria Math" w:hAnsi="Cambria Math"/>
                    </w:rPr>
                    <m:t>2</m:t>
                  </m:r>
                </m:sup>
              </m:sSup>
            </m:num>
            <m:den>
              <m:r>
                <w:rPr>
                  <w:rFonts w:ascii="Cambria Math" w:hAnsi="Cambria Math"/>
                </w:rPr>
                <m:t>p</m:t>
              </m:r>
              <m:r>
                <m:rPr>
                  <m:sty m:val="p"/>
                </m:rPr>
                <w:rPr>
                  <w:rFonts w:ascii="Cambria Math" w:hAnsi="Cambria Math"/>
                </w:rPr>
                <m:t>+</m:t>
              </m:r>
              <m:r>
                <w:rPr>
                  <w:rFonts w:ascii="Cambria Math" w:hAnsi="Cambria Math"/>
                </w:rPr>
                <m:t>r</m:t>
              </m:r>
            </m:den>
          </m:f>
          <m:r>
            <m:rPr>
              <m:sty m:val="p"/>
            </m:rPr>
            <w:rPr>
              <w:rFonts w:ascii="Cambria Math" w:hAnsi="Cambria Math"/>
            </w:rPr>
            <m:t>.</m:t>
          </m:r>
          <m:r>
            <w:rPr>
              <w:rFonts w:ascii="Cambria Math" w:hAnsi="Cambria Math"/>
            </w:rPr>
            <m:t> </m:t>
          </m:r>
          <m:r>
            <m:rPr>
              <m:nor/>
            </m:rPr>
            <m:t>(S4)</m:t>
          </m:r>
        </m:oMath>
      </m:oMathPara>
    </w:p>
    <w:p w14:paraId="4255DD5D" w14:textId="77777777" w:rsidR="0082512A" w:rsidRDefault="00D64D03">
      <w:pPr>
        <w:pStyle w:val="FirstParagraph"/>
      </w:pPr>
      <w:r>
        <w:t>Thus G* is an absolute reduction in squared science units. For nonzero k₀, normalization by the nominal magnetic variance p k₀² gives (1 − u)₊²/(1 + v), with u = δ/|k₀| and v = r/p. It is not a fraction of the total instrument variance, nor a common percentage reduction at every admissible true coupling. When δ ≥ |k₀|, zero correction is optimal for this guaranteed-gain objective. This statement concerns the specified fixed linear correction class and moment assumptions.</w:t>
      </w:r>
    </w:p>
    <w:p w14:paraId="731A09B4" w14:textId="77777777" w:rsidR="0082512A" w:rsidRDefault="00D64D03">
      <w:pPr>
        <w:pStyle w:val="Corpotesto"/>
      </w:pPr>
      <w:r>
        <w:lastRenderedPageBreak/>
        <w:t>The reproduction script evaluates 108 combinations: p in {0.1, 1, 10}, r in {0, 0.2, 3}, k₀ in {−2, 0, 1}, and δ in {0, 0.2, 1, 3}. These are dimensionless consistency checks. For each combination, it evaluates both endpoint gains at the closed-form coefficient and compares the result with bounded scalar optimization over −10 ≤ w ≤ 10. The numerical comparisons supplement the proof; they do not establish a theorem by sampling and are not experimental data.</w:t>
      </w:r>
    </w:p>
    <w:p w14:paraId="48F34530" w14:textId="77777777" w:rsidR="0082512A" w:rsidRDefault="00D64D03">
      <w:pPr>
        <w:pStyle w:val="Titolo1"/>
      </w:pPr>
      <w:bookmarkStart w:id="1" w:name="Xc33a59bfb4751382df3f6c293d396927b97995b"/>
      <w:bookmarkEnd w:id="0"/>
      <w:r>
        <w:t>S2 Two-branch information and photon readout</w:t>
      </w:r>
    </w:p>
    <w:p w14:paraId="37B21396" w14:textId="77777777" w:rsidR="0082512A" w:rsidRDefault="00D64D03">
      <w:pPr>
        <w:pStyle w:val="FirstParagraph"/>
      </w:pPr>
      <w:r>
        <w:t>For two independent resolved frequency estimates with responses f± = f±,₀ + d ± gB b, define their positive location-information values as I₊ and I₋. The common shift d is unknown and the magnetic slope gB is known and nonzero. Profiling d gives</w:t>
      </w:r>
    </w:p>
    <w:p w14:paraId="45A63077" w14:textId="77777777" w:rsidR="0082512A" w:rsidRDefault="00D64D03">
      <w:pPr>
        <w:pStyle w:val="Corpotesto"/>
        <w:keepLines/>
        <w:spacing w:before="120" w:after="160" w:line="264" w:lineRule="auto"/>
      </w:pPr>
      <m:oMathPara>
        <m:oMathParaPr>
          <m:jc m:val="center"/>
        </m:oMathParaPr>
        <m:oMath>
          <m:sSub>
            <m:sSubPr>
              <m:ctrlPr>
                <w:rPr>
                  <w:rFonts w:ascii="Cambria Math" w:hAnsi="Cambria Math"/>
                </w:rPr>
              </m:ctrlPr>
            </m:sSubPr>
            <m:e>
              <m:r>
                <w:rPr>
                  <w:rFonts w:ascii="Cambria Math" w:hAnsi="Cambria Math"/>
                </w:rPr>
                <m:t>J</m:t>
              </m:r>
            </m:e>
            <m:sub>
              <m:r>
                <w:rPr>
                  <w:rFonts w:ascii="Cambria Math" w:hAnsi="Cambria Math"/>
                </w:rPr>
                <m:t>b</m:t>
              </m:r>
              <m:r>
                <m:rPr>
                  <m:sty m:val="p"/>
                </m:rPr>
                <w:rPr>
                  <w:rFonts w:ascii="Cambria Math" w:hAnsi="Cambria Math"/>
                </w:rPr>
                <m:t>∣</m:t>
              </m:r>
              <m:r>
                <w:rPr>
                  <w:rFonts w:ascii="Cambria Math" w:hAnsi="Cambria Math"/>
                </w:rPr>
                <m:t>d</m:t>
              </m:r>
            </m:sub>
          </m:sSub>
          <m:r>
            <m:rPr>
              <m:sty m:val="p"/>
            </m:rPr>
            <w:rPr>
              <w:rFonts w:ascii="Cambria Math" w:hAnsi="Cambria Math"/>
            </w:rPr>
            <m:t>=</m:t>
          </m:r>
          <m:f>
            <m:fPr>
              <m:ctrlPr>
                <w:rPr>
                  <w:rFonts w:ascii="Cambria Math" w:hAnsi="Cambria Math"/>
                </w:rPr>
              </m:ctrlPr>
            </m:fPr>
            <m:num>
              <m:r>
                <w:rPr>
                  <w:rFonts w:ascii="Cambria Math" w:hAnsi="Cambria Math"/>
                </w:rPr>
                <m:t>4</m:t>
              </m:r>
              <m:sSubSup>
                <m:sSubSupPr>
                  <m:ctrlPr>
                    <w:rPr>
                      <w:rFonts w:ascii="Cambria Math" w:hAnsi="Cambria Math"/>
                    </w:rPr>
                  </m:ctrlPr>
                </m:sSubSupPr>
                <m:e>
                  <m:r>
                    <w:rPr>
                      <w:rFonts w:ascii="Cambria Math" w:hAnsi="Cambria Math"/>
                    </w:rPr>
                    <m:t>g</m:t>
                  </m:r>
                </m:e>
                <m:sub>
                  <m:r>
                    <w:rPr>
                      <w:rFonts w:ascii="Cambria Math" w:hAnsi="Cambria Math"/>
                    </w:rPr>
                    <m:t>B</m:t>
                  </m:r>
                </m:sub>
                <m:sup>
                  <m:r>
                    <w:rPr>
                      <w:rFonts w:ascii="Cambria Math" w:hAnsi="Cambria Math"/>
                    </w:rPr>
                    <m:t>2</m:t>
                  </m:r>
                </m:sup>
              </m:sSubSup>
              <m:sSub>
                <m:sSubPr>
                  <m:ctrlPr>
                    <w:rPr>
                      <w:rFonts w:ascii="Cambria Math" w:hAnsi="Cambria Math"/>
                    </w:rPr>
                  </m:ctrlPr>
                </m:sSubPr>
                <m:e>
                  <m:r>
                    <w:rPr>
                      <w:rFonts w:ascii="Cambria Math" w:hAnsi="Cambria Math"/>
                    </w:rPr>
                    <m:t>I</m:t>
                  </m:r>
                </m:e>
                <m:sub>
                  <m:r>
                    <m:rPr>
                      <m:sty m:val="p"/>
                    </m:rPr>
                    <w:rPr>
                      <w:rFonts w:ascii="Cambria Math" w:hAnsi="Cambria Math"/>
                    </w:rPr>
                    <m:t>+</m:t>
                  </m:r>
                </m:sub>
              </m:sSub>
              <m:sSub>
                <m:sSubPr>
                  <m:ctrlPr>
                    <w:rPr>
                      <w:rFonts w:ascii="Cambria Math" w:hAnsi="Cambria Math"/>
                    </w:rPr>
                  </m:ctrlPr>
                </m:sSubPr>
                <m:e>
                  <m:r>
                    <w:rPr>
                      <w:rFonts w:ascii="Cambria Math" w:hAnsi="Cambria Math"/>
                    </w:rPr>
                    <m:t>I</m:t>
                  </m:r>
                </m:e>
                <m:sub>
                  <m:r>
                    <m:rPr>
                      <m:sty m:val="p"/>
                    </m:rPr>
                    <w:rPr>
                      <w:rFonts w:ascii="Cambria Math" w:hAnsi="Cambria Math"/>
                    </w:rPr>
                    <m:t>-</m:t>
                  </m:r>
                </m:sub>
              </m:sSub>
            </m:num>
            <m:den>
              <m:sSub>
                <m:sSubPr>
                  <m:ctrlPr>
                    <w:rPr>
                      <w:rFonts w:ascii="Cambria Math" w:hAnsi="Cambria Math"/>
                    </w:rPr>
                  </m:ctrlPr>
                </m:sSubPr>
                <m:e>
                  <m:r>
                    <w:rPr>
                      <w:rFonts w:ascii="Cambria Math" w:hAnsi="Cambria Math"/>
                    </w:rPr>
                    <m:t>I</m:t>
                  </m:r>
                </m:e>
                <m:sub>
                  <m:r>
                    <m:rPr>
                      <m:sty m:val="p"/>
                    </m:rPr>
                    <w:rPr>
                      <w:rFonts w:ascii="Cambria Math" w:hAnsi="Cambria Math"/>
                    </w:rPr>
                    <m:t>+</m:t>
                  </m:r>
                </m:sub>
              </m:sSub>
              <m:r>
                <m:rPr>
                  <m:sty m:val="p"/>
                </m:rP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m:t>
                  </m:r>
                </m:sub>
              </m:sSub>
            </m:den>
          </m:f>
          <m:r>
            <m:rPr>
              <m:sty m:val="p"/>
            </m:rPr>
            <w:rPr>
              <w:rFonts w:ascii="Cambria Math" w:hAnsi="Cambria Math"/>
            </w:rPr>
            <m:t>,</m:t>
          </m:r>
          <m:r>
            <w:rPr>
              <w:rFonts w:ascii="Cambria Math" w:hAnsi="Cambria Math"/>
            </w:rPr>
            <m:t>  </m:t>
          </m:r>
          <m:r>
            <m:rPr>
              <m:sty m:val="p"/>
            </m:rPr>
            <w:rPr>
              <w:rFonts w:ascii="Cambria Math" w:hAnsi="Cambria Math"/>
            </w:rPr>
            <m:t>Var</m:t>
          </m:r>
          <m:d>
            <m:dPr>
              <m:ctrlPr>
                <w:rPr>
                  <w:rFonts w:ascii="Cambria Math" w:hAnsi="Cambria Math"/>
                </w:rPr>
              </m:ctrlPr>
            </m:dPr>
            <m:e>
              <m:acc>
                <m:accPr>
                  <m:ctrlPr>
                    <w:rPr>
                      <w:rFonts w:ascii="Cambria Math" w:hAnsi="Cambria Math"/>
                    </w:rPr>
                  </m:ctrlPr>
                </m:accPr>
                <m:e>
                  <m:r>
                    <w:rPr>
                      <w:rFonts w:ascii="Cambria Math" w:hAnsi="Cambria Math"/>
                    </w:rPr>
                    <m:t>b</m:t>
                  </m:r>
                </m:e>
              </m:acc>
            </m:e>
          </m:d>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I</m:t>
                  </m:r>
                </m:e>
                <m:sub>
                  <m:r>
                    <m:rPr>
                      <m:sty m:val="p"/>
                    </m:rPr>
                    <w:rPr>
                      <w:rFonts w:ascii="Cambria Math" w:hAnsi="Cambria Math"/>
                    </w:rPr>
                    <m:t>+</m:t>
                  </m:r>
                </m:sub>
                <m:sup>
                  <m:r>
                    <m:rPr>
                      <m:sty m:val="p"/>
                    </m:rPr>
                    <w:rPr>
                      <w:rFonts w:ascii="Cambria Math" w:hAnsi="Cambria Math"/>
                    </w:rPr>
                    <m:t>-</m:t>
                  </m:r>
                  <m:r>
                    <w:rPr>
                      <w:rFonts w:ascii="Cambria Math" w:hAnsi="Cambria Math"/>
                    </w:rPr>
                    <m:t>1</m:t>
                  </m:r>
                </m:sup>
              </m:sSubSup>
              <m:r>
                <m:rPr>
                  <m:sty m:val="p"/>
                </m:rPr>
                <w:rPr>
                  <w:rFonts w:ascii="Cambria Math" w:hAnsi="Cambria Math"/>
                </w:rPr>
                <m:t>+</m:t>
              </m:r>
              <m:sSubSup>
                <m:sSubSupPr>
                  <m:ctrlPr>
                    <w:rPr>
                      <w:rFonts w:ascii="Cambria Math" w:hAnsi="Cambria Math"/>
                    </w:rPr>
                  </m:ctrlPr>
                </m:sSubSupPr>
                <m:e>
                  <m:r>
                    <w:rPr>
                      <w:rFonts w:ascii="Cambria Math" w:hAnsi="Cambria Math"/>
                    </w:rPr>
                    <m:t>I</m:t>
                  </m:r>
                </m:e>
                <m:sub>
                  <m:r>
                    <m:rPr>
                      <m:sty m:val="p"/>
                    </m:rPr>
                    <w:rPr>
                      <w:rFonts w:ascii="Cambria Math" w:hAnsi="Cambria Math"/>
                    </w:rPr>
                    <m:t>-</m:t>
                  </m:r>
                </m:sub>
                <m:sup>
                  <m:r>
                    <m:rPr>
                      <m:sty m:val="p"/>
                    </m:rPr>
                    <w:rPr>
                      <w:rFonts w:ascii="Cambria Math" w:hAnsi="Cambria Math"/>
                    </w:rPr>
                    <m:t>-</m:t>
                  </m:r>
                  <m:r>
                    <w:rPr>
                      <w:rFonts w:ascii="Cambria Math" w:hAnsi="Cambria Math"/>
                    </w:rPr>
                    <m:t>1</m:t>
                  </m:r>
                </m:sup>
              </m:sSubSup>
            </m:num>
            <m:den>
              <m:r>
                <w:rPr>
                  <w:rFonts w:ascii="Cambria Math" w:hAnsi="Cambria Math"/>
                </w:rPr>
                <m:t>4</m:t>
              </m:r>
              <m:sSubSup>
                <m:sSubSupPr>
                  <m:ctrlPr>
                    <w:rPr>
                      <w:rFonts w:ascii="Cambria Math" w:hAnsi="Cambria Math"/>
                    </w:rPr>
                  </m:ctrlPr>
                </m:sSubSupPr>
                <m:e>
                  <m:r>
                    <w:rPr>
                      <w:rFonts w:ascii="Cambria Math" w:hAnsi="Cambria Math"/>
                    </w:rPr>
                    <m:t>g</m:t>
                  </m:r>
                </m:e>
                <m:sub>
                  <m:r>
                    <w:rPr>
                      <w:rFonts w:ascii="Cambria Math" w:hAnsi="Cambria Math"/>
                    </w:rPr>
                    <m:t>B</m:t>
                  </m:r>
                </m:sub>
                <m:sup>
                  <m:r>
                    <w:rPr>
                      <w:rFonts w:ascii="Cambria Math" w:hAnsi="Cambria Math"/>
                    </w:rPr>
                    <m:t>2</m:t>
                  </m:r>
                </m:sup>
              </m:sSubSup>
            </m:den>
          </m:f>
          <m:r>
            <m:rPr>
              <m:sty m:val="p"/>
            </m:rPr>
            <w:rPr>
              <w:rFonts w:ascii="Cambria Math" w:hAnsi="Cambria Math"/>
            </w:rPr>
            <m:t>.</m:t>
          </m:r>
          <m:r>
            <w:rPr>
              <w:rFonts w:ascii="Cambria Math" w:hAnsi="Cambria Math"/>
            </w:rPr>
            <m:t> </m:t>
          </m:r>
          <m:r>
            <m:rPr>
              <m:nor/>
            </m:rPr>
            <m:t>(S5)</m:t>
          </m:r>
        </m:oMath>
      </m:oMathPara>
    </w:p>
    <w:p w14:paraId="139E304E" w14:textId="77777777" w:rsidR="0082512A" w:rsidRDefault="00D64D03">
      <w:pPr>
        <w:pStyle w:val="FirstParagraph"/>
      </w:pPr>
      <w:r>
        <w:t>The script checks this expression against the corresponding element of the inverse two-parameter Fisher matrix for three positive information pairs and nonzero slopes. In the single-branch case the field and common shift are not separately identifiable under this model; that limiting case is established by rank analysis in the manuscript rather than by matrix inversion.</w:t>
      </w:r>
    </w:p>
    <w:p w14:paraId="36AFE978" w14:textId="77777777" w:rsidR="0082512A" w:rsidRDefault="00D64D03">
      <w:pPr>
        <w:pStyle w:val="Corpotesto"/>
      </w:pPr>
      <w:r>
        <w:t>For the stated Poisson Lorentzian model, known line-shape parameters, and low fractional contrast C, symmetric interrogation at detunings ±Γ/(2√3) gives the leading-order frequency-variance coefficient a = 16Γ²/(27C²R). Here Γ is the full width at half maximum and R is the detected off-resonance photon-count rate during an active branch. If the total time is τ, optimal time allocation and the corresponding field coefficient are</w:t>
      </w:r>
    </w:p>
    <w:p w14:paraId="159C5EDD" w14:textId="77777777" w:rsidR="0082512A" w:rsidRDefault="00D64D03">
      <w:pPr>
        <w:pStyle w:val="Corpotesto"/>
        <w:keepLines/>
        <w:spacing w:before="120" w:after="160" w:line="264" w:lineRule="auto"/>
      </w:pPr>
      <m:oMathPara>
        <m:oMathParaPr>
          <m:jc m:val="center"/>
        </m:oMathParaPr>
        <m:oMath>
          <m:f>
            <m:fPr>
              <m:ctrlPr>
                <w:rPr>
                  <w:rFonts w:ascii="Cambria Math" w:hAnsi="Cambria Math"/>
                </w:rPr>
              </m:ctrlPr>
            </m:fPr>
            <m:num>
              <m:sSub>
                <m:sSubPr>
                  <m:ctrlPr>
                    <w:rPr>
                      <w:rFonts w:ascii="Cambria Math" w:hAnsi="Cambria Math"/>
                    </w:rPr>
                  </m:ctrlPr>
                </m:sSubPr>
                <m:e>
                  <m:r>
                    <w:rPr>
                      <w:rFonts w:ascii="Cambria Math" w:hAnsi="Cambria Math"/>
                    </w:rPr>
                    <m:t>t</m:t>
                  </m:r>
                </m:e>
                <m:sub>
                  <m:r>
                    <m:rPr>
                      <m:sty m:val="p"/>
                    </m:rPr>
                    <w:rPr>
                      <w:rFonts w:ascii="Cambria Math" w:hAnsi="Cambria Math"/>
                    </w:rPr>
                    <m:t>+</m:t>
                  </m:r>
                </m:sub>
              </m:sSub>
            </m:num>
            <m:den>
              <m:r>
                <w:rPr>
                  <w:rFonts w:ascii="Cambria Math" w:hAnsi="Cambria Math"/>
                </w:rPr>
                <m:t>τ</m:t>
              </m:r>
            </m:den>
          </m:f>
          <m:r>
            <m:rPr>
              <m:sty m:val="p"/>
            </m:rPr>
            <w:rPr>
              <w:rFonts w:ascii="Cambria Math" w:hAnsi="Cambria Math"/>
            </w:rPr>
            <m:t>=</m:t>
          </m:r>
          <m:f>
            <m:fPr>
              <m:ctrlPr>
                <w:rPr>
                  <w:rFonts w:ascii="Cambria Math" w:hAnsi="Cambria Math"/>
                </w:rPr>
              </m:ctrlPr>
            </m:fPr>
            <m:num>
              <m:rad>
                <m:radPr>
                  <m:degHide m:val="1"/>
                  <m:ctrlPr>
                    <w:rPr>
                      <w:rFonts w:ascii="Cambria Math" w:hAnsi="Cambria Math"/>
                    </w:rPr>
                  </m:ctrlPr>
                </m:radPr>
                <m:deg/>
                <m:e>
                  <m:sSub>
                    <m:sSubPr>
                      <m:ctrlPr>
                        <w:rPr>
                          <w:rFonts w:ascii="Cambria Math" w:hAnsi="Cambria Math"/>
                        </w:rPr>
                      </m:ctrlPr>
                    </m:sSubPr>
                    <m:e>
                      <m:r>
                        <w:rPr>
                          <w:rFonts w:ascii="Cambria Math" w:hAnsi="Cambria Math"/>
                        </w:rPr>
                        <m:t>a</m:t>
                      </m:r>
                    </m:e>
                    <m:sub>
                      <m:r>
                        <m:rPr>
                          <m:sty m:val="p"/>
                        </m:rPr>
                        <w:rPr>
                          <w:rFonts w:ascii="Cambria Math" w:hAnsi="Cambria Math"/>
                        </w:rPr>
                        <m:t>+</m:t>
                      </m:r>
                    </m:sub>
                  </m:sSub>
                </m:e>
              </m:rad>
            </m:num>
            <m:den>
              <m:rad>
                <m:radPr>
                  <m:degHide m:val="1"/>
                  <m:ctrlPr>
                    <w:rPr>
                      <w:rFonts w:ascii="Cambria Math" w:hAnsi="Cambria Math"/>
                    </w:rPr>
                  </m:ctrlPr>
                </m:radPr>
                <m:deg/>
                <m:e>
                  <m:sSub>
                    <m:sSubPr>
                      <m:ctrlPr>
                        <w:rPr>
                          <w:rFonts w:ascii="Cambria Math" w:hAnsi="Cambria Math"/>
                        </w:rPr>
                      </m:ctrlPr>
                    </m:sSubPr>
                    <m:e>
                      <m:r>
                        <w:rPr>
                          <w:rFonts w:ascii="Cambria Math" w:hAnsi="Cambria Math"/>
                        </w:rPr>
                        <m:t>a</m:t>
                      </m:r>
                    </m:e>
                    <m:sub>
                      <m:r>
                        <m:rPr>
                          <m:sty m:val="p"/>
                        </m:rPr>
                        <w:rPr>
                          <w:rFonts w:ascii="Cambria Math" w:hAnsi="Cambria Math"/>
                        </w:rPr>
                        <m:t>+</m:t>
                      </m:r>
                    </m:sub>
                  </m:sSub>
                </m:e>
              </m:rad>
              <m:r>
                <m:rPr>
                  <m:sty m:val="p"/>
                </m:rPr>
                <w:rPr>
                  <w:rFonts w:ascii="Cambria Math" w:hAnsi="Cambria Math"/>
                </w:rPr>
                <m:t>+</m:t>
              </m:r>
              <m:rad>
                <m:radPr>
                  <m:degHide m:val="1"/>
                  <m:ctrlPr>
                    <w:rPr>
                      <w:rFonts w:ascii="Cambria Math" w:hAnsi="Cambria Math"/>
                    </w:rPr>
                  </m:ctrlPr>
                </m:radPr>
                <m:deg/>
                <m:e>
                  <m:sSub>
                    <m:sSubPr>
                      <m:ctrlPr>
                        <w:rPr>
                          <w:rFonts w:ascii="Cambria Math" w:hAnsi="Cambria Math"/>
                        </w:rPr>
                      </m:ctrlPr>
                    </m:sSubPr>
                    <m:e>
                      <m:r>
                        <w:rPr>
                          <w:rFonts w:ascii="Cambria Math" w:hAnsi="Cambria Math"/>
                        </w:rPr>
                        <m:t>a</m:t>
                      </m:r>
                    </m:e>
                    <m:sub>
                      <m:r>
                        <m:rPr>
                          <m:sty m:val="p"/>
                        </m:rPr>
                        <w:rPr>
                          <w:rFonts w:ascii="Cambria Math" w:hAnsi="Cambria Math"/>
                        </w:rPr>
                        <m:t>-</m:t>
                      </m:r>
                    </m:sub>
                  </m:sSub>
                </m:e>
              </m:rad>
            </m:den>
          </m:f>
          <m:r>
            <m:rPr>
              <m:sty m:val="p"/>
            </m:rPr>
            <w:rPr>
              <w:rFonts w:ascii="Cambria Math" w:hAnsi="Cambria Math"/>
            </w:rPr>
            <m:t>,</m:t>
          </m:r>
          <m:r>
            <w:rPr>
              <w:rFonts w:ascii="Cambria Math" w:hAnsi="Cambria Math"/>
            </w:rPr>
            <m:t>  </m:t>
          </m:r>
          <m:r>
            <w:rPr>
              <w:rFonts w:ascii="Cambria Math" w:hAnsi="Cambria Math"/>
            </w:rPr>
            <m:t>A</m:t>
          </m:r>
          <m:r>
            <m:rPr>
              <m:sty m:val="p"/>
            </m:rPr>
            <w:rPr>
              <w:rFonts w:ascii="Cambria Math" w:hAnsi="Cambria Math"/>
            </w:rPr>
            <m:t>=</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rad>
                        <m:radPr>
                          <m:degHide m:val="1"/>
                          <m:ctrlPr>
                            <w:rPr>
                              <w:rFonts w:ascii="Cambria Math" w:hAnsi="Cambria Math"/>
                            </w:rPr>
                          </m:ctrlPr>
                        </m:radPr>
                        <m:deg/>
                        <m:e>
                          <m:sSub>
                            <m:sSubPr>
                              <m:ctrlPr>
                                <w:rPr>
                                  <w:rFonts w:ascii="Cambria Math" w:hAnsi="Cambria Math"/>
                                </w:rPr>
                              </m:ctrlPr>
                            </m:sSubPr>
                            <m:e>
                              <m:r>
                                <w:rPr>
                                  <w:rFonts w:ascii="Cambria Math" w:hAnsi="Cambria Math"/>
                                </w:rPr>
                                <m:t>a</m:t>
                              </m:r>
                            </m:e>
                            <m:sub>
                              <m:r>
                                <m:rPr>
                                  <m:sty m:val="p"/>
                                </m:rPr>
                                <w:rPr>
                                  <w:rFonts w:ascii="Cambria Math" w:hAnsi="Cambria Math"/>
                                </w:rPr>
                                <m:t>+</m:t>
                              </m:r>
                            </m:sub>
                          </m:sSub>
                        </m:e>
                      </m:rad>
                      <m:r>
                        <m:rPr>
                          <m:sty m:val="p"/>
                        </m:rPr>
                        <w:rPr>
                          <w:rFonts w:ascii="Cambria Math" w:hAnsi="Cambria Math"/>
                        </w:rPr>
                        <m:t>+</m:t>
                      </m:r>
                      <m:rad>
                        <m:radPr>
                          <m:degHide m:val="1"/>
                          <m:ctrlPr>
                            <w:rPr>
                              <w:rFonts w:ascii="Cambria Math" w:hAnsi="Cambria Math"/>
                            </w:rPr>
                          </m:ctrlPr>
                        </m:radPr>
                        <m:deg/>
                        <m:e>
                          <m:sSub>
                            <m:sSubPr>
                              <m:ctrlPr>
                                <w:rPr>
                                  <w:rFonts w:ascii="Cambria Math" w:hAnsi="Cambria Math"/>
                                </w:rPr>
                              </m:ctrlPr>
                            </m:sSubPr>
                            <m:e>
                              <m:r>
                                <w:rPr>
                                  <w:rFonts w:ascii="Cambria Math" w:hAnsi="Cambria Math"/>
                                </w:rPr>
                                <m:t>a</m:t>
                              </m:r>
                            </m:e>
                            <m:sub>
                              <m:r>
                                <m:rPr>
                                  <m:sty m:val="p"/>
                                </m:rPr>
                                <w:rPr>
                                  <w:rFonts w:ascii="Cambria Math" w:hAnsi="Cambria Math"/>
                                </w:rPr>
                                <m:t>-</m:t>
                              </m:r>
                            </m:sub>
                          </m:sSub>
                        </m:e>
                      </m:rad>
                    </m:e>
                  </m:d>
                </m:e>
                <m:sup>
                  <m:r>
                    <w:rPr>
                      <w:rFonts w:ascii="Cambria Math" w:hAnsi="Cambria Math"/>
                    </w:rPr>
                    <m:t>2</m:t>
                  </m:r>
                </m:sup>
              </m:sSup>
            </m:num>
            <m:den>
              <m:r>
                <w:rPr>
                  <w:rFonts w:ascii="Cambria Math" w:hAnsi="Cambria Math"/>
                </w:rPr>
                <m:t>4</m:t>
              </m:r>
              <m:sSubSup>
                <m:sSubSupPr>
                  <m:ctrlPr>
                    <w:rPr>
                      <w:rFonts w:ascii="Cambria Math" w:hAnsi="Cambria Math"/>
                    </w:rPr>
                  </m:ctrlPr>
                </m:sSubSupPr>
                <m:e>
                  <m:r>
                    <w:rPr>
                      <w:rFonts w:ascii="Cambria Math" w:hAnsi="Cambria Math"/>
                    </w:rPr>
                    <m:t>g</m:t>
                  </m:r>
                </m:e>
                <m:sub>
                  <m:r>
                    <w:rPr>
                      <w:rFonts w:ascii="Cambria Math" w:hAnsi="Cambria Math"/>
                    </w:rPr>
                    <m:t>B</m:t>
                  </m:r>
                </m:sub>
                <m:sup>
                  <m:r>
                    <w:rPr>
                      <w:rFonts w:ascii="Cambria Math" w:hAnsi="Cambria Math"/>
                    </w:rPr>
                    <m:t>2</m:t>
                  </m:r>
                </m:sup>
              </m:sSubSup>
            </m:den>
          </m:f>
          <m:r>
            <m:rPr>
              <m:sty m:val="p"/>
            </m:rPr>
            <w:rPr>
              <w:rFonts w:ascii="Cambria Math" w:hAnsi="Cambria Math"/>
            </w:rPr>
            <m:t>.</m:t>
          </m:r>
          <m:r>
            <w:rPr>
              <w:rFonts w:ascii="Cambria Math" w:hAnsi="Cambria Math"/>
            </w:rPr>
            <m:t> </m:t>
          </m:r>
          <m:r>
            <m:rPr>
              <m:nor/>
            </m:rPr>
            <m:t>(S6)</m:t>
          </m:r>
        </m:oMath>
      </m:oMathPara>
    </w:p>
    <w:p w14:paraId="2AEFF597" w14:textId="77777777" w:rsidR="0082512A" w:rsidRDefault="00D64D03">
      <w:pPr>
        <w:pStyle w:val="FirstParagraph"/>
      </w:pPr>
      <w:r>
        <w:t xml:space="preserve">Three pairs (a₊, a₋) = (1, 1), (4, 1), and (0.2, 9) are checked against numerical time-allocation optimization. For equal branches, each receives τ/2 and A = a/gB². R is not an astronomical photon flux. The exact Poisson variance coefficient at these fixed flanks is the low-contrast coefficient multiplied by 1 − 3C/4. At C = 0.030, this factor is 0.9775. The optimal flank location also changes at finite contrast. The table and figures consistently use the declared leading-order model rather than mixing the </w:t>
      </w:r>
      <w:r>
        <w:t>two approximations.</w:t>
      </w:r>
    </w:p>
    <w:p w14:paraId="52AD6943" w14:textId="77777777" w:rsidR="0082512A" w:rsidRDefault="00D64D03">
      <w:pPr>
        <w:pStyle w:val="Titolo1"/>
      </w:pPr>
      <w:bookmarkStart w:id="2" w:name="s3-declared-dimensional-scenario"/>
      <w:bookmarkEnd w:id="1"/>
      <w:r>
        <w:t>S3 Declared dimensional scenario</w:t>
      </w:r>
    </w:p>
    <w:p w14:paraId="61AC0D26" w14:textId="77777777" w:rsidR="0082512A" w:rsidRDefault="00D64D03">
      <w:pPr>
        <w:pStyle w:val="FirstParagraph"/>
        <w:keepNext/>
      </w:pPr>
      <w:r>
        <w:t>Table S1 lists the inputs used for manuscript Table 2 and Figure 4. They are assumed values for an analytical design scenario and do not characterize a fabricated NV or SiC device.</w:t>
      </w:r>
    </w:p>
    <w:p w14:paraId="20815488" w14:textId="77777777" w:rsidR="0082512A" w:rsidRDefault="00D64D03">
      <w:pPr>
        <w:pStyle w:val="Corpotesto"/>
        <w:keepNext/>
      </w:pPr>
      <w:r>
        <w:rPr>
          <w:b/>
          <w:bCs/>
        </w:rPr>
        <w:t>Table S1 Assumed inputs for the dimensional calculations</w:t>
      </w:r>
    </w:p>
    <w:tbl>
      <w:tblPr>
        <w:tblStyle w:val="Table"/>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5" w:type="dxa"/>
          <w:left w:w="90" w:type="dxa"/>
          <w:bottom w:w="75" w:type="dxa"/>
          <w:right w:w="90" w:type="dxa"/>
        </w:tblCellMar>
        <w:tblLook w:val="0020" w:firstRow="1" w:lastRow="0" w:firstColumn="0" w:lastColumn="0" w:noHBand="0" w:noVBand="0"/>
      </w:tblPr>
      <w:tblGrid>
        <w:gridCol w:w="5040"/>
        <w:gridCol w:w="864"/>
        <w:gridCol w:w="3744"/>
      </w:tblGrid>
      <w:tr w:rsidR="0082512A" w14:paraId="08CE16A3" w14:textId="77777777" w:rsidTr="0082512A">
        <w:trPr>
          <w:cnfStyle w:val="100000000000" w:firstRow="1" w:lastRow="0" w:firstColumn="0" w:lastColumn="0" w:oddVBand="0" w:evenVBand="0" w:oddHBand="0" w:evenHBand="0" w:firstRowFirstColumn="0" w:firstRowLastColumn="0" w:lastRowFirstColumn="0" w:lastRowLastColumn="0"/>
          <w:cantSplit/>
          <w:tblHeader/>
          <w:jc w:val="center"/>
        </w:trPr>
        <w:tc>
          <w:tcPr>
            <w:tcW w:w="5040" w:type="dxa"/>
            <w:vAlign w:val="center"/>
          </w:tcPr>
          <w:p w14:paraId="1C94A433" w14:textId="77777777" w:rsidR="0082512A" w:rsidRDefault="00D64D03">
            <w:pPr>
              <w:pStyle w:val="Compact"/>
              <w:spacing w:after="40" w:line="259" w:lineRule="auto"/>
            </w:pPr>
            <w:r>
              <w:rPr>
                <w:b/>
                <w:sz w:val="20"/>
              </w:rPr>
              <w:t>Parameter</w:t>
            </w:r>
          </w:p>
        </w:tc>
        <w:tc>
          <w:tcPr>
            <w:tcW w:w="864" w:type="dxa"/>
            <w:vAlign w:val="center"/>
          </w:tcPr>
          <w:p w14:paraId="0D6BF440" w14:textId="77777777" w:rsidR="0082512A" w:rsidRDefault="00D64D03">
            <w:pPr>
              <w:pStyle w:val="Compact"/>
              <w:spacing w:after="40" w:line="259" w:lineRule="auto"/>
              <w:jc w:val="center"/>
            </w:pPr>
            <w:r>
              <w:rPr>
                <w:b/>
                <w:sz w:val="20"/>
              </w:rPr>
              <w:t>Symbol</w:t>
            </w:r>
          </w:p>
        </w:tc>
        <w:tc>
          <w:tcPr>
            <w:tcW w:w="3744" w:type="dxa"/>
            <w:vAlign w:val="center"/>
          </w:tcPr>
          <w:p w14:paraId="0185E5D0" w14:textId="77777777" w:rsidR="0082512A" w:rsidRDefault="00D64D03">
            <w:pPr>
              <w:pStyle w:val="Compact"/>
              <w:spacing w:after="40" w:line="259" w:lineRule="auto"/>
              <w:jc w:val="center"/>
            </w:pPr>
            <w:r>
              <w:rPr>
                <w:b/>
                <w:sz w:val="20"/>
              </w:rPr>
              <w:t>Assumed value</w:t>
            </w:r>
          </w:p>
        </w:tc>
      </w:tr>
      <w:tr w:rsidR="0082512A" w14:paraId="15C7637D" w14:textId="77777777" w:rsidTr="0082512A">
        <w:trPr>
          <w:cantSplit/>
          <w:jc w:val="center"/>
        </w:trPr>
        <w:tc>
          <w:tcPr>
            <w:tcW w:w="5040" w:type="dxa"/>
            <w:vAlign w:val="center"/>
          </w:tcPr>
          <w:p w14:paraId="654715EC" w14:textId="77777777" w:rsidR="0082512A" w:rsidRDefault="00D64D03">
            <w:pPr>
              <w:pStyle w:val="Compact"/>
              <w:spacing w:after="40" w:line="259" w:lineRule="auto"/>
            </w:pPr>
            <w:r>
              <w:rPr>
                <w:sz w:val="20"/>
              </w:rPr>
              <w:t>Magnetic frequency response</w:t>
            </w:r>
          </w:p>
        </w:tc>
        <w:tc>
          <w:tcPr>
            <w:tcW w:w="864" w:type="dxa"/>
            <w:vAlign w:val="center"/>
          </w:tcPr>
          <w:p w14:paraId="7320F89A" w14:textId="77777777" w:rsidR="0082512A" w:rsidRDefault="00D64D03">
            <w:pPr>
              <w:pStyle w:val="Compact"/>
              <w:spacing w:after="40" w:line="259" w:lineRule="auto"/>
              <w:jc w:val="center"/>
            </w:pPr>
            <w:r>
              <w:rPr>
                <w:sz w:val="20"/>
              </w:rPr>
              <w:t>gB</w:t>
            </w:r>
          </w:p>
        </w:tc>
        <w:tc>
          <w:tcPr>
            <w:tcW w:w="3744" w:type="dxa"/>
            <w:vAlign w:val="center"/>
          </w:tcPr>
          <w:p w14:paraId="52EE29D3" w14:textId="77777777" w:rsidR="0082512A" w:rsidRDefault="00D64D03">
            <w:pPr>
              <w:pStyle w:val="Compact"/>
              <w:spacing w:after="40" w:line="259" w:lineRule="auto"/>
              <w:jc w:val="center"/>
            </w:pPr>
            <w:r>
              <w:rPr>
                <w:sz w:val="20"/>
              </w:rPr>
              <w:t>28.0 × 10⁹ Hz T⁻¹</w:t>
            </w:r>
          </w:p>
        </w:tc>
      </w:tr>
      <w:tr w:rsidR="0082512A" w14:paraId="6FB8A215" w14:textId="77777777" w:rsidTr="0082512A">
        <w:trPr>
          <w:cantSplit/>
          <w:jc w:val="center"/>
        </w:trPr>
        <w:tc>
          <w:tcPr>
            <w:tcW w:w="5040" w:type="dxa"/>
            <w:vAlign w:val="center"/>
          </w:tcPr>
          <w:p w14:paraId="1D40721A" w14:textId="77777777" w:rsidR="0082512A" w:rsidRDefault="00D64D03">
            <w:pPr>
              <w:pStyle w:val="Compact"/>
              <w:spacing w:after="40" w:line="259" w:lineRule="auto"/>
            </w:pPr>
            <w:r>
              <w:rPr>
                <w:sz w:val="20"/>
              </w:rPr>
              <w:t>ODMR full width at half maximum</w:t>
            </w:r>
          </w:p>
        </w:tc>
        <w:tc>
          <w:tcPr>
            <w:tcW w:w="864" w:type="dxa"/>
            <w:vAlign w:val="center"/>
          </w:tcPr>
          <w:p w14:paraId="4C66120E" w14:textId="77777777" w:rsidR="0082512A" w:rsidRDefault="00D64D03">
            <w:pPr>
              <w:pStyle w:val="Compact"/>
              <w:spacing w:after="40" w:line="259" w:lineRule="auto"/>
              <w:jc w:val="center"/>
            </w:pPr>
            <w:r>
              <w:rPr>
                <w:sz w:val="20"/>
              </w:rPr>
              <w:t>Γ</w:t>
            </w:r>
          </w:p>
        </w:tc>
        <w:tc>
          <w:tcPr>
            <w:tcW w:w="3744" w:type="dxa"/>
            <w:vAlign w:val="center"/>
          </w:tcPr>
          <w:p w14:paraId="02CF8F49" w14:textId="77777777" w:rsidR="0082512A" w:rsidRDefault="00D64D03">
            <w:pPr>
              <w:pStyle w:val="Compact"/>
              <w:spacing w:after="40" w:line="259" w:lineRule="auto"/>
              <w:jc w:val="center"/>
            </w:pPr>
            <w:r>
              <w:rPr>
                <w:sz w:val="20"/>
              </w:rPr>
              <w:t>1.00 × 10⁶ Hz</w:t>
            </w:r>
          </w:p>
        </w:tc>
      </w:tr>
      <w:tr w:rsidR="0082512A" w14:paraId="63DC16D1" w14:textId="77777777" w:rsidTr="0082512A">
        <w:trPr>
          <w:cantSplit/>
          <w:jc w:val="center"/>
        </w:trPr>
        <w:tc>
          <w:tcPr>
            <w:tcW w:w="5040" w:type="dxa"/>
            <w:vAlign w:val="center"/>
          </w:tcPr>
          <w:p w14:paraId="192EF32C" w14:textId="77777777" w:rsidR="0082512A" w:rsidRDefault="00D64D03">
            <w:pPr>
              <w:pStyle w:val="Compact"/>
              <w:spacing w:after="40" w:line="259" w:lineRule="auto"/>
            </w:pPr>
            <w:r>
              <w:rPr>
                <w:sz w:val="20"/>
              </w:rPr>
              <w:t>Fractional fluorescence contrast</w:t>
            </w:r>
          </w:p>
        </w:tc>
        <w:tc>
          <w:tcPr>
            <w:tcW w:w="864" w:type="dxa"/>
            <w:vAlign w:val="center"/>
          </w:tcPr>
          <w:p w14:paraId="3933ACFC" w14:textId="77777777" w:rsidR="0082512A" w:rsidRDefault="00D64D03">
            <w:pPr>
              <w:pStyle w:val="Compact"/>
              <w:spacing w:after="40" w:line="259" w:lineRule="auto"/>
              <w:jc w:val="center"/>
            </w:pPr>
            <w:r>
              <w:rPr>
                <w:sz w:val="20"/>
              </w:rPr>
              <w:t>C</w:t>
            </w:r>
          </w:p>
        </w:tc>
        <w:tc>
          <w:tcPr>
            <w:tcW w:w="3744" w:type="dxa"/>
            <w:vAlign w:val="center"/>
          </w:tcPr>
          <w:p w14:paraId="0E801CC3" w14:textId="77777777" w:rsidR="0082512A" w:rsidRDefault="00D64D03">
            <w:pPr>
              <w:pStyle w:val="Compact"/>
              <w:spacing w:after="40" w:line="259" w:lineRule="auto"/>
              <w:jc w:val="center"/>
            </w:pPr>
            <w:r>
              <w:rPr>
                <w:sz w:val="20"/>
              </w:rPr>
              <w:t>0.030</w:t>
            </w:r>
          </w:p>
        </w:tc>
      </w:tr>
      <w:tr w:rsidR="0082512A" w14:paraId="7ADBEC72" w14:textId="77777777" w:rsidTr="0082512A">
        <w:trPr>
          <w:cantSplit/>
          <w:jc w:val="center"/>
        </w:trPr>
        <w:tc>
          <w:tcPr>
            <w:tcW w:w="5040" w:type="dxa"/>
            <w:vAlign w:val="center"/>
          </w:tcPr>
          <w:p w14:paraId="0D642FB0" w14:textId="77777777" w:rsidR="0082512A" w:rsidRDefault="00D64D03">
            <w:pPr>
              <w:pStyle w:val="Compact"/>
              <w:spacing w:after="40" w:line="259" w:lineRule="auto"/>
            </w:pPr>
            <w:r>
              <w:rPr>
                <w:sz w:val="20"/>
              </w:rPr>
              <w:lastRenderedPageBreak/>
              <w:t>Detected rate per active branch</w:t>
            </w:r>
          </w:p>
        </w:tc>
        <w:tc>
          <w:tcPr>
            <w:tcW w:w="864" w:type="dxa"/>
            <w:vAlign w:val="center"/>
          </w:tcPr>
          <w:p w14:paraId="57862BA8" w14:textId="77777777" w:rsidR="0082512A" w:rsidRDefault="00D64D03">
            <w:pPr>
              <w:pStyle w:val="Compact"/>
              <w:spacing w:after="40" w:line="259" w:lineRule="auto"/>
              <w:jc w:val="center"/>
            </w:pPr>
            <w:r>
              <w:rPr>
                <w:sz w:val="20"/>
              </w:rPr>
              <w:t>R</w:t>
            </w:r>
          </w:p>
        </w:tc>
        <w:tc>
          <w:tcPr>
            <w:tcW w:w="3744" w:type="dxa"/>
            <w:vAlign w:val="center"/>
          </w:tcPr>
          <w:p w14:paraId="5145B920" w14:textId="77777777" w:rsidR="0082512A" w:rsidRDefault="00D64D03">
            <w:pPr>
              <w:pStyle w:val="Compact"/>
              <w:spacing w:after="40" w:line="259" w:lineRule="auto"/>
              <w:jc w:val="center"/>
            </w:pPr>
            <w:r>
              <w:rPr>
                <w:sz w:val="20"/>
              </w:rPr>
              <w:t>1.00 × 10¹⁰ s⁻¹</w:t>
            </w:r>
          </w:p>
        </w:tc>
      </w:tr>
      <w:tr w:rsidR="0082512A" w14:paraId="286E4731" w14:textId="77777777" w:rsidTr="0082512A">
        <w:trPr>
          <w:cantSplit/>
          <w:jc w:val="center"/>
        </w:trPr>
        <w:tc>
          <w:tcPr>
            <w:tcW w:w="5040" w:type="dxa"/>
            <w:vAlign w:val="center"/>
          </w:tcPr>
          <w:p w14:paraId="620AB9DD" w14:textId="77777777" w:rsidR="0082512A" w:rsidRDefault="00D64D03">
            <w:pPr>
              <w:pStyle w:val="Compact"/>
              <w:spacing w:after="40" w:line="259" w:lineRule="auto"/>
            </w:pPr>
            <w:r>
              <w:rPr>
                <w:sz w:val="20"/>
              </w:rPr>
              <w:t>Magnetic fluctuation standard deviation</w:t>
            </w:r>
          </w:p>
        </w:tc>
        <w:tc>
          <w:tcPr>
            <w:tcW w:w="864" w:type="dxa"/>
            <w:vAlign w:val="center"/>
          </w:tcPr>
          <w:p w14:paraId="50893537" w14:textId="77777777" w:rsidR="0082512A" w:rsidRDefault="00D64D03">
            <w:pPr>
              <w:pStyle w:val="Compact"/>
              <w:spacing w:after="40" w:line="259" w:lineRule="auto"/>
              <w:jc w:val="center"/>
            </w:pPr>
            <w:r>
              <w:rPr>
                <w:sz w:val="20"/>
              </w:rPr>
              <w:t>√p</w:t>
            </w:r>
          </w:p>
        </w:tc>
        <w:tc>
          <w:tcPr>
            <w:tcW w:w="3744" w:type="dxa"/>
            <w:vAlign w:val="center"/>
          </w:tcPr>
          <w:p w14:paraId="3ACB6855" w14:textId="77777777" w:rsidR="0082512A" w:rsidRDefault="00D64D03">
            <w:pPr>
              <w:pStyle w:val="Compact"/>
              <w:spacing w:after="40" w:line="259" w:lineRule="auto"/>
              <w:jc w:val="center"/>
            </w:pPr>
            <w:r>
              <w:rPr>
                <w:sz w:val="20"/>
              </w:rPr>
              <w:t>10.0 nT</w:t>
            </w:r>
          </w:p>
        </w:tc>
      </w:tr>
      <w:tr w:rsidR="0082512A" w14:paraId="5C43810D" w14:textId="77777777" w:rsidTr="0082512A">
        <w:trPr>
          <w:cantSplit/>
          <w:jc w:val="center"/>
        </w:trPr>
        <w:tc>
          <w:tcPr>
            <w:tcW w:w="5040" w:type="dxa"/>
            <w:vAlign w:val="center"/>
          </w:tcPr>
          <w:p w14:paraId="29ADF320" w14:textId="77777777" w:rsidR="0082512A" w:rsidRDefault="00D64D03">
            <w:pPr>
              <w:pStyle w:val="Compact"/>
              <w:spacing w:after="40" w:line="259" w:lineRule="auto"/>
            </w:pPr>
            <w:r>
              <w:rPr>
                <w:sz w:val="20"/>
              </w:rPr>
              <w:t>Residual field-noise standard deviation</w:t>
            </w:r>
          </w:p>
        </w:tc>
        <w:tc>
          <w:tcPr>
            <w:tcW w:w="864" w:type="dxa"/>
            <w:vAlign w:val="center"/>
          </w:tcPr>
          <w:p w14:paraId="1154E1AD" w14:textId="77777777" w:rsidR="0082512A" w:rsidRDefault="00D64D03">
            <w:pPr>
              <w:pStyle w:val="Compact"/>
              <w:spacing w:after="40" w:line="259" w:lineRule="auto"/>
              <w:jc w:val="center"/>
            </w:pPr>
            <w:r>
              <w:rPr>
                <w:sz w:val="20"/>
              </w:rPr>
              <w:t>√r₀</w:t>
            </w:r>
          </w:p>
        </w:tc>
        <w:tc>
          <w:tcPr>
            <w:tcW w:w="3744" w:type="dxa"/>
            <w:vAlign w:val="center"/>
          </w:tcPr>
          <w:p w14:paraId="00627588" w14:textId="77777777" w:rsidR="0082512A" w:rsidRDefault="00D64D03">
            <w:pPr>
              <w:pStyle w:val="Compact"/>
              <w:spacing w:after="40" w:line="259" w:lineRule="auto"/>
              <w:jc w:val="center"/>
            </w:pPr>
            <w:r>
              <w:rPr>
                <w:sz w:val="20"/>
              </w:rPr>
              <w:t>2.00 nT for Table S2</w:t>
            </w:r>
          </w:p>
        </w:tc>
      </w:tr>
      <w:tr w:rsidR="0082512A" w14:paraId="043524A3" w14:textId="77777777" w:rsidTr="0082512A">
        <w:trPr>
          <w:cantSplit/>
          <w:jc w:val="center"/>
        </w:trPr>
        <w:tc>
          <w:tcPr>
            <w:tcW w:w="5040" w:type="dxa"/>
            <w:vAlign w:val="center"/>
          </w:tcPr>
          <w:p w14:paraId="24BAB4BB" w14:textId="77777777" w:rsidR="0082512A" w:rsidRDefault="00D64D03">
            <w:pPr>
              <w:pStyle w:val="Compact"/>
              <w:spacing w:after="40" w:line="259" w:lineRule="auto"/>
            </w:pPr>
            <w:r>
              <w:rPr>
                <w:sz w:val="20"/>
              </w:rPr>
              <w:t>Relative coupling uncertainty</w:t>
            </w:r>
          </w:p>
        </w:tc>
        <w:tc>
          <w:tcPr>
            <w:tcW w:w="864" w:type="dxa"/>
            <w:vAlign w:val="center"/>
          </w:tcPr>
          <w:p w14:paraId="29B4261A" w14:textId="77777777" w:rsidR="0082512A" w:rsidRDefault="00D64D03">
            <w:pPr>
              <w:pStyle w:val="Compact"/>
              <w:spacing w:after="40" w:line="259" w:lineRule="auto"/>
              <w:jc w:val="center"/>
            </w:pPr>
            <w:r>
              <w:rPr>
                <w:sz w:val="20"/>
              </w:rPr>
              <w:t>u</w:t>
            </w:r>
          </w:p>
        </w:tc>
        <w:tc>
          <w:tcPr>
            <w:tcW w:w="3744" w:type="dxa"/>
            <w:vAlign w:val="center"/>
          </w:tcPr>
          <w:p w14:paraId="7F2687D0" w14:textId="77777777" w:rsidR="0082512A" w:rsidRDefault="00D64D03">
            <w:pPr>
              <w:pStyle w:val="Compact"/>
              <w:spacing w:after="40" w:line="259" w:lineRule="auto"/>
              <w:jc w:val="center"/>
            </w:pPr>
            <w:r>
              <w:rPr>
                <w:sz w:val="20"/>
              </w:rPr>
              <w:t>0.10 for Table S2</w:t>
            </w:r>
          </w:p>
        </w:tc>
      </w:tr>
    </w:tbl>
    <w:p w14:paraId="05CB2E40" w14:textId="77777777" w:rsidR="0082512A" w:rsidRDefault="00D64D03">
      <w:pPr>
        <w:pStyle w:val="Corpotesto"/>
      </w:pPr>
      <w:r>
        <w:t>The resulting coefficient is A = 8.3984210968 × 10⁻¹⁷ T² s and √A = 9.164289987 nT √s. The latter is the coefficient of standard deviation under averaging. Under a one-sided white-noise spectral convention and rectangular averaging, the corresponding amplitude spectral density is √(2A); the two conventions must not be interchanged.</w:t>
      </w:r>
    </w:p>
    <w:p w14:paraId="5EBA0718" w14:textId="77777777" w:rsidR="0082512A" w:rsidRDefault="00D64D03">
      <w:pPr>
        <w:pStyle w:val="Corpotesto"/>
      </w:pPr>
      <w:r>
        <w:t>The resource calculation additionally assumes an attained or conservatively bounded field-noise law</w:t>
      </w:r>
    </w:p>
    <w:p w14:paraId="21AF0640" w14:textId="77777777" w:rsidR="0082512A" w:rsidRDefault="00D64D03">
      <w:pPr>
        <w:pStyle w:val="Corpotesto"/>
        <w:keepLines/>
        <w:spacing w:before="120" w:after="160" w:line="264" w:lineRule="auto"/>
      </w:pPr>
      <m:oMathPara>
        <m:oMathParaPr>
          <m:jc m:val="center"/>
        </m:oMathParaPr>
        <m:oMath>
          <m:sSub>
            <m:sSubPr>
              <m:ctrlPr>
                <w:rPr>
                  <w:rFonts w:ascii="Cambria Math" w:hAnsi="Cambria Math"/>
                </w:rPr>
              </m:ctrlPr>
            </m:sSubPr>
            <m:e>
              <m:r>
                <w:rPr>
                  <w:rFonts w:ascii="Cambria Math" w:hAnsi="Cambria Math"/>
                </w:rPr>
                <m:t>r</m:t>
              </m:r>
            </m:e>
            <m:sub>
              <m:r>
                <m:rPr>
                  <m:sty m:val="p"/>
                </m:rPr>
                <w:rPr>
                  <w:rFonts w:ascii="Cambria Math" w:hAnsi="Cambria Math"/>
                </w:rPr>
                <m:t>model</m:t>
              </m:r>
            </m:sub>
          </m:sSub>
          <m:d>
            <m:dPr>
              <m:ctrlPr>
                <w:rPr>
                  <w:rFonts w:ascii="Cambria Math" w:hAnsi="Cambria Math"/>
                </w:rPr>
              </m:ctrlPr>
            </m:dPr>
            <m:e>
              <m:r>
                <w:rPr>
                  <w:rFonts w:ascii="Cambria Math" w:hAnsi="Cambria Math"/>
                </w:rPr>
                <m:t>τ</m:t>
              </m:r>
            </m:e>
          </m:d>
          <m:r>
            <m:rPr>
              <m:sty m:val="p"/>
            </m:rPr>
            <w:rPr>
              <w:rFonts w:ascii="Cambria Math" w:hAnsi="Cambria Math"/>
            </w:rPr>
            <m:t>=</m:t>
          </m:r>
          <m:f>
            <m:fPr>
              <m:ctrlPr>
                <w:rPr>
                  <w:rFonts w:ascii="Cambria Math" w:hAnsi="Cambria Math"/>
                </w:rPr>
              </m:ctrlPr>
            </m:fPr>
            <m:num>
              <m:r>
                <w:rPr>
                  <w:rFonts w:ascii="Cambria Math" w:hAnsi="Cambria Math"/>
                </w:rPr>
                <m:t>A</m:t>
              </m:r>
            </m:num>
            <m:den>
              <m:r>
                <w:rPr>
                  <w:rFonts w:ascii="Cambria Math" w:hAnsi="Cambria Math"/>
                </w:rPr>
                <m:t>τ</m:t>
              </m:r>
            </m:den>
          </m:f>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0</m:t>
              </m:r>
            </m:sub>
          </m:sSub>
          <m:r>
            <m:rPr>
              <m:sty m:val="p"/>
            </m:rPr>
            <w:rPr>
              <w:rFonts w:ascii="Cambria Math" w:hAnsi="Cambria Math"/>
            </w:rPr>
            <m:t>.</m:t>
          </m:r>
          <m:r>
            <w:rPr>
              <w:rFonts w:ascii="Cambria Math" w:hAnsi="Cambria Math"/>
            </w:rPr>
            <m:t>  </m:t>
          </m:r>
          <m:r>
            <m:rPr>
              <m:nor/>
            </m:rPr>
            <m:t>(S7)</m:t>
          </m:r>
        </m:oMath>
      </m:oMathPara>
    </w:p>
    <w:p w14:paraId="528F999E" w14:textId="77777777" w:rsidR="0082512A" w:rsidRDefault="00D64D03">
      <w:pPr>
        <w:pStyle w:val="FirstParagraph"/>
      </w:pPr>
      <w:r>
        <w:t>Equation (S7) is not implied by the Cramér–Rao lower bound. A lower variance bound alone cannot establish that an actual sensor is sufficiently quiet. The irreducible term r₀ represents a separately justified variance floor over the stated design range.</w:t>
      </w:r>
    </w:p>
    <w:p w14:paraId="6A053077" w14:textId="77777777" w:rsidR="0082512A" w:rsidRDefault="00D64D03">
      <w:pPr>
        <w:pStyle w:val="Corpotesto"/>
        <w:keepNext/>
      </w:pPr>
      <w:r>
        <w:rPr>
          <w:b/>
          <w:bCs/>
        </w:rPr>
        <w:t>Table S2 Deterministic evaluation of the assumed scenario</w:t>
      </w:r>
    </w:p>
    <w:tbl>
      <w:tblPr>
        <w:tblStyle w:val="Table"/>
        <w:tblW w:w="5000" w:type="pct"/>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5" w:type="dxa"/>
          <w:left w:w="90" w:type="dxa"/>
          <w:bottom w:w="75" w:type="dxa"/>
          <w:right w:w="90" w:type="dxa"/>
        </w:tblCellMar>
        <w:tblLook w:val="0020" w:firstRow="1" w:lastRow="0" w:firstColumn="0" w:lastColumn="0" w:noHBand="0" w:noVBand="0"/>
      </w:tblPr>
      <w:tblGrid>
        <w:gridCol w:w="1583"/>
        <w:gridCol w:w="2661"/>
        <w:gridCol w:w="2445"/>
        <w:gridCol w:w="2949"/>
      </w:tblGrid>
      <w:tr w:rsidR="0082512A" w14:paraId="4F247638" w14:textId="77777777" w:rsidTr="0082512A">
        <w:trPr>
          <w:cnfStyle w:val="100000000000" w:firstRow="1" w:lastRow="0" w:firstColumn="0" w:lastColumn="0" w:oddVBand="0" w:evenVBand="0" w:oddHBand="0" w:evenHBand="0" w:firstRowFirstColumn="0" w:firstRowLastColumn="0" w:lastRowFirstColumn="0" w:lastRowLastColumn="0"/>
          <w:cantSplit/>
          <w:tblHeader/>
          <w:jc w:val="center"/>
        </w:trPr>
        <w:tc>
          <w:tcPr>
            <w:tcW w:w="1584" w:type="dxa"/>
            <w:vAlign w:val="center"/>
          </w:tcPr>
          <w:p w14:paraId="64213EEA" w14:textId="77777777" w:rsidR="0082512A" w:rsidRDefault="00D64D03">
            <w:pPr>
              <w:pStyle w:val="Compact"/>
              <w:spacing w:after="40" w:line="259" w:lineRule="auto"/>
            </w:pPr>
            <w:r>
              <w:rPr>
                <w:b/>
                <w:sz w:val="20"/>
              </w:rPr>
              <w:t>Total time τ in s</w:t>
            </w:r>
          </w:p>
        </w:tc>
        <w:tc>
          <w:tcPr>
            <w:tcW w:w="2664" w:type="dxa"/>
            <w:vAlign w:val="center"/>
          </w:tcPr>
          <w:p w14:paraId="6A77703F" w14:textId="77777777" w:rsidR="0082512A" w:rsidRDefault="00D64D03">
            <w:pPr>
              <w:pStyle w:val="Compact"/>
              <w:spacing w:after="40" w:line="259" w:lineRule="auto"/>
              <w:jc w:val="center"/>
            </w:pPr>
            <w:r>
              <w:rPr>
                <w:b/>
                <w:sz w:val="20"/>
              </w:rPr>
              <w:t>Field standard deviation in nT</w:t>
            </w:r>
          </w:p>
        </w:tc>
        <w:tc>
          <w:tcPr>
            <w:tcW w:w="2448" w:type="dxa"/>
            <w:vAlign w:val="center"/>
          </w:tcPr>
          <w:p w14:paraId="031A078B" w14:textId="77777777" w:rsidR="0082512A" w:rsidRDefault="00D64D03">
            <w:pPr>
              <w:pStyle w:val="Compact"/>
              <w:spacing w:after="40" w:line="259" w:lineRule="auto"/>
              <w:jc w:val="center"/>
            </w:pPr>
            <w:r>
              <w:rPr>
                <w:b/>
                <w:sz w:val="20"/>
              </w:rPr>
              <w:t>Variance ratio r/p</w:t>
            </w:r>
          </w:p>
        </w:tc>
        <w:tc>
          <w:tcPr>
            <w:tcW w:w="2952" w:type="dxa"/>
            <w:vAlign w:val="center"/>
          </w:tcPr>
          <w:p w14:paraId="18A00D21" w14:textId="77777777" w:rsidR="0082512A" w:rsidRDefault="00D64D03">
            <w:pPr>
              <w:pStyle w:val="Compact"/>
              <w:spacing w:after="40" w:line="259" w:lineRule="auto"/>
              <w:jc w:val="center"/>
            </w:pPr>
            <w:r>
              <w:rPr>
                <w:b/>
                <w:sz w:val="20"/>
              </w:rPr>
              <w:t>Gain divided by p k₀²</w:t>
            </w:r>
          </w:p>
        </w:tc>
      </w:tr>
      <w:tr w:rsidR="0082512A" w14:paraId="5CCBECCB" w14:textId="77777777" w:rsidTr="0082512A">
        <w:trPr>
          <w:cantSplit/>
          <w:jc w:val="center"/>
        </w:trPr>
        <w:tc>
          <w:tcPr>
            <w:tcW w:w="1584" w:type="dxa"/>
            <w:vAlign w:val="center"/>
          </w:tcPr>
          <w:p w14:paraId="44D81AE9" w14:textId="77777777" w:rsidR="0082512A" w:rsidRDefault="00D64D03">
            <w:pPr>
              <w:pStyle w:val="Compact"/>
              <w:spacing w:after="40" w:line="259" w:lineRule="auto"/>
            </w:pPr>
            <w:r>
              <w:rPr>
                <w:sz w:val="20"/>
              </w:rPr>
              <w:t>0.10</w:t>
            </w:r>
          </w:p>
        </w:tc>
        <w:tc>
          <w:tcPr>
            <w:tcW w:w="2664" w:type="dxa"/>
            <w:vAlign w:val="center"/>
          </w:tcPr>
          <w:p w14:paraId="318D2AF2" w14:textId="77777777" w:rsidR="0082512A" w:rsidRDefault="00D64D03">
            <w:pPr>
              <w:pStyle w:val="Compact"/>
              <w:spacing w:after="40" w:line="259" w:lineRule="auto"/>
              <w:jc w:val="center"/>
            </w:pPr>
            <w:r>
              <w:rPr>
                <w:sz w:val="20"/>
              </w:rPr>
              <w:t>29.048961</w:t>
            </w:r>
          </w:p>
        </w:tc>
        <w:tc>
          <w:tcPr>
            <w:tcW w:w="2448" w:type="dxa"/>
            <w:vAlign w:val="center"/>
          </w:tcPr>
          <w:p w14:paraId="0FB558A3" w14:textId="77777777" w:rsidR="0082512A" w:rsidRDefault="00D64D03">
            <w:pPr>
              <w:pStyle w:val="Compact"/>
              <w:spacing w:after="40" w:line="259" w:lineRule="auto"/>
              <w:jc w:val="center"/>
            </w:pPr>
            <w:r>
              <w:rPr>
                <w:sz w:val="20"/>
              </w:rPr>
              <w:t>8.4384211</w:t>
            </w:r>
          </w:p>
        </w:tc>
        <w:tc>
          <w:tcPr>
            <w:tcW w:w="2952" w:type="dxa"/>
            <w:vAlign w:val="center"/>
          </w:tcPr>
          <w:p w14:paraId="3B162D12" w14:textId="77777777" w:rsidR="0082512A" w:rsidRDefault="00D64D03">
            <w:pPr>
              <w:pStyle w:val="Compact"/>
              <w:spacing w:after="40" w:line="259" w:lineRule="auto"/>
              <w:jc w:val="center"/>
            </w:pPr>
            <w:r>
              <w:rPr>
                <w:sz w:val="20"/>
              </w:rPr>
              <w:t>0.08581944</w:t>
            </w:r>
          </w:p>
        </w:tc>
      </w:tr>
      <w:tr w:rsidR="0082512A" w14:paraId="0B0C6B8C" w14:textId="77777777" w:rsidTr="0082512A">
        <w:trPr>
          <w:cantSplit/>
          <w:jc w:val="center"/>
        </w:trPr>
        <w:tc>
          <w:tcPr>
            <w:tcW w:w="1584" w:type="dxa"/>
            <w:vAlign w:val="center"/>
          </w:tcPr>
          <w:p w14:paraId="16481F1C" w14:textId="77777777" w:rsidR="0082512A" w:rsidRDefault="00D64D03">
            <w:pPr>
              <w:pStyle w:val="Compact"/>
              <w:spacing w:after="40" w:line="259" w:lineRule="auto"/>
            </w:pPr>
            <w:r>
              <w:rPr>
                <w:sz w:val="20"/>
              </w:rPr>
              <w:t>1.00</w:t>
            </w:r>
          </w:p>
        </w:tc>
        <w:tc>
          <w:tcPr>
            <w:tcW w:w="2664" w:type="dxa"/>
            <w:vAlign w:val="center"/>
          </w:tcPr>
          <w:p w14:paraId="67DE3635" w14:textId="77777777" w:rsidR="0082512A" w:rsidRDefault="00D64D03">
            <w:pPr>
              <w:pStyle w:val="Compact"/>
              <w:spacing w:after="40" w:line="259" w:lineRule="auto"/>
              <w:jc w:val="center"/>
            </w:pPr>
            <w:r>
              <w:rPr>
                <w:sz w:val="20"/>
              </w:rPr>
              <w:t>9.379990</w:t>
            </w:r>
          </w:p>
        </w:tc>
        <w:tc>
          <w:tcPr>
            <w:tcW w:w="2448" w:type="dxa"/>
            <w:vAlign w:val="center"/>
          </w:tcPr>
          <w:p w14:paraId="52D28291" w14:textId="77777777" w:rsidR="0082512A" w:rsidRDefault="00D64D03">
            <w:pPr>
              <w:pStyle w:val="Compact"/>
              <w:spacing w:after="40" w:line="259" w:lineRule="auto"/>
              <w:jc w:val="center"/>
            </w:pPr>
            <w:r>
              <w:rPr>
                <w:sz w:val="20"/>
              </w:rPr>
              <w:t>0.8798421</w:t>
            </w:r>
          </w:p>
        </w:tc>
        <w:tc>
          <w:tcPr>
            <w:tcW w:w="2952" w:type="dxa"/>
            <w:vAlign w:val="center"/>
          </w:tcPr>
          <w:p w14:paraId="70E7E36B" w14:textId="77777777" w:rsidR="0082512A" w:rsidRDefault="00D64D03">
            <w:pPr>
              <w:pStyle w:val="Compact"/>
              <w:spacing w:after="40" w:line="259" w:lineRule="auto"/>
              <w:jc w:val="center"/>
            </w:pPr>
            <w:r>
              <w:rPr>
                <w:sz w:val="20"/>
              </w:rPr>
              <w:t>0.43088725</w:t>
            </w:r>
          </w:p>
        </w:tc>
      </w:tr>
      <w:tr w:rsidR="0082512A" w14:paraId="2F13B59A" w14:textId="77777777" w:rsidTr="0082512A">
        <w:trPr>
          <w:cantSplit/>
          <w:jc w:val="center"/>
        </w:trPr>
        <w:tc>
          <w:tcPr>
            <w:tcW w:w="1584" w:type="dxa"/>
            <w:vAlign w:val="center"/>
          </w:tcPr>
          <w:p w14:paraId="76868E15" w14:textId="77777777" w:rsidR="0082512A" w:rsidRDefault="00D64D03">
            <w:pPr>
              <w:pStyle w:val="Compact"/>
              <w:spacing w:after="40" w:line="259" w:lineRule="auto"/>
            </w:pPr>
            <w:r>
              <w:rPr>
                <w:sz w:val="20"/>
              </w:rPr>
              <w:t>10.0</w:t>
            </w:r>
          </w:p>
        </w:tc>
        <w:tc>
          <w:tcPr>
            <w:tcW w:w="2664" w:type="dxa"/>
            <w:vAlign w:val="center"/>
          </w:tcPr>
          <w:p w14:paraId="2305AC9F" w14:textId="77777777" w:rsidR="0082512A" w:rsidRDefault="00D64D03">
            <w:pPr>
              <w:pStyle w:val="Compact"/>
              <w:spacing w:after="40" w:line="259" w:lineRule="auto"/>
              <w:jc w:val="center"/>
            </w:pPr>
            <w:r>
              <w:rPr>
                <w:sz w:val="20"/>
              </w:rPr>
              <w:t>3.521139</w:t>
            </w:r>
          </w:p>
        </w:tc>
        <w:tc>
          <w:tcPr>
            <w:tcW w:w="2448" w:type="dxa"/>
            <w:vAlign w:val="center"/>
          </w:tcPr>
          <w:p w14:paraId="2BBC264E" w14:textId="77777777" w:rsidR="0082512A" w:rsidRDefault="00D64D03">
            <w:pPr>
              <w:pStyle w:val="Compact"/>
              <w:spacing w:after="40" w:line="259" w:lineRule="auto"/>
              <w:jc w:val="center"/>
            </w:pPr>
            <w:r>
              <w:rPr>
                <w:sz w:val="20"/>
              </w:rPr>
              <w:t>0.1239842</w:t>
            </w:r>
          </w:p>
        </w:tc>
        <w:tc>
          <w:tcPr>
            <w:tcW w:w="2952" w:type="dxa"/>
            <w:vAlign w:val="center"/>
          </w:tcPr>
          <w:p w14:paraId="6C16504E" w14:textId="77777777" w:rsidR="0082512A" w:rsidRDefault="00D64D03">
            <w:pPr>
              <w:pStyle w:val="Compact"/>
              <w:spacing w:after="40" w:line="259" w:lineRule="auto"/>
              <w:jc w:val="center"/>
            </w:pPr>
            <w:r>
              <w:rPr>
                <w:sz w:val="20"/>
              </w:rPr>
              <w:t>0.72065069</w:t>
            </w:r>
          </w:p>
        </w:tc>
      </w:tr>
    </w:tbl>
    <w:p w14:paraId="222A92C3" w14:textId="77777777" w:rsidR="0082512A" w:rsidRDefault="00D64D03">
      <w:pPr>
        <w:pStyle w:val="Corpotesto"/>
      </w:pPr>
      <w:r>
        <w:t>The CSV file Table_2_scenario.csv provides the unrounded numerical outputs. Each row is a separate quasi-static scenario with fixed p. For a time-varying field, averaging changes p and the response filter; holding p fixed is then not an instrument-performance prediction.</w:t>
      </w:r>
    </w:p>
    <w:p w14:paraId="564D170F" w14:textId="77777777" w:rsidR="0082512A" w:rsidRDefault="00D64D03">
      <w:pPr>
        <w:pStyle w:val="Corpotesto"/>
      </w:pPr>
      <w:r>
        <w:t>For a specified normalized target g₀ &gt; 0 and u &lt; 1, finite acquisition time under Eq. (S7) can attain the target only when</w:t>
      </w:r>
    </w:p>
    <w:p w14:paraId="667A7A95" w14:textId="77777777" w:rsidR="0082512A" w:rsidRDefault="00D64D03">
      <w:pPr>
        <w:pStyle w:val="Corpotesto"/>
        <w:keepLines/>
        <w:spacing w:before="120" w:after="160" w:line="264" w:lineRule="auto"/>
      </w:pPr>
      <m:oMathPara>
        <m:oMathParaPr>
          <m:jc m:val="center"/>
        </m:oMathParaPr>
        <m:oMath>
          <m:sSub>
            <m:sSubPr>
              <m:ctrlPr>
                <w:rPr>
                  <w:rFonts w:ascii="Cambria Math" w:hAnsi="Cambria Math"/>
                </w:rPr>
              </m:ctrlPr>
            </m:sSubPr>
            <m:e>
              <m:r>
                <w:rPr>
                  <w:rFonts w:ascii="Cambria Math" w:hAnsi="Cambria Math"/>
                </w:rPr>
                <m:t>B</m:t>
              </m:r>
            </m:e>
            <m:sub>
              <m:r>
                <m:rPr>
                  <m:sty m:val="p"/>
                </m:rPr>
                <w:rPr>
                  <w:rFonts w:ascii="Cambria Math" w:hAnsi="Cambria Math"/>
                </w:rPr>
                <m:t>allow</m:t>
              </m:r>
            </m:sub>
          </m:sSub>
          <m:r>
            <m:rPr>
              <m:sty m:val="p"/>
            </m:rPr>
            <w:rPr>
              <w:rFonts w:ascii="Cambria Math" w:hAnsi="Cambria Math"/>
            </w:rPr>
            <m:t>=</m:t>
          </m:r>
          <m:r>
            <w:rPr>
              <w:rFonts w:ascii="Cambria Math" w:hAnsi="Cambria Math"/>
            </w:rPr>
            <m:t>p</m:t>
          </m:r>
          <m:r>
            <m:rPr>
              <m:sty m:val="p"/>
            </m:rPr>
            <w:rPr>
              <w:rFonts w:ascii="Cambria Math" w:hAnsi="Cambria Math"/>
            </w:rPr>
            <m:t>[</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u</m:t>
                      </m:r>
                    </m:e>
                  </m:d>
                </m:e>
                <m:sup>
                  <m:r>
                    <w:rPr>
                      <w:rFonts w:ascii="Cambria Math" w:hAnsi="Cambria Math"/>
                    </w:rPr>
                    <m:t>2</m:t>
                  </m:r>
                </m:sup>
              </m:sSup>
            </m:num>
            <m:den>
              <m:sSub>
                <m:sSubPr>
                  <m:ctrlPr>
                    <w:rPr>
                      <w:rFonts w:ascii="Cambria Math" w:hAnsi="Cambria Math"/>
                    </w:rPr>
                  </m:ctrlPr>
                </m:sSubPr>
                <m:e>
                  <m:r>
                    <w:rPr>
                      <w:rFonts w:ascii="Cambria Math" w:hAnsi="Cambria Math"/>
                    </w:rPr>
                    <m:t>g</m:t>
                  </m:r>
                </m:e>
                <m:sub>
                  <m:r>
                    <w:rPr>
                      <w:rFonts w:ascii="Cambria Math" w:hAnsi="Cambria Math"/>
                    </w:rPr>
                    <m:t>0</m:t>
                  </m:r>
                </m:sub>
              </m:sSub>
            </m:den>
          </m:f>
          <m:r>
            <m:rPr>
              <m:sty m:val="p"/>
            </m:rPr>
            <w:rPr>
              <w:rFonts w:ascii="Cambria Math" w:hAnsi="Cambria Math"/>
            </w:rPr>
            <m:t>-</m:t>
          </m:r>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0</m:t>
              </m:r>
            </m:sub>
          </m:sSub>
          <m:r>
            <m:rPr>
              <m:sty m:val="p"/>
            </m:rPr>
            <w:rPr>
              <w:rFonts w:ascii="Cambria Math" w:hAnsi="Cambria Math"/>
            </w:rPr>
            <m:t>&gt;</m:t>
          </m:r>
          <m:r>
            <w:rPr>
              <w:rFonts w:ascii="Cambria Math" w:hAnsi="Cambria Math"/>
            </w:rPr>
            <m:t>0</m:t>
          </m:r>
          <m:r>
            <m:rPr>
              <m:sty m:val="p"/>
            </m:rPr>
            <w:rPr>
              <w:rFonts w:ascii="Cambria Math" w:hAnsi="Cambria Math"/>
            </w:rPr>
            <m:t>,</m:t>
          </m:r>
          <m:r>
            <w:rPr>
              <w:rFonts w:ascii="Cambria Math" w:hAnsi="Cambria Math"/>
            </w:rPr>
            <m:t>  </m:t>
          </m:r>
          <m:r>
            <w:rPr>
              <w:rFonts w:ascii="Cambria Math" w:hAnsi="Cambria Math"/>
            </w:rPr>
            <m:t>τ</m:t>
          </m:r>
          <m:r>
            <m:rPr>
              <m:sty m:val="p"/>
            </m:rPr>
            <w:rPr>
              <w:rFonts w:ascii="Cambria Math" w:hAnsi="Cambria Math"/>
            </w:rPr>
            <m:t>≥</m:t>
          </m:r>
          <m:f>
            <m:fPr>
              <m:ctrlPr>
                <w:rPr>
                  <w:rFonts w:ascii="Cambria Math" w:hAnsi="Cambria Math"/>
                </w:rPr>
              </m:ctrlPr>
            </m:fPr>
            <m:num>
              <m:r>
                <w:rPr>
                  <w:rFonts w:ascii="Cambria Math" w:hAnsi="Cambria Math"/>
                </w:rPr>
                <m:t>A</m:t>
              </m:r>
            </m:num>
            <m:den>
              <m:sSub>
                <m:sSubPr>
                  <m:ctrlPr>
                    <w:rPr>
                      <w:rFonts w:ascii="Cambria Math" w:hAnsi="Cambria Math"/>
                    </w:rPr>
                  </m:ctrlPr>
                </m:sSubPr>
                <m:e>
                  <m:r>
                    <w:rPr>
                      <w:rFonts w:ascii="Cambria Math" w:hAnsi="Cambria Math"/>
                    </w:rPr>
                    <m:t>B</m:t>
                  </m:r>
                </m:e>
                <m:sub>
                  <m:r>
                    <m:rPr>
                      <m:sty m:val="p"/>
                    </m:rPr>
                    <w:rPr>
                      <w:rFonts w:ascii="Cambria Math" w:hAnsi="Cambria Math"/>
                    </w:rPr>
                    <m:t>allow</m:t>
                  </m:r>
                </m:sub>
              </m:sSub>
            </m:den>
          </m:f>
          <m:r>
            <m:rPr>
              <m:sty m:val="p"/>
            </m:rPr>
            <w:rPr>
              <w:rFonts w:ascii="Cambria Math" w:hAnsi="Cambria Math"/>
            </w:rPr>
            <m:t>.</m:t>
          </m:r>
          <m:r>
            <w:rPr>
              <w:rFonts w:ascii="Cambria Math" w:hAnsi="Cambria Math"/>
            </w:rPr>
            <m:t> </m:t>
          </m:r>
          <m:r>
            <m:rPr>
              <m:nor/>
            </m:rPr>
            <m:t>(S8)</m:t>
          </m:r>
        </m:oMath>
      </m:oMathPara>
    </w:p>
    <w:p w14:paraId="03BD81B2" w14:textId="77777777" w:rsidR="0082512A" w:rsidRDefault="00D64D03">
      <w:pPr>
        <w:pStyle w:val="FirstParagraph"/>
      </w:pPr>
      <w:r>
        <w:t>For g₀ = 0.50 and the Table S1 inputs, the threshold is approximately 1.448 s. At fixed r₀ the uncertainty boundary is u = 1 − √[g₀(1 + r₀/p)], provided its right-hand side is positive. The Figure 4 floor scenarios of 0, 2, and 5 nT give boundaries of approximately 0.292893, 0.278890, and 0.209431. At the boundary, the target is only approached as time tends to infinity for A &gt; 0; beyond it, the model excludes the target.</w:t>
      </w:r>
    </w:p>
    <w:p w14:paraId="18253BCB" w14:textId="77777777" w:rsidR="0082512A" w:rsidRDefault="00D64D03">
      <w:pPr>
        <w:pStyle w:val="Titolo1"/>
      </w:pPr>
      <w:bookmarkStart w:id="3" w:name="s4-multichannel-consistency-check"/>
      <w:bookmarkEnd w:id="2"/>
      <w:r>
        <w:lastRenderedPageBreak/>
        <w:t>S4 Multichannel consistency check</w:t>
      </w:r>
    </w:p>
    <w:p w14:paraId="6773A213" w14:textId="77777777" w:rsidR="0082512A" w:rsidRDefault="00D64D03">
      <w:pPr>
        <w:pStyle w:val="FirstParagraph"/>
      </w:pPr>
      <w:r>
        <w:t>With positive-definite witness covariance Q and uncertain cross-covariance c₀ + L u, where the Euclidean norm of u does not exceed one, the guaranteed gain is 2w</w:t>
      </w:r>
      <w:r>
        <w:t>ᵀ</w:t>
      </w:r>
      <w:r>
        <w:t>c₀ − 2‖L</w:t>
      </w:r>
      <w:r>
        <w:t>ᵀ</w:t>
      </w:r>
      <w:r>
        <w:t>w‖₂ − w</w:t>
      </w:r>
      <w:r>
        <w:t>ᵀ</w:t>
      </w:r>
      <w:r>
        <w:t>Qw. For L = αQ¹</w:t>
      </w:r>
      <w:r>
        <w:t>ᐟ</w:t>
      </w:r>
      <w:r>
        <w:t>², α ≥ 0, let d² = c₀</w:t>
      </w:r>
      <w:r>
        <w:t>ᵀ</w:t>
      </w:r>
      <w:r>
        <w:t>Q⁻¹c₀. The manuscript obtains</w:t>
      </w:r>
    </w:p>
    <w:p w14:paraId="5A1DB01B" w14:textId="77777777" w:rsidR="0082512A" w:rsidRDefault="00D64D03">
      <w:pPr>
        <w:pStyle w:val="Corpotesto"/>
        <w:keepLines/>
        <w:spacing w:before="120" w:after="160" w:line="264" w:lineRule="auto"/>
      </w:pPr>
      <m:oMathPara>
        <m:oMathParaPr>
          <m:jc m:val="center"/>
        </m:oMathParaPr>
        <m:oMath>
          <m:sSub>
            <m:sSubPr>
              <m:ctrlPr>
                <w:rPr>
                  <w:rFonts w:ascii="Cambria Math" w:hAnsi="Cambria Math"/>
                </w:rPr>
              </m:ctrlPr>
            </m:sSubPr>
            <m:e>
              <m:r>
                <w:rPr>
                  <w:rFonts w:ascii="Cambria Math" w:hAnsi="Cambria Math"/>
                </w:rPr>
                <m:t>w</m:t>
              </m:r>
            </m:e>
            <m:sub>
              <m:r>
                <m:rPr>
                  <m:sty m:val="p"/>
                </m:rPr>
                <w:rPr>
                  <w:rFonts w:ascii="Cambria Math" w:hAnsi="Cambria Math"/>
                </w:rPr>
                <m:t>*</m:t>
              </m:r>
            </m:sub>
          </m:sSub>
          <m:r>
            <m:rPr>
              <m:sty m:val="p"/>
            </m:rPr>
            <w:rPr>
              <w:rFonts w:ascii="Cambria Math" w:hAnsi="Cambria Math"/>
            </w:rPr>
            <m:t>=max</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α</m:t>
              </m:r>
              <m:r>
                <m:rPr>
                  <m:sty m:val="p"/>
                </m:rPr>
                <w:rPr>
                  <w:rFonts w:ascii="Cambria Math" w:hAnsi="Cambria Math"/>
                </w:rPr>
                <m:t>/</m:t>
              </m:r>
              <m:r>
                <w:rPr>
                  <w:rFonts w:ascii="Cambria Math" w:hAnsi="Cambria Math"/>
                </w:rPr>
                <m:t>d</m:t>
              </m:r>
              <m:r>
                <m:rPr>
                  <m:sty m:val="p"/>
                </m:rPr>
                <w:rPr>
                  <w:rFonts w:ascii="Cambria Math" w:hAnsi="Cambria Math"/>
                </w:rPr>
                <m:t>,</m:t>
              </m:r>
              <m:r>
                <w:rPr>
                  <w:rFonts w:ascii="Cambria Math" w:hAnsi="Cambria Math"/>
                </w:rPr>
                <m:t>0</m:t>
              </m:r>
            </m:e>
          </m:d>
          <m:sSup>
            <m:sSupPr>
              <m:ctrlPr>
                <w:rPr>
                  <w:rFonts w:ascii="Cambria Math" w:hAnsi="Cambria Math"/>
                </w:rPr>
              </m:ctrlPr>
            </m:sSupPr>
            <m:e>
              <m:r>
                <w:rPr>
                  <w:rFonts w:ascii="Cambria Math" w:hAnsi="Cambria Math"/>
                </w:rPr>
                <m:t>Q</m:t>
              </m:r>
            </m:e>
            <m:sup>
              <m:r>
                <m:rPr>
                  <m:sty m:val="p"/>
                </m:rPr>
                <w:rPr>
                  <w:rFonts w:ascii="Cambria Math" w:hAnsi="Cambria Math"/>
                </w:rPr>
                <m:t>-</m:t>
              </m:r>
              <m:r>
                <w:rPr>
                  <w:rFonts w:ascii="Cambria Math" w:hAnsi="Cambria Math"/>
                </w:rPr>
                <m:t>1</m:t>
              </m:r>
            </m:sup>
          </m:sSup>
          <m:sSub>
            <m:sSubPr>
              <m:ctrlPr>
                <w:rPr>
                  <w:rFonts w:ascii="Cambria Math" w:hAnsi="Cambria Math"/>
                </w:rPr>
              </m:ctrlPr>
            </m:sSubPr>
            <m:e>
              <m:r>
                <w:rPr>
                  <w:rFonts w:ascii="Cambria Math" w:hAnsi="Cambria Math"/>
                </w:rPr>
                <m:t>c</m:t>
              </m:r>
            </m:e>
            <m:sub>
              <m:r>
                <w:rPr>
                  <w:rFonts w:ascii="Cambria Math" w:hAnsi="Cambria Math"/>
                </w:rPr>
                <m:t>0</m:t>
              </m:r>
            </m:sub>
          </m:sSub>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G</m:t>
              </m:r>
            </m:e>
            <m:sub>
              <m:r>
                <m:rPr>
                  <m:sty m:val="p"/>
                </m:rPr>
                <w:rPr>
                  <w:rFonts w:ascii="Cambria Math" w:hAnsi="Cambria Math"/>
                </w:rPr>
                <m:t>*</m:t>
              </m:r>
            </m:sub>
          </m:sSub>
          <m:r>
            <m:rPr>
              <m:sty m:val="p"/>
            </m:rPr>
            <w:rPr>
              <w:rFonts w:ascii="Cambria Math" w:hAnsi="Cambria Math"/>
            </w:rPr>
            <m:t>=max</m:t>
          </m:r>
          <m:sSup>
            <m:sSupPr>
              <m:ctrlPr>
                <w:rPr>
                  <w:rFonts w:ascii="Cambria Math" w:hAnsi="Cambria Math"/>
                </w:rPr>
              </m:ctrlPr>
            </m:sSupPr>
            <m:e>
              <m:d>
                <m:dPr>
                  <m:ctrlPr>
                    <w:rPr>
                      <w:rFonts w:ascii="Cambria Math" w:hAnsi="Cambria Math"/>
                    </w:rPr>
                  </m:ctrlPr>
                </m:dPr>
                <m:e>
                  <m:r>
                    <w:rPr>
                      <w:rFonts w:ascii="Cambria Math" w:hAnsi="Cambria Math"/>
                    </w:rPr>
                    <m:t>d</m:t>
                  </m:r>
                  <m:r>
                    <m:rPr>
                      <m:sty m:val="p"/>
                    </m:rPr>
                    <w:rPr>
                      <w:rFonts w:ascii="Cambria Math" w:hAnsi="Cambria Math"/>
                    </w:rPr>
                    <m:t>-</m:t>
                  </m:r>
                  <m:r>
                    <w:rPr>
                      <w:rFonts w:ascii="Cambria Math" w:hAnsi="Cambria Math"/>
                    </w:rPr>
                    <m:t>α</m:t>
                  </m:r>
                  <m:r>
                    <m:rPr>
                      <m:sty m:val="p"/>
                    </m:rPr>
                    <w:rPr>
                      <w:rFonts w:ascii="Cambria Math" w:hAnsi="Cambria Math"/>
                    </w:rPr>
                    <m:t>,</m:t>
                  </m:r>
                  <m:r>
                    <w:rPr>
                      <w:rFonts w:ascii="Cambria Math" w:hAnsi="Cambria Math"/>
                    </w:rPr>
                    <m:t>0</m:t>
                  </m:r>
                </m:e>
              </m:d>
            </m:e>
            <m:sup>
              <m:r>
                <w:rPr>
                  <w:rFonts w:ascii="Cambria Math" w:hAnsi="Cambria Math"/>
                </w:rPr>
                <m:t>2</m:t>
              </m:r>
            </m:sup>
          </m:sSup>
          <m:r>
            <m:rPr>
              <m:sty m:val="p"/>
            </m:rPr>
            <w:rPr>
              <w:rFonts w:ascii="Cambria Math" w:hAnsi="Cambria Math"/>
            </w:rPr>
            <m:t>.</m:t>
          </m:r>
          <m:r>
            <w:rPr>
              <w:rFonts w:ascii="Cambria Math" w:hAnsi="Cambria Math"/>
            </w:rPr>
            <m:t> </m:t>
          </m:r>
          <m:r>
            <m:rPr>
              <m:nor/>
            </m:rPr>
            <m:t>(S9)</m:t>
          </m:r>
        </m:oMath>
      </m:oMathPara>
    </w:p>
    <w:p w14:paraId="3FF9E9A7" w14:textId="77777777" w:rsidR="0082512A" w:rsidRDefault="00D64D03">
      <w:pPr>
        <w:pStyle w:val="FirstParagraph"/>
      </w:pPr>
      <w:r>
        <w:t>The coefficient is defined as zero when d = 0. The executable example uses Q₁₁ = 2, Q₂₂ = 1, Q₁₂ = Q₂₁ = 0.3, c₀ = (0.8, −0.2)</w:t>
      </w:r>
      <w:r>
        <w:t>ᵀ</w:t>
      </w:r>
      <w:r>
        <w:t>, and α = 0.2 in consistent dimensionless units. The square root of Q is computed by symmetric eigendecomposition. The closed-form objective is checked against unconstrained BFGS optimization initialized at zero. This is a selected two-channel numerical check; it is not an exhaustive test of covariance uncertainty or a representation of a telescope array.</w:t>
      </w:r>
    </w:p>
    <w:p w14:paraId="71859072" w14:textId="77777777" w:rsidR="0082512A" w:rsidRDefault="00D64D03">
      <w:pPr>
        <w:pStyle w:val="Corpotesto"/>
        <w:keepNext/>
      </w:pPr>
      <w:r>
        <w:rPr>
          <w:b/>
          <w:bCs/>
        </w:rPr>
        <w:t>Table S3 Recorded analytical consistency checks</w:t>
      </w:r>
    </w:p>
    <w:tbl>
      <w:tblPr>
        <w:tblStyle w:val="Table"/>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5" w:type="dxa"/>
          <w:left w:w="90" w:type="dxa"/>
          <w:bottom w:w="75" w:type="dxa"/>
          <w:right w:w="90" w:type="dxa"/>
        </w:tblCellMar>
        <w:tblLook w:val="0020" w:firstRow="1" w:lastRow="0" w:firstColumn="0" w:lastColumn="0" w:noHBand="0" w:noVBand="0"/>
      </w:tblPr>
      <w:tblGrid>
        <w:gridCol w:w="4968"/>
        <w:gridCol w:w="4680"/>
      </w:tblGrid>
      <w:tr w:rsidR="0082512A" w14:paraId="61C224BE" w14:textId="77777777" w:rsidTr="0082512A">
        <w:trPr>
          <w:cnfStyle w:val="100000000000" w:firstRow="1" w:lastRow="0" w:firstColumn="0" w:lastColumn="0" w:oddVBand="0" w:evenVBand="0" w:oddHBand="0" w:evenHBand="0" w:firstRowFirstColumn="0" w:firstRowLastColumn="0" w:lastRowFirstColumn="0" w:lastRowLastColumn="0"/>
          <w:cantSplit/>
          <w:tblHeader/>
          <w:jc w:val="center"/>
        </w:trPr>
        <w:tc>
          <w:tcPr>
            <w:tcW w:w="4968" w:type="dxa"/>
            <w:vAlign w:val="center"/>
          </w:tcPr>
          <w:p w14:paraId="2C034B05" w14:textId="77777777" w:rsidR="0082512A" w:rsidRDefault="00D64D03">
            <w:pPr>
              <w:pStyle w:val="Compact"/>
              <w:spacing w:after="40" w:line="259" w:lineRule="auto"/>
            </w:pPr>
            <w:r>
              <w:rPr>
                <w:b/>
                <w:sz w:val="20"/>
              </w:rPr>
              <w:t>Quantity</w:t>
            </w:r>
          </w:p>
        </w:tc>
        <w:tc>
          <w:tcPr>
            <w:tcW w:w="4680" w:type="dxa"/>
            <w:vAlign w:val="center"/>
          </w:tcPr>
          <w:p w14:paraId="1561BDFC" w14:textId="77777777" w:rsidR="0082512A" w:rsidRDefault="00D64D03">
            <w:pPr>
              <w:pStyle w:val="Compact"/>
              <w:spacing w:after="40" w:line="259" w:lineRule="auto"/>
              <w:jc w:val="center"/>
            </w:pPr>
            <w:r>
              <w:rPr>
                <w:b/>
                <w:sz w:val="20"/>
              </w:rPr>
              <w:t>Recorded result</w:t>
            </w:r>
          </w:p>
        </w:tc>
      </w:tr>
      <w:tr w:rsidR="0082512A" w14:paraId="64B6487D" w14:textId="77777777" w:rsidTr="0082512A">
        <w:trPr>
          <w:cantSplit/>
          <w:jc w:val="center"/>
        </w:trPr>
        <w:tc>
          <w:tcPr>
            <w:tcW w:w="4968" w:type="dxa"/>
            <w:vAlign w:val="center"/>
          </w:tcPr>
          <w:p w14:paraId="70086FB4" w14:textId="77777777" w:rsidR="0082512A" w:rsidRDefault="00D64D03">
            <w:pPr>
              <w:pStyle w:val="Compact"/>
              <w:spacing w:after="40" w:line="259" w:lineRule="auto"/>
            </w:pPr>
            <w:r>
              <w:rPr>
                <w:sz w:val="20"/>
              </w:rPr>
              <w:t>Scalar parameter combinations</w:t>
            </w:r>
          </w:p>
        </w:tc>
        <w:tc>
          <w:tcPr>
            <w:tcW w:w="4680" w:type="dxa"/>
            <w:vAlign w:val="center"/>
          </w:tcPr>
          <w:p w14:paraId="0EB22EB3" w14:textId="77777777" w:rsidR="0082512A" w:rsidRDefault="00D64D03">
            <w:pPr>
              <w:pStyle w:val="Compact"/>
              <w:spacing w:after="40" w:line="259" w:lineRule="auto"/>
              <w:jc w:val="center"/>
            </w:pPr>
            <w:r>
              <w:rPr>
                <w:sz w:val="20"/>
              </w:rPr>
              <w:t>108</w:t>
            </w:r>
          </w:p>
        </w:tc>
      </w:tr>
      <w:tr w:rsidR="0082512A" w14:paraId="27065290" w14:textId="77777777" w:rsidTr="0082512A">
        <w:trPr>
          <w:cantSplit/>
          <w:jc w:val="center"/>
        </w:trPr>
        <w:tc>
          <w:tcPr>
            <w:tcW w:w="4968" w:type="dxa"/>
            <w:vAlign w:val="center"/>
          </w:tcPr>
          <w:p w14:paraId="4007DDD8" w14:textId="77777777" w:rsidR="0082512A" w:rsidRDefault="00D64D03">
            <w:pPr>
              <w:pStyle w:val="Compact"/>
              <w:spacing w:after="40" w:line="259" w:lineRule="auto"/>
            </w:pPr>
            <w:r>
              <w:rPr>
                <w:sz w:val="20"/>
              </w:rPr>
              <w:t>Maximum scalar endpoint identity error</w:t>
            </w:r>
          </w:p>
        </w:tc>
        <w:tc>
          <w:tcPr>
            <w:tcW w:w="4680" w:type="dxa"/>
            <w:vAlign w:val="center"/>
          </w:tcPr>
          <w:p w14:paraId="08D679AB" w14:textId="77777777" w:rsidR="0082512A" w:rsidRDefault="00D64D03">
            <w:pPr>
              <w:pStyle w:val="Compact"/>
              <w:spacing w:after="40" w:line="259" w:lineRule="auto"/>
              <w:jc w:val="center"/>
            </w:pPr>
            <w:r>
              <w:rPr>
                <w:sz w:val="20"/>
              </w:rPr>
              <w:t>3.553 × 10⁻¹⁵</w:t>
            </w:r>
          </w:p>
        </w:tc>
      </w:tr>
      <w:tr w:rsidR="0082512A" w14:paraId="3AC4D98F" w14:textId="77777777" w:rsidTr="0082512A">
        <w:trPr>
          <w:cantSplit/>
          <w:jc w:val="center"/>
        </w:trPr>
        <w:tc>
          <w:tcPr>
            <w:tcW w:w="4968" w:type="dxa"/>
            <w:vAlign w:val="center"/>
          </w:tcPr>
          <w:p w14:paraId="389A360E" w14:textId="77777777" w:rsidR="0082512A" w:rsidRDefault="00D64D03">
            <w:pPr>
              <w:pStyle w:val="Compact"/>
              <w:spacing w:after="40" w:line="259" w:lineRule="auto"/>
            </w:pPr>
            <w:r>
              <w:rPr>
                <w:sz w:val="20"/>
              </w:rPr>
              <w:t>Maximum inverse Fisher identity error</w:t>
            </w:r>
          </w:p>
        </w:tc>
        <w:tc>
          <w:tcPr>
            <w:tcW w:w="4680" w:type="dxa"/>
            <w:vAlign w:val="center"/>
          </w:tcPr>
          <w:p w14:paraId="0F188577" w14:textId="77777777" w:rsidR="0082512A" w:rsidRDefault="00D64D03">
            <w:pPr>
              <w:pStyle w:val="Compact"/>
              <w:spacing w:after="40" w:line="259" w:lineRule="auto"/>
              <w:jc w:val="center"/>
            </w:pPr>
            <w:r>
              <w:rPr>
                <w:sz w:val="20"/>
              </w:rPr>
              <w:t>2.220 × 10⁻¹⁵</w:t>
            </w:r>
          </w:p>
        </w:tc>
      </w:tr>
      <w:tr w:rsidR="0082512A" w14:paraId="2BB143BB" w14:textId="77777777" w:rsidTr="0082512A">
        <w:trPr>
          <w:cantSplit/>
          <w:jc w:val="center"/>
        </w:trPr>
        <w:tc>
          <w:tcPr>
            <w:tcW w:w="4968" w:type="dxa"/>
            <w:vAlign w:val="center"/>
          </w:tcPr>
          <w:p w14:paraId="2CDB06B0" w14:textId="77777777" w:rsidR="0082512A" w:rsidRDefault="00D64D03">
            <w:pPr>
              <w:pStyle w:val="Compact"/>
              <w:spacing w:after="40" w:line="259" w:lineRule="auto"/>
            </w:pPr>
            <w:r>
              <w:rPr>
                <w:sz w:val="20"/>
              </w:rPr>
              <w:t>Absolute vector objective difference</w:t>
            </w:r>
          </w:p>
        </w:tc>
        <w:tc>
          <w:tcPr>
            <w:tcW w:w="4680" w:type="dxa"/>
            <w:vAlign w:val="center"/>
          </w:tcPr>
          <w:p w14:paraId="699C4934" w14:textId="77777777" w:rsidR="0082512A" w:rsidRDefault="00D64D03">
            <w:pPr>
              <w:pStyle w:val="Compact"/>
              <w:spacing w:after="40" w:line="259" w:lineRule="auto"/>
              <w:jc w:val="center"/>
            </w:pPr>
            <w:r>
              <w:rPr>
                <w:sz w:val="20"/>
              </w:rPr>
              <w:t>5.551 × 10⁻¹⁷</w:t>
            </w:r>
          </w:p>
        </w:tc>
      </w:tr>
      <w:tr w:rsidR="0082512A" w14:paraId="3ACEDA9D" w14:textId="77777777" w:rsidTr="0082512A">
        <w:trPr>
          <w:cantSplit/>
          <w:jc w:val="center"/>
        </w:trPr>
        <w:tc>
          <w:tcPr>
            <w:tcW w:w="4968" w:type="dxa"/>
            <w:vAlign w:val="center"/>
          </w:tcPr>
          <w:p w14:paraId="4A802FBB" w14:textId="77777777" w:rsidR="0082512A" w:rsidRDefault="00D64D03">
            <w:pPr>
              <w:pStyle w:val="Compact"/>
              <w:spacing w:after="40" w:line="259" w:lineRule="auto"/>
            </w:pPr>
            <w:r>
              <w:rPr>
                <w:sz w:val="20"/>
              </w:rPr>
              <w:t>Script assertion status</w:t>
            </w:r>
          </w:p>
        </w:tc>
        <w:tc>
          <w:tcPr>
            <w:tcW w:w="4680" w:type="dxa"/>
            <w:vAlign w:val="center"/>
          </w:tcPr>
          <w:p w14:paraId="32B3E7C2" w14:textId="77777777" w:rsidR="0082512A" w:rsidRDefault="00D64D03">
            <w:pPr>
              <w:pStyle w:val="Compact"/>
              <w:spacing w:after="40" w:line="259" w:lineRule="auto"/>
              <w:jc w:val="center"/>
            </w:pPr>
            <w:r>
              <w:rPr>
                <w:sz w:val="20"/>
              </w:rPr>
              <w:t>All checks passed</w:t>
            </w:r>
          </w:p>
        </w:tc>
      </w:tr>
    </w:tbl>
    <w:p w14:paraId="2CA58A69" w14:textId="77777777" w:rsidR="0082512A" w:rsidRDefault="00D64D03">
      <w:pPr>
        <w:pStyle w:val="Corpotesto"/>
      </w:pPr>
      <w:r>
        <w:t>The scalar identity error compares the formula with the endpoint minimum evaluated at the analytical coefficient. It is not the reported discrepancy from the scalar optimizer. The script separately asserts that no computed scalar optimum improves on the analytical gain by more than 10⁻⁷. The vector quantity compares objective values rather than coefficient-vector distances. All residuals in Table S3 concern the dimensionless checks; the last digits can vary with numerical library versions and floating-point</w:t>
      </w:r>
      <w:r>
        <w:t xml:space="preserve"> implementation.</w:t>
      </w:r>
    </w:p>
    <w:p w14:paraId="65BB9BA9" w14:textId="77777777" w:rsidR="0082512A" w:rsidRDefault="00D64D03">
      <w:pPr>
        <w:pStyle w:val="Titolo1"/>
      </w:pPr>
      <w:bookmarkStart w:id="4" w:name="s5-reproduction-and-figure-provenance"/>
      <w:bookmarkEnd w:id="3"/>
      <w:r>
        <w:t>S5 Reproduction and figure provenance</w:t>
      </w:r>
    </w:p>
    <w:p w14:paraId="694F811A" w14:textId="77777777" w:rsidR="0082512A" w:rsidRDefault="00D64D03">
      <w:pPr>
        <w:pStyle w:val="FirstParagraph"/>
      </w:pPr>
      <w:r>
        <w:t xml:space="preserve">The archive contains reproduce.py, README.txt, checks.json, Table_2_scenario.csv, Figure_2_surface.csv, this explanatory Word document, and four figure pairs in PNG and PDF. Extract the archive and run </w:t>
      </w:r>
      <w:r>
        <w:rPr>
          <w:rStyle w:val="VerbatimChar"/>
        </w:rPr>
        <w:t>python reproduce.py</w:t>
      </w:r>
      <w:r>
        <w:t xml:space="preserve"> </w:t>
      </w:r>
      <w:r>
        <w:t>using Python 3 with NumPy, SciPy, and Matplotlib installed. No network connection, private dataset, instrument driver, or random sampling is required. Outputs are written beside the script; existing generated outputs with the same names are overwritten.</w:t>
      </w:r>
    </w:p>
    <w:p w14:paraId="2A18B310" w14:textId="77777777" w:rsidR="0082512A" w:rsidRDefault="00D64D03">
      <w:pPr>
        <w:pStyle w:val="Corpotesto"/>
      </w:pPr>
      <w:r>
        <w:rPr>
          <w:b/>
          <w:bCs/>
        </w:rPr>
        <w:t>Recorded execution environment:</w:t>
      </w:r>
      <w:r>
        <w:t xml:space="preserve"> Python 3.12.14, NumPy 2.3.5, SciPy 1.17.0, and Matplotlib 3.10.8.</w:t>
      </w:r>
    </w:p>
    <w:p w14:paraId="109A46E1" w14:textId="77777777" w:rsidR="0082512A" w:rsidRDefault="00D64D03">
      <w:pPr>
        <w:pStyle w:val="Corpotesto"/>
      </w:pPr>
      <w:r>
        <w:t>Figure 1 is a schematic of the distinct science and magnetic witness channels. Figure 2 evaluates the normalized scalar guarantee on 241 uncertainty coordinates from 0 to 1.2 and 251 logarithmic variance-ratio coordinates from 10⁻³ to 10². Figure_2_surface.csv contains the resulting 60,491 coordinate-value records. Figure 3a evaluates nominal and robust corrections at r/p = 0.25; Figure 3b evaluates the removable fraction ρ²/(1 + r/pₛ) for variance ratios 0, 0.25, and 1. The two panels concern distinct mode</w:t>
      </w:r>
      <w:r>
        <w:t>l extensions. Figure 4 evaluates Eq. (S8) for g₀ = 0.50 using the three declared variance floors.</w:t>
      </w:r>
    </w:p>
    <w:p w14:paraId="099DE5F5" w14:textId="77777777" w:rsidR="0082512A" w:rsidRDefault="00D64D03">
      <w:pPr>
        <w:pStyle w:val="Corpotesto"/>
      </w:pPr>
      <w:r>
        <w:lastRenderedPageBreak/>
        <w:t>The graphics were generated specifically for the manuscript using the supplied script. PNG exports use a nominal 360 dpi setting; PDF exports preserve vector lines and text, while the Figure 2 color mesh is rasterized within the PDF. Figure titles and full legends are supplied in the main manuscript and the separate figure document. Numerical curves are evaluations of stated expressions and must not be described as measured sensitivities, field-test outcomes, or observed timing improvements.</w:t>
      </w:r>
    </w:p>
    <w:p w14:paraId="098B8EAC" w14:textId="77777777" w:rsidR="0082512A" w:rsidRDefault="00D64D03">
      <w:pPr>
        <w:pStyle w:val="Corpotesto"/>
      </w:pPr>
      <w:r>
        <w:t>Generative assistance with the formulation, drafting, code, and editing is disclosed in the Methods section of the main manuscript. This supplement supplies a reproducible computational record for author and reviewer assessment; it does not replace the named author’s review and approval of the scientific content.</w:t>
      </w:r>
      <w:bookmarkEnd w:id="4"/>
    </w:p>
    <w:sectPr w:rsidR="0082512A">
      <w:footerReference w:type="default" r:id="rId7"/>
      <w:pgSz w:w="12240" w:h="15840"/>
      <w:pgMar w:top="1080" w:right="1296" w:bottom="1080" w:left="1296"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D1B30" w14:textId="77777777" w:rsidR="00D64D03" w:rsidRDefault="00D64D03">
      <w:pPr>
        <w:spacing w:after="0" w:line="240" w:lineRule="auto"/>
      </w:pPr>
      <w:r>
        <w:separator/>
      </w:r>
    </w:p>
  </w:endnote>
  <w:endnote w:type="continuationSeparator" w:id="0">
    <w:p w14:paraId="42932E06" w14:textId="77777777" w:rsidR="00D64D03" w:rsidRDefault="00D64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75D3C" w14:textId="77777777" w:rsidR="0082512A" w:rsidRDefault="00D64D03">
    <w:pPr>
      <w:spacing w:line="240" w:lineRule="auto"/>
      <w:jc w:val="center"/>
    </w:pPr>
    <w:r>
      <w:rPr>
        <w:sz w:val="18"/>
      </w:rPr>
      <w:t xml:space="preserve">Supplementary </w:t>
    </w:r>
    <w:proofErr w:type="gramStart"/>
    <w:r>
      <w:rPr>
        <w:sz w:val="18"/>
      </w:rPr>
      <w:t>material  |</w:t>
    </w:r>
    <w:proofErr w:type="gramEnd"/>
    <w:r>
      <w:rPr>
        <w:sz w:val="18"/>
      </w:rPr>
      <w:t xml:space="preserve">  </w:t>
    </w:r>
    <w:r>
      <w:fldChar w:fldCharType="begin"/>
    </w:r>
    <w:r>
      <w:instrText>PAGE</w:instrText>
    </w:r>
    <w:r>
      <w:fldChar w:fldCharType="separate"/>
    </w:r>
    <w:r w:rsidR="00EA5BF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5C083" w14:textId="77777777" w:rsidR="00D64D03" w:rsidRDefault="00D64D03">
      <w:r>
        <w:separator/>
      </w:r>
    </w:p>
  </w:footnote>
  <w:footnote w:type="continuationSeparator" w:id="0">
    <w:p w14:paraId="04327726" w14:textId="77777777" w:rsidR="00D64D03" w:rsidRDefault="00D64D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8EDABAB8"/>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16cid:durableId="199760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12A"/>
    <w:rsid w:val="00787761"/>
    <w:rsid w:val="0082512A"/>
    <w:rsid w:val="00D64D03"/>
    <w:rsid w:val="00EA5BF8"/>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A19B1"/>
  <w15:docId w15:val="{34CB608E-80F5-4C54-A7FC-2B9C35406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pPr>
      <w:spacing w:after="120" w:line="288" w:lineRule="auto"/>
    </w:pPr>
    <w:rPr>
      <w:rFonts w:ascii="Times New Roman" w:hAnsi="Times New Roman"/>
      <w:color w:val="000000"/>
      <w:sz w:val="22"/>
    </w:rPr>
  </w:style>
  <w:style w:type="paragraph" w:styleId="Titolo1">
    <w:name w:val="heading 1"/>
    <w:basedOn w:val="Normale"/>
    <w:next w:val="Corpotesto"/>
    <w:uiPriority w:val="9"/>
    <w:qFormat/>
    <w:pPr>
      <w:keepNext/>
      <w:keepLines/>
      <w:spacing w:before="200"/>
      <w:outlineLvl w:val="0"/>
    </w:pPr>
    <w:rPr>
      <w:b/>
      <w:bCs/>
      <w:sz w:val="24"/>
      <w:szCs w:val="32"/>
    </w:rPr>
  </w:style>
  <w:style w:type="paragraph" w:styleId="Titolo2">
    <w:name w:val="heading 2"/>
    <w:basedOn w:val="Normale"/>
    <w:next w:val="Corpotesto"/>
    <w:uiPriority w:val="9"/>
    <w:unhideWhenUsed/>
    <w:qFormat/>
    <w:pPr>
      <w:keepNext/>
      <w:keepLines/>
      <w:spacing w:before="200"/>
      <w:outlineLvl w:val="1"/>
    </w:pPr>
    <w:rPr>
      <w:b/>
      <w:bCs/>
      <w:szCs w:val="28"/>
    </w:rPr>
  </w:style>
  <w:style w:type="paragraph" w:styleId="Titolo3">
    <w:name w:val="heading 3"/>
    <w:basedOn w:val="Normale"/>
    <w:next w:val="Corpotesto"/>
    <w:uiPriority w:val="9"/>
    <w:unhideWhenUsed/>
    <w:qFormat/>
    <w:pPr>
      <w:keepNext/>
      <w:keepLines/>
      <w:spacing w:before="200"/>
      <w:outlineLvl w:val="2"/>
    </w:pPr>
    <w:rPr>
      <w:b/>
      <w:bCs/>
    </w:rPr>
  </w:style>
  <w:style w:type="paragraph" w:styleId="Titolo4">
    <w:name w:val="heading 4"/>
    <w:basedOn w:val="Normale"/>
    <w:next w:val="Corpotesto"/>
    <w:uiPriority w:val="9"/>
    <w:unhideWhenUsed/>
    <w:qFormat/>
    <w:pPr>
      <w:keepNext/>
      <w:keepLines/>
      <w:spacing w:before="200"/>
      <w:outlineLvl w:val="3"/>
    </w:pPr>
    <w:rPr>
      <w:bCs/>
      <w:i/>
    </w:rPr>
  </w:style>
  <w:style w:type="paragraph" w:styleId="Titolo5">
    <w:name w:val="heading 5"/>
    <w:basedOn w:val="Normale"/>
    <w:next w:val="Corpotesto"/>
    <w:uiPriority w:val="9"/>
    <w:unhideWhenUsed/>
    <w:qFormat/>
    <w:pPr>
      <w:keepNext/>
      <w:keepLines/>
      <w:spacing w:before="200"/>
      <w:outlineLvl w:val="4"/>
    </w:pPr>
    <w:rPr>
      <w:iCs/>
    </w:rPr>
  </w:style>
  <w:style w:type="paragraph" w:styleId="Titolo6">
    <w:name w:val="heading 6"/>
    <w:basedOn w:val="Normale"/>
    <w:next w:val="Corpotesto"/>
    <w:uiPriority w:val="9"/>
    <w:unhideWhenUsed/>
    <w:qFormat/>
    <w:pPr>
      <w:keepNext/>
      <w:keepLines/>
      <w:spacing w:before="200"/>
      <w:outlineLvl w:val="5"/>
    </w:pPr>
  </w:style>
  <w:style w:type="paragraph" w:styleId="Titolo7">
    <w:name w:val="heading 7"/>
    <w:basedOn w:val="Normale"/>
    <w:next w:val="Corpotesto"/>
    <w:uiPriority w:val="9"/>
    <w:unhideWhenUsed/>
    <w:qFormat/>
    <w:pPr>
      <w:keepNext/>
      <w:keepLines/>
      <w:spacing w:before="200"/>
      <w:outlineLvl w:val="6"/>
    </w:pPr>
  </w:style>
  <w:style w:type="paragraph" w:styleId="Titolo8">
    <w:name w:val="heading 8"/>
    <w:basedOn w:val="Normale"/>
    <w:next w:val="Corpotesto"/>
    <w:uiPriority w:val="9"/>
    <w:unhideWhenUsed/>
    <w:qFormat/>
    <w:pPr>
      <w:keepNext/>
      <w:keepLines/>
      <w:spacing w:before="200"/>
      <w:outlineLvl w:val="7"/>
    </w:pPr>
  </w:style>
  <w:style w:type="paragraph" w:styleId="Titolo9">
    <w:name w:val="heading 9"/>
    <w:basedOn w:val="Normale"/>
    <w:next w:val="Corpotesto"/>
    <w:uiPriority w:val="9"/>
    <w:unhideWhenUsed/>
    <w:qFormat/>
    <w:pPr>
      <w:keepNext/>
      <w:keepLines/>
      <w:spacing w:before="200"/>
      <w:outlineLvl w:val="8"/>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qFormat/>
    <w:pPr>
      <w:spacing w:before="180"/>
    </w:pPr>
  </w:style>
  <w:style w:type="paragraph" w:customStyle="1" w:styleId="FirstParagraph">
    <w:name w:val="First Paragraph"/>
    <w:basedOn w:val="Corpotesto"/>
    <w:next w:val="Corpotesto"/>
    <w:qFormat/>
  </w:style>
  <w:style w:type="paragraph" w:customStyle="1" w:styleId="Compact">
    <w:name w:val="Compact"/>
    <w:basedOn w:val="Corpotesto"/>
    <w:qFormat/>
    <w:pPr>
      <w:spacing w:before="36"/>
    </w:pPr>
  </w:style>
  <w:style w:type="paragraph" w:styleId="Titolo">
    <w:name w:val="Title"/>
    <w:basedOn w:val="Normale"/>
    <w:next w:val="Corpotesto"/>
    <w:qFormat/>
    <w:pPr>
      <w:keepNext/>
      <w:keepLines/>
      <w:spacing w:before="480" w:after="200" w:line="264" w:lineRule="auto"/>
      <w:jc w:val="center"/>
    </w:pPr>
    <w:rPr>
      <w:b/>
      <w:bCs/>
      <w:sz w:val="32"/>
      <w:szCs w:val="36"/>
    </w:rPr>
  </w:style>
  <w:style w:type="paragraph" w:styleId="Sottotitolo">
    <w:name w:val="Subtitle"/>
    <w:basedOn w:val="Titolo"/>
    <w:next w:val="Corpotesto"/>
    <w:qFormat/>
    <w:pPr>
      <w:spacing w:before="240" w:after="120" w:line="288" w:lineRule="auto"/>
    </w:pPr>
    <w:rPr>
      <w:sz w:val="22"/>
      <w:szCs w:val="30"/>
    </w:rPr>
  </w:style>
  <w:style w:type="paragraph" w:customStyle="1" w:styleId="Author">
    <w:name w:val="Author"/>
    <w:next w:val="Corpotesto"/>
    <w:qFormat/>
    <w:pPr>
      <w:keepNext/>
      <w:keepLines/>
      <w:spacing w:after="120" w:line="288" w:lineRule="auto"/>
      <w:jc w:val="center"/>
    </w:pPr>
    <w:rPr>
      <w:rFonts w:ascii="Times New Roman" w:hAnsi="Times New Roman"/>
      <w:color w:val="000000"/>
      <w:sz w:val="22"/>
    </w:rPr>
  </w:style>
  <w:style w:type="paragraph" w:styleId="Data">
    <w:name w:val="Date"/>
    <w:next w:val="Corpotesto"/>
    <w:qFormat/>
    <w:pPr>
      <w:keepNext/>
      <w:keepLines/>
      <w:spacing w:after="120" w:line="288" w:lineRule="auto"/>
      <w:jc w:val="center"/>
    </w:pPr>
    <w:rPr>
      <w:rFonts w:ascii="Times New Roman" w:hAnsi="Times New Roman"/>
      <w:color w:val="000000"/>
      <w:sz w:val="22"/>
    </w:rPr>
  </w:style>
  <w:style w:type="paragraph" w:customStyle="1" w:styleId="AbstractTitle">
    <w:name w:val="Abstract Title"/>
    <w:basedOn w:val="Normale"/>
    <w:next w:val="Abstract"/>
    <w:qFormat/>
    <w:pPr>
      <w:keepNext/>
      <w:keepLines/>
      <w:spacing w:before="300"/>
      <w:jc w:val="center"/>
    </w:pPr>
    <w:rPr>
      <w:b/>
      <w:szCs w:val="20"/>
    </w:rPr>
  </w:style>
  <w:style w:type="paragraph" w:customStyle="1" w:styleId="Abstract">
    <w:name w:val="Abstract"/>
    <w:basedOn w:val="Normale"/>
    <w:next w:val="Corpotesto"/>
    <w:qFormat/>
    <w:pPr>
      <w:keepNext/>
      <w:keepLines/>
      <w:spacing w:before="100"/>
    </w:pPr>
    <w:rPr>
      <w:szCs w:val="20"/>
    </w:rPr>
  </w:style>
  <w:style w:type="paragraph" w:styleId="Bibliografia">
    <w:name w:val="Bibliography"/>
    <w:basedOn w:val="Normale"/>
    <w:qFormat/>
  </w:style>
  <w:style w:type="paragraph" w:styleId="Testodelblocco">
    <w:name w:val="Block Text"/>
    <w:basedOn w:val="Corpotesto"/>
    <w:next w:val="Corpotesto"/>
    <w:uiPriority w:val="9"/>
    <w:unhideWhenUsed/>
    <w:qFormat/>
    <w:pPr>
      <w:spacing w:before="100"/>
      <w:ind w:left="480" w:right="480"/>
    </w:pPr>
  </w:style>
  <w:style w:type="paragraph" w:styleId="Testonotaapidipagina">
    <w:name w:val="footnote text"/>
    <w:basedOn w:val="Normale"/>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e"/>
    <w:next w:val="Definition"/>
    <w:pPr>
      <w:keepNext/>
      <w:keepLines/>
    </w:pPr>
    <w:rPr>
      <w:b/>
    </w:rPr>
  </w:style>
  <w:style w:type="paragraph" w:customStyle="1" w:styleId="Definition">
    <w:name w:val="Definition"/>
    <w:basedOn w:val="Normale"/>
  </w:style>
  <w:style w:type="paragraph" w:styleId="Didascalia">
    <w:name w:val="caption"/>
    <w:basedOn w:val="Normale"/>
    <w:link w:val="DidascaliaCarattere"/>
    <w:rPr>
      <w:i/>
    </w:rPr>
  </w:style>
  <w:style w:type="paragraph" w:customStyle="1" w:styleId="TableCaption">
    <w:name w:val="Table Caption"/>
    <w:basedOn w:val="Didascalia"/>
    <w:pPr>
      <w:keepNext/>
    </w:pPr>
  </w:style>
  <w:style w:type="paragraph" w:customStyle="1" w:styleId="ImageCaption">
    <w:name w:val="Image Caption"/>
    <w:basedOn w:val="Didascalia"/>
  </w:style>
  <w:style w:type="paragraph" w:customStyle="1" w:styleId="Figure">
    <w:name w:val="Figure"/>
    <w:basedOn w:val="Normale"/>
  </w:style>
  <w:style w:type="paragraph" w:customStyle="1" w:styleId="CaptionedFigure">
    <w:name w:val="Captioned Figure"/>
    <w:basedOn w:val="Figure"/>
    <w:pPr>
      <w:keepNext/>
    </w:pPr>
  </w:style>
  <w:style w:type="character" w:customStyle="1" w:styleId="DidascaliaCarattere">
    <w:name w:val="Didascalia Carattere"/>
    <w:basedOn w:val="Carpredefinitoparagrafo"/>
    <w:link w:val="Didascalia"/>
    <w:rPr>
      <w:rFonts w:ascii="Times New Roman" w:hAnsi="Times New Roman"/>
      <w:color w:val="000000"/>
      <w:sz w:val="22"/>
    </w:rPr>
  </w:style>
  <w:style w:type="character" w:customStyle="1" w:styleId="VerbatimChar">
    <w:name w:val="Verbatim Char"/>
    <w:basedOn w:val="DidascaliaCarattere"/>
    <w:link w:val="SourceCode"/>
    <w:rPr>
      <w:rFonts w:ascii="Times New Roman" w:hAnsi="Times New Roman"/>
      <w:color w:val="000000"/>
      <w:sz w:val="22"/>
    </w:rPr>
  </w:style>
  <w:style w:type="character" w:customStyle="1" w:styleId="SectionNumber">
    <w:name w:val="Section Number"/>
    <w:basedOn w:val="DidascaliaCarattere"/>
    <w:rPr>
      <w:rFonts w:ascii="Times New Roman" w:hAnsi="Times New Roman"/>
      <w:color w:val="000000"/>
      <w:sz w:val="22"/>
    </w:rPr>
  </w:style>
  <w:style w:type="character" w:styleId="Rimandonotaapidipagina">
    <w:name w:val="footnote reference"/>
    <w:basedOn w:val="DidascaliaCarattere"/>
    <w:rPr>
      <w:rFonts w:ascii="Times New Roman" w:hAnsi="Times New Roman"/>
      <w:color w:val="000000"/>
      <w:sz w:val="22"/>
      <w:vertAlign w:val="superscript"/>
    </w:rPr>
  </w:style>
  <w:style w:type="character" w:styleId="Collegamentoipertestuale">
    <w:name w:val="Hyperlink"/>
    <w:basedOn w:val="DidascaliaCarattere"/>
    <w:rPr>
      <w:rFonts w:ascii="Times New Roman" w:hAnsi="Times New Roman"/>
      <w:color w:val="000000"/>
      <w:sz w:val="22"/>
    </w:rPr>
  </w:style>
  <w:style w:type="paragraph" w:styleId="Titolosommario">
    <w:name w:val="TOC Heading"/>
    <w:basedOn w:val="Titolo1"/>
    <w:next w:val="Corpotesto"/>
    <w:uiPriority w:val="39"/>
    <w:unhideWhenUsed/>
    <w:qFormat/>
    <w:pPr>
      <w:spacing w:before="240"/>
      <w:outlineLvl w:val="9"/>
    </w:pPr>
    <w:rPr>
      <w:b w:val="0"/>
      <w:bCs w:val="0"/>
      <w:sz w:val="22"/>
    </w:rPr>
  </w:style>
  <w:style w:type="paragraph" w:customStyle="1" w:styleId="SourceCode">
    <w:name w:val="Source Code"/>
    <w:basedOn w:val="Normale"/>
    <w:link w:val="VerbatimChar"/>
    <w:pPr>
      <w:wordWrap w:val="0"/>
    </w:pPr>
  </w:style>
  <w:style w:type="character" w:customStyle="1" w:styleId="KeywordTok">
    <w:name w:val="KeywordTok"/>
    <w:basedOn w:val="VerbatimChar"/>
    <w:rPr>
      <w:rFonts w:ascii="Times New Roman" w:hAnsi="Times New Roman"/>
      <w:b/>
      <w:color w:val="000000"/>
      <w:sz w:val="22"/>
    </w:rPr>
  </w:style>
  <w:style w:type="character" w:customStyle="1" w:styleId="DataTypeTok">
    <w:name w:val="DataTypeTok"/>
    <w:basedOn w:val="VerbatimChar"/>
    <w:rPr>
      <w:rFonts w:ascii="Times New Roman" w:hAnsi="Times New Roman"/>
      <w:color w:val="000000"/>
      <w:sz w:val="22"/>
    </w:rPr>
  </w:style>
  <w:style w:type="character" w:customStyle="1" w:styleId="DecValTok">
    <w:name w:val="DecValTok"/>
    <w:basedOn w:val="VerbatimChar"/>
    <w:rPr>
      <w:rFonts w:ascii="Times New Roman" w:hAnsi="Times New Roman"/>
      <w:color w:val="000000"/>
      <w:sz w:val="22"/>
    </w:rPr>
  </w:style>
  <w:style w:type="character" w:customStyle="1" w:styleId="BaseNTok">
    <w:name w:val="BaseNTok"/>
    <w:basedOn w:val="VerbatimChar"/>
    <w:rPr>
      <w:rFonts w:ascii="Times New Roman" w:hAnsi="Times New Roman"/>
      <w:color w:val="000000"/>
      <w:sz w:val="22"/>
    </w:rPr>
  </w:style>
  <w:style w:type="character" w:customStyle="1" w:styleId="FloatTok">
    <w:name w:val="FloatTok"/>
    <w:basedOn w:val="VerbatimChar"/>
    <w:rPr>
      <w:rFonts w:ascii="Times New Roman" w:hAnsi="Times New Roman"/>
      <w:color w:val="000000"/>
      <w:sz w:val="22"/>
    </w:rPr>
  </w:style>
  <w:style w:type="character" w:customStyle="1" w:styleId="ConstantTok">
    <w:name w:val="ConstantTok"/>
    <w:basedOn w:val="VerbatimChar"/>
    <w:rPr>
      <w:rFonts w:ascii="Times New Roman" w:hAnsi="Times New Roman"/>
      <w:color w:val="000000"/>
      <w:sz w:val="22"/>
    </w:rPr>
  </w:style>
  <w:style w:type="character" w:customStyle="1" w:styleId="CharTok">
    <w:name w:val="CharTok"/>
    <w:basedOn w:val="VerbatimChar"/>
    <w:rPr>
      <w:rFonts w:ascii="Times New Roman" w:hAnsi="Times New Roman"/>
      <w:color w:val="000000"/>
      <w:sz w:val="22"/>
    </w:rPr>
  </w:style>
  <w:style w:type="character" w:customStyle="1" w:styleId="SpecialCharTok">
    <w:name w:val="SpecialCharTok"/>
    <w:basedOn w:val="VerbatimChar"/>
    <w:rPr>
      <w:rFonts w:ascii="Times New Roman" w:hAnsi="Times New Roman"/>
      <w:color w:val="000000"/>
      <w:sz w:val="22"/>
    </w:rPr>
  </w:style>
  <w:style w:type="character" w:customStyle="1" w:styleId="StringTok">
    <w:name w:val="StringTok"/>
    <w:basedOn w:val="VerbatimChar"/>
    <w:rPr>
      <w:rFonts w:ascii="Times New Roman" w:hAnsi="Times New Roman"/>
      <w:color w:val="000000"/>
      <w:sz w:val="22"/>
    </w:rPr>
  </w:style>
  <w:style w:type="character" w:customStyle="1" w:styleId="VerbatimStringTok">
    <w:name w:val="VerbatimStringTok"/>
    <w:basedOn w:val="VerbatimChar"/>
    <w:rPr>
      <w:rFonts w:ascii="Times New Roman" w:hAnsi="Times New Roman"/>
      <w:color w:val="000000"/>
      <w:sz w:val="22"/>
    </w:rPr>
  </w:style>
  <w:style w:type="character" w:customStyle="1" w:styleId="SpecialStringTok">
    <w:name w:val="SpecialStringTok"/>
    <w:basedOn w:val="VerbatimChar"/>
    <w:rPr>
      <w:rFonts w:ascii="Times New Roman" w:hAnsi="Times New Roman"/>
      <w:color w:val="000000"/>
      <w:sz w:val="22"/>
    </w:rPr>
  </w:style>
  <w:style w:type="character" w:customStyle="1" w:styleId="ImportTok">
    <w:name w:val="ImportTok"/>
    <w:basedOn w:val="VerbatimChar"/>
    <w:rPr>
      <w:rFonts w:ascii="Times New Roman" w:hAnsi="Times New Roman"/>
      <w:b/>
      <w:color w:val="000000"/>
      <w:sz w:val="22"/>
    </w:rPr>
  </w:style>
  <w:style w:type="character" w:customStyle="1" w:styleId="CommentTok">
    <w:name w:val="CommentTok"/>
    <w:basedOn w:val="VerbatimChar"/>
    <w:rPr>
      <w:rFonts w:ascii="Times New Roman" w:hAnsi="Times New Roman"/>
      <w:i/>
      <w:color w:val="000000"/>
      <w:sz w:val="22"/>
    </w:rPr>
  </w:style>
  <w:style w:type="character" w:customStyle="1" w:styleId="DocumentationTok">
    <w:name w:val="DocumentationTok"/>
    <w:basedOn w:val="VerbatimChar"/>
    <w:rPr>
      <w:rFonts w:ascii="Times New Roman" w:hAnsi="Times New Roman"/>
      <w:i/>
      <w:color w:val="000000"/>
      <w:sz w:val="22"/>
    </w:rPr>
  </w:style>
  <w:style w:type="character" w:customStyle="1" w:styleId="AnnotationTok">
    <w:name w:val="AnnotationTok"/>
    <w:basedOn w:val="VerbatimChar"/>
    <w:rPr>
      <w:rFonts w:ascii="Times New Roman" w:hAnsi="Times New Roman"/>
      <w:b/>
      <w:i/>
      <w:color w:val="000000"/>
      <w:sz w:val="22"/>
    </w:rPr>
  </w:style>
  <w:style w:type="character" w:customStyle="1" w:styleId="CommentVarTok">
    <w:name w:val="CommentVarTok"/>
    <w:basedOn w:val="VerbatimChar"/>
    <w:rPr>
      <w:rFonts w:ascii="Times New Roman" w:hAnsi="Times New Roman"/>
      <w:b/>
      <w:i/>
      <w:color w:val="000000"/>
      <w:sz w:val="22"/>
    </w:rPr>
  </w:style>
  <w:style w:type="character" w:customStyle="1" w:styleId="OtherTok">
    <w:name w:val="OtherTok"/>
    <w:basedOn w:val="VerbatimChar"/>
    <w:rPr>
      <w:rFonts w:ascii="Times New Roman" w:hAnsi="Times New Roman"/>
      <w:color w:val="000000"/>
      <w:sz w:val="22"/>
    </w:rPr>
  </w:style>
  <w:style w:type="character" w:customStyle="1" w:styleId="FunctionTok">
    <w:name w:val="FunctionTok"/>
    <w:basedOn w:val="VerbatimChar"/>
    <w:rPr>
      <w:rFonts w:ascii="Times New Roman" w:hAnsi="Times New Roman"/>
      <w:color w:val="000000"/>
      <w:sz w:val="22"/>
    </w:rPr>
  </w:style>
  <w:style w:type="character" w:customStyle="1" w:styleId="VariableTok">
    <w:name w:val="VariableTok"/>
    <w:basedOn w:val="VerbatimChar"/>
    <w:rPr>
      <w:rFonts w:ascii="Times New Roman" w:hAnsi="Times New Roman"/>
      <w:color w:val="000000"/>
      <w:sz w:val="22"/>
    </w:rPr>
  </w:style>
  <w:style w:type="character" w:customStyle="1" w:styleId="ControlFlowTok">
    <w:name w:val="ControlFlowTok"/>
    <w:basedOn w:val="VerbatimChar"/>
    <w:rPr>
      <w:rFonts w:ascii="Times New Roman" w:hAnsi="Times New Roman"/>
      <w:b/>
      <w:color w:val="000000"/>
      <w:sz w:val="22"/>
    </w:rPr>
  </w:style>
  <w:style w:type="character" w:customStyle="1" w:styleId="OperatorTok">
    <w:name w:val="OperatorTok"/>
    <w:basedOn w:val="VerbatimChar"/>
    <w:rPr>
      <w:rFonts w:ascii="Times New Roman" w:hAnsi="Times New Roman"/>
      <w:color w:val="000000"/>
      <w:sz w:val="22"/>
    </w:rPr>
  </w:style>
  <w:style w:type="character" w:customStyle="1" w:styleId="BuiltInTok">
    <w:name w:val="BuiltInTok"/>
    <w:basedOn w:val="VerbatimChar"/>
    <w:rPr>
      <w:rFonts w:ascii="Times New Roman" w:hAnsi="Times New Roman"/>
      <w:color w:val="000000"/>
      <w:sz w:val="22"/>
    </w:rPr>
  </w:style>
  <w:style w:type="character" w:customStyle="1" w:styleId="ExtensionTok">
    <w:name w:val="ExtensionTok"/>
    <w:basedOn w:val="VerbatimChar"/>
    <w:rPr>
      <w:rFonts w:ascii="Times New Roman" w:hAnsi="Times New Roman"/>
      <w:color w:val="000000"/>
      <w:sz w:val="22"/>
    </w:rPr>
  </w:style>
  <w:style w:type="character" w:customStyle="1" w:styleId="PreprocessorTok">
    <w:name w:val="PreprocessorTok"/>
    <w:basedOn w:val="VerbatimChar"/>
    <w:rPr>
      <w:rFonts w:ascii="Times New Roman" w:hAnsi="Times New Roman"/>
      <w:color w:val="000000"/>
      <w:sz w:val="22"/>
    </w:rPr>
  </w:style>
  <w:style w:type="character" w:customStyle="1" w:styleId="AttributeTok">
    <w:name w:val="AttributeTok"/>
    <w:basedOn w:val="VerbatimChar"/>
    <w:rPr>
      <w:rFonts w:ascii="Times New Roman" w:hAnsi="Times New Roman"/>
      <w:color w:val="000000"/>
      <w:sz w:val="22"/>
    </w:rPr>
  </w:style>
  <w:style w:type="character" w:customStyle="1" w:styleId="RegionMarkerTok">
    <w:name w:val="RegionMarkerTok"/>
    <w:basedOn w:val="VerbatimChar"/>
    <w:rPr>
      <w:rFonts w:ascii="Times New Roman" w:hAnsi="Times New Roman"/>
      <w:color w:val="000000"/>
      <w:sz w:val="22"/>
    </w:rPr>
  </w:style>
  <w:style w:type="character" w:customStyle="1" w:styleId="InformationTok">
    <w:name w:val="InformationTok"/>
    <w:basedOn w:val="VerbatimChar"/>
    <w:rPr>
      <w:rFonts w:ascii="Times New Roman" w:hAnsi="Times New Roman"/>
      <w:b/>
      <w:i/>
      <w:color w:val="000000"/>
      <w:sz w:val="22"/>
    </w:rPr>
  </w:style>
  <w:style w:type="character" w:customStyle="1" w:styleId="WarningTok">
    <w:name w:val="WarningTok"/>
    <w:basedOn w:val="VerbatimChar"/>
    <w:rPr>
      <w:rFonts w:ascii="Times New Roman" w:hAnsi="Times New Roman"/>
      <w:b/>
      <w:i/>
      <w:color w:val="000000"/>
      <w:sz w:val="22"/>
    </w:rPr>
  </w:style>
  <w:style w:type="character" w:customStyle="1" w:styleId="AlertTok">
    <w:name w:val="AlertTok"/>
    <w:basedOn w:val="VerbatimChar"/>
    <w:rPr>
      <w:rFonts w:ascii="Times New Roman" w:hAnsi="Times New Roman"/>
      <w:b/>
      <w:color w:val="000000"/>
      <w:sz w:val="22"/>
    </w:rPr>
  </w:style>
  <w:style w:type="character" w:customStyle="1" w:styleId="ErrorTok">
    <w:name w:val="ErrorTok"/>
    <w:basedOn w:val="VerbatimChar"/>
    <w:rPr>
      <w:rFonts w:ascii="Times New Roman" w:hAnsi="Times New Roman"/>
      <w:b/>
      <w:color w:val="000000"/>
      <w:sz w:val="22"/>
    </w:rPr>
  </w:style>
  <w:style w:type="character" w:customStyle="1" w:styleId="NormalTok">
    <w:name w:val="NormalTok"/>
    <w:basedOn w:val="VerbatimChar"/>
    <w:rPr>
      <w:rFonts w:ascii="Times New Roman" w:hAnsi="Times New Roman"/>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1693</Words>
  <Characters>9312</Characters>
  <Application>Microsoft Office Word</Application>
  <DocSecurity>0</DocSecurity>
  <Lines>77</Lines>
  <Paragraphs>21</Paragraphs>
  <ScaleCrop>false</ScaleCrop>
  <Company/>
  <LinksUpToDate>false</LinksUpToDate>
  <CharactersWithSpaces>10984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 for semiconductor spin magnetometers in astronomical instrumentation</dc:title>
  <dc:creator>Baldo Alberto Luigi Dalporto</dc:creator>
  <cp:keywords/>
  <cp:lastModifiedBy>BALDO DALPORTO</cp:lastModifiedBy>
  <cp:revision>2</cp:revision>
  <dcterms:created xsi:type="dcterms:W3CDTF">2026-09-30T11:51:00Z</dcterms:created>
  <dcterms:modified xsi:type="dcterms:W3CDTF">2026-09-30T11:51:00Z</dcterms:modified>
</cp:coreProperties>
</file>