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45F" w:rsidP="0069545F" w:rsidRDefault="0069545F">
      <w:pPr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Supplementary material</w:t>
      </w:r>
    </w:p>
    <w:p w:rsidR="0069545F" w:rsidP="0069545F" w:rsidRDefault="006954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drawing>
          <wp:inline distT="0" distB="0" distL="0" distR="0" wp14:anchorId="56381535" wp14:editId="40928831">
            <wp:extent cx="5760720" cy="3061335"/>
            <wp:effectExtent l="0" t="0" r="0" b="571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66AF2" w:rsidR="0069545F" w:rsidP="0069545F" w:rsidRDefault="0069545F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b/>
          <w:bCs/>
          <w:i/>
          <w:iCs/>
          <w:color w:val="404040"/>
          <w:sz w:val="18"/>
          <w:szCs w:val="18"/>
        </w:rPr>
      </w:pPr>
      <w:r>
        <w:rPr>
          <w:b/>
          <w:bCs/>
          <w:i/>
          <w:iCs/>
          <w:color w:val="404040"/>
          <w:sz w:val="18"/>
          <w:szCs w:val="18"/>
        </w:rPr>
        <w:t>Supplementary Figure 1:</w:t>
      </w:r>
      <w:r>
        <w:rPr>
          <w:i/>
          <w:iCs/>
          <w:color w:val="404040"/>
          <w:sz w:val="18"/>
          <w:szCs w:val="18"/>
        </w:rPr>
        <w:t xml:space="preserve"> </w:t>
      </w:r>
      <w:r>
        <w:rPr>
          <w:b/>
          <w:bCs/>
          <w:i/>
          <w:iCs/>
          <w:color w:val="404040"/>
          <w:sz w:val="18"/>
          <w:szCs w:val="18"/>
        </w:rPr>
        <w:t>Sensitivity of model performance to spatial resolution and training data availability.</w:t>
      </w:r>
      <w:r>
        <w:rPr>
          <w:i/>
          <w:iCs/>
          <w:color w:val="404040"/>
          <w:sz w:val="18"/>
          <w:szCs w:val="18"/>
        </w:rPr>
        <w:br/>
      </w:r>
      <w:r>
        <w:rPr>
          <w:b/>
          <w:bCs/>
          <w:i/>
          <w:iCs/>
          <w:color w:val="404040"/>
          <w:sz w:val="18"/>
          <w:szCs w:val="18"/>
        </w:rPr>
        <w:t xml:space="preserve">Mean test R² scores across different training data fractions for four spatial grid configurations (10 × 10, 25 × 25, 50 × 50, and 100 × 100 pixels). </w:t>
      </w:r>
      <w:r>
        <w:rPr>
          <w:i/>
          <w:iCs/>
          <w:color w:val="404040"/>
          <w:sz w:val="20"/>
          <w:szCs w:val="20"/>
        </w:rPr>
        <w:t xml:space="preserve">The sensitivity analysis of spatial resolution revealed a non-linear relationship between grid size, training data availability, and model performance (Figure S1). The 100 × 100 configuration exhibited the highest data dependency, showing lower performance under limited training fractions but achieving the highest overall test R² when sufficient samples were available, indicating that fine-scale spatial patterns </w:t>
      </w:r>
      <w:proofErr w:type="gramStart"/>
      <w:r>
        <w:rPr>
          <w:i/>
          <w:iCs/>
          <w:color w:val="404040"/>
          <w:sz w:val="20"/>
          <w:szCs w:val="20"/>
        </w:rPr>
        <w:t>can be effectively learned</w:t>
      </w:r>
      <w:proofErr w:type="gramEnd"/>
      <w:r>
        <w:rPr>
          <w:i/>
          <w:iCs/>
          <w:color w:val="404040"/>
          <w:sz w:val="20"/>
          <w:szCs w:val="20"/>
        </w:rPr>
        <w:t xml:space="preserve"> with adequate data. In contrast, the 50 × 50 and 10 × 10 configurations demonstrated stable performance across training fractions, suggesting greater robustness under data-limited conditions, although with a lower performance ceiling. The 25 × 25 configuration showed comparatively weaker performance, potentially due to a scale-mismatch effect where spatial variability and aggregation benefits </w:t>
      </w:r>
      <w:proofErr w:type="gramStart"/>
      <w:r>
        <w:rPr>
          <w:i/>
          <w:iCs/>
          <w:color w:val="404040"/>
          <w:sz w:val="20"/>
          <w:szCs w:val="20"/>
        </w:rPr>
        <w:t>were not optimally represented</w:t>
      </w:r>
      <w:proofErr w:type="gramEnd"/>
      <w:r>
        <w:rPr>
          <w:i/>
          <w:iCs/>
          <w:color w:val="404040"/>
          <w:sz w:val="20"/>
          <w:szCs w:val="20"/>
        </w:rPr>
        <w:t xml:space="preserve">. Based on the balance between predictive accuracy, spatial representation, and computational efficiency, the 50 × 50 configuration </w:t>
      </w:r>
      <w:proofErr w:type="gramStart"/>
      <w:r>
        <w:rPr>
          <w:i/>
          <w:iCs/>
          <w:color w:val="404040"/>
          <w:sz w:val="20"/>
          <w:szCs w:val="20"/>
        </w:rPr>
        <w:t>was selected</w:t>
      </w:r>
      <w:proofErr w:type="gramEnd"/>
      <w:r>
        <w:rPr>
          <w:i/>
          <w:iCs/>
          <w:color w:val="404040"/>
          <w:sz w:val="20"/>
          <w:szCs w:val="20"/>
        </w:rPr>
        <w:t xml:space="preserve"> as the preferred resolution for subsequent analyses.</w:t>
      </w:r>
    </w:p>
    <w:p w:rsidR="0069545F" w:rsidP="0069545F" w:rsidRDefault="0069545F"/>
    <w:p w:rsidR="0069545F" w:rsidP="0069545F" w:rsidRDefault="0069545F"/>
    <w:p w:rsidR="0069545F" w:rsidP="0069545F" w:rsidRDefault="0069545F">
      <w:r>
        <w:rPr>
          <w:noProof/>
        </w:rPr>
        <w:lastRenderedPageBreak/>
        <w:drawing>
          <wp:inline distT="0" distB="0" distL="0" distR="0" wp14:anchorId="507F95E5" wp14:editId="49A640B7">
            <wp:extent cx="5760720" cy="7044055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4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24123" w:rsidR="0069545F" w:rsidP="0069545F" w:rsidRDefault="0069545F">
      <w:pPr>
        <w:jc w:val="both"/>
        <w:rPr>
          <w:i/>
          <w:iCs/>
          <w:color w:val="404040"/>
          <w:sz w:val="18"/>
          <w:szCs w:val="18"/>
        </w:rPr>
      </w:pPr>
      <w:r w:rsidRPr="00324123">
        <w:rPr>
          <w:b/>
          <w:bCs/>
          <w:i/>
          <w:iCs/>
          <w:color w:val="404040"/>
          <w:sz w:val="18"/>
          <w:szCs w:val="18"/>
        </w:rPr>
        <w:t>Supplementary Figure 2:</w:t>
      </w:r>
      <w:r w:rsidRPr="00324123">
        <w:rPr>
          <w:i/>
          <w:iCs/>
          <w:color w:val="404040"/>
          <w:sz w:val="18"/>
          <w:szCs w:val="18"/>
        </w:rPr>
        <w:t xml:space="preserve"> </w:t>
      </w:r>
      <w:r w:rsidRPr="00324123">
        <w:rPr>
          <w:b/>
          <w:bCs/>
          <w:i/>
          <w:iCs/>
          <w:color w:val="404040"/>
          <w:sz w:val="18"/>
          <w:szCs w:val="18"/>
        </w:rPr>
        <w:t xml:space="preserve">Spatial cross-validation of </w:t>
      </w:r>
      <w:r>
        <w:rPr>
          <w:b/>
          <w:bCs/>
          <w:i/>
          <w:iCs/>
          <w:color w:val="404040"/>
          <w:sz w:val="18"/>
          <w:szCs w:val="18"/>
        </w:rPr>
        <w:t>fine-scale</w:t>
      </w:r>
      <w:r w:rsidRPr="00324123">
        <w:rPr>
          <w:b/>
          <w:bCs/>
          <w:i/>
          <w:iCs/>
          <w:color w:val="404040"/>
          <w:sz w:val="18"/>
          <w:szCs w:val="18"/>
        </w:rPr>
        <w:t xml:space="preserve"> ADMS-Urban temperature gap-filling without using</w:t>
      </w:r>
      <w:r w:rsidRPr="0046076D"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 w:rsidRPr="00324123">
        <w:rPr>
          <w:rFonts w:eastAsia="Times New Roman"/>
          <w:b/>
          <w:bCs/>
          <w:i/>
          <w:iCs/>
          <w:color w:val="000000"/>
          <w:sz w:val="18"/>
          <w:szCs w:val="18"/>
        </w:rPr>
        <w:t>thermal admittance, surface resistance to evaporation, and surface roughness length</w:t>
      </w:r>
      <w:r w:rsidRPr="00324123">
        <w:rPr>
          <w:b/>
          <w:bCs/>
          <w:i/>
          <w:iCs/>
          <w:color w:val="404040"/>
          <w:sz w:val="18"/>
          <w:szCs w:val="18"/>
        </w:rPr>
        <w:t>.</w:t>
      </w:r>
      <w:r w:rsidRPr="00324123">
        <w:rPr>
          <w:i/>
          <w:iCs/>
          <w:color w:val="404040"/>
          <w:sz w:val="18"/>
          <w:szCs w:val="18"/>
        </w:rPr>
        <w:t xml:space="preserve"> </w:t>
      </w:r>
      <w:proofErr w:type="gramStart"/>
      <w:r>
        <w:rPr>
          <w:i/>
          <w:iCs/>
          <w:color w:val="404040"/>
          <w:sz w:val="18"/>
          <w:szCs w:val="18"/>
        </w:rPr>
        <w:t>FS-MLF</w:t>
      </w:r>
      <w:r w:rsidRPr="00324123">
        <w:rPr>
          <w:i/>
          <w:iCs/>
          <w:color w:val="404040"/>
          <w:sz w:val="18"/>
          <w:szCs w:val="18"/>
        </w:rPr>
        <w:t xml:space="preserve"> is trained only on albedo, normalised building volume, and terrain-elevation predictors to reconstruct ADMS-Urban surface temperature under four spatial train/test partitions of the full-resolution raster: </w:t>
      </w:r>
      <w:r w:rsidRPr="00324123">
        <w:rPr>
          <w:b/>
          <w:bCs/>
          <w:i/>
          <w:iCs/>
          <w:color w:val="404040"/>
          <w:sz w:val="18"/>
          <w:szCs w:val="18"/>
        </w:rPr>
        <w:t>(a)</w:t>
      </w:r>
      <w:r w:rsidRPr="00324123">
        <w:rPr>
          <w:i/>
          <w:iCs/>
          <w:color w:val="404040"/>
          <w:sz w:val="18"/>
          <w:szCs w:val="18"/>
        </w:rPr>
        <w:t xml:space="preserve"> training on the northern and southern portions of the domain and predicting a central east–west strip (R² = 0.436, RMSE = 0.506 °C); </w:t>
      </w:r>
      <w:r w:rsidRPr="00324123">
        <w:rPr>
          <w:b/>
          <w:bCs/>
          <w:i/>
          <w:iCs/>
          <w:color w:val="404040"/>
          <w:sz w:val="18"/>
          <w:szCs w:val="18"/>
        </w:rPr>
        <w:t>(b)</w:t>
      </w:r>
      <w:r w:rsidRPr="00324123">
        <w:rPr>
          <w:i/>
          <w:iCs/>
          <w:color w:val="404040"/>
          <w:sz w:val="18"/>
          <w:szCs w:val="18"/>
        </w:rPr>
        <w:t xml:space="preserve"> training on the western and eastern portions and predicting a central north–south strip (R² = 0.429, RMSE = 0.493 °C); </w:t>
      </w:r>
      <w:r w:rsidRPr="00324123">
        <w:rPr>
          <w:b/>
          <w:bCs/>
          <w:i/>
          <w:iCs/>
          <w:color w:val="404040"/>
          <w:sz w:val="18"/>
          <w:szCs w:val="18"/>
        </w:rPr>
        <w:t>(c)</w:t>
      </w:r>
      <w:r w:rsidRPr="00324123">
        <w:rPr>
          <w:i/>
          <w:iCs/>
          <w:color w:val="404040"/>
          <w:sz w:val="18"/>
          <w:szCs w:val="18"/>
        </w:rPr>
        <w:t xml:space="preserve"> training on the full domain excluding a single held-out tile and predicting that tile (R² = 0.179, RMSE = 0.393 °C); and </w:t>
      </w:r>
      <w:r w:rsidRPr="00324123">
        <w:rPr>
          <w:b/>
          <w:bCs/>
          <w:i/>
          <w:iCs/>
          <w:color w:val="404040"/>
          <w:sz w:val="18"/>
          <w:szCs w:val="18"/>
        </w:rPr>
        <w:t>(d)</w:t>
      </w:r>
      <w:r w:rsidRPr="00324123">
        <w:rPr>
          <w:i/>
          <w:iCs/>
          <w:color w:val="404040"/>
          <w:sz w:val="18"/>
          <w:szCs w:val="18"/>
        </w:rPr>
        <w:t xml:space="preserve"> the inverse configuration, training on only the single tile and predicting the remainder of the domain (R² = 0.073, RMSE = 0.690 °C).</w:t>
      </w:r>
      <w:proofErr w:type="gramEnd"/>
      <w:r w:rsidRPr="00324123">
        <w:rPr>
          <w:i/>
          <w:iCs/>
          <w:color w:val="404040"/>
          <w:sz w:val="18"/>
          <w:szCs w:val="18"/>
        </w:rPr>
        <w:t xml:space="preserve"> For each panel, columns show (from left to right) the training mask, the observed ADMS-Urban temperature field, the model prediction, and the prediction error (observed − predicted). Axes give pixel row/column indices. </w:t>
      </w:r>
      <w:r>
        <w:rPr>
          <w:i/>
          <w:iCs/>
          <w:color w:val="404040"/>
          <w:sz w:val="18"/>
          <w:szCs w:val="18"/>
        </w:rPr>
        <w:t xml:space="preserve">The removal </w:t>
      </w:r>
      <w:r w:rsidRPr="00061289">
        <w:rPr>
          <w:i/>
          <w:iCs/>
          <w:color w:val="404040"/>
          <w:sz w:val="18"/>
          <w:szCs w:val="18"/>
        </w:rPr>
        <w:t xml:space="preserve">of </w:t>
      </w:r>
      <w:r w:rsidRPr="00324123">
        <w:rPr>
          <w:rFonts w:eastAsia="Times New Roman"/>
          <w:i/>
          <w:iCs/>
          <w:color w:val="000000"/>
          <w:sz w:val="18"/>
          <w:szCs w:val="18"/>
        </w:rPr>
        <w:t>thermal admittance, surface resistance to evaporation, and surface roughness length</w:t>
      </w:r>
      <w:r>
        <w:rPr>
          <w:rFonts w:eastAsia="Times New Roman"/>
          <w:i/>
          <w:iCs/>
          <w:color w:val="000000"/>
          <w:sz w:val="18"/>
          <w:szCs w:val="18"/>
        </w:rPr>
        <w:t xml:space="preserve"> as predictors leads to a substantial reduction in predictive accuracy relative to Figure 4.</w:t>
      </w:r>
    </w:p>
    <w:p w:rsidR="0069545F" w:rsidP="0069545F" w:rsidRDefault="0069545F"/>
    <w:p w:rsidR="0069545F" w:rsidP="0069545F" w:rsidRDefault="0069545F">
      <w:bookmarkStart w:name="_GoBack" w:id="0"/>
      <w:r>
        <w:rPr>
          <w:noProof/>
        </w:rPr>
        <w:drawing>
          <wp:inline distT="0" distB="0" distL="0" distR="0">
            <wp:extent cx="5760720" cy="581596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Pr="00324123" w:rsidR="0069545F" w:rsidP="0069545F" w:rsidRDefault="0069545F">
      <w:pPr>
        <w:spacing w:line="24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404040"/>
          <w:sz w:val="18"/>
          <w:szCs w:val="18"/>
        </w:rPr>
      </w:pPr>
      <w:r w:rsidRPr="00324123">
        <w:rPr>
          <w:b/>
          <w:bCs/>
          <w:color w:val="404040"/>
          <w:sz w:val="18"/>
          <w:szCs w:val="18"/>
        </w:rPr>
        <w:t>Supplementary Figure 3:</w:t>
      </w:r>
      <w:r w:rsidRPr="00324123">
        <w:rPr>
          <w:color w:val="404040"/>
          <w:sz w:val="18"/>
          <w:szCs w:val="18"/>
        </w:rPr>
        <w:t xml:space="preserve"> </w:t>
      </w:r>
      <w:r w:rsidRPr="00D157D0">
        <w:rPr>
          <w:b/>
          <w:i/>
          <w:iCs/>
          <w:color w:val="404040"/>
          <w:sz w:val="18"/>
          <w:szCs w:val="18"/>
        </w:rPr>
        <w:t xml:space="preserve">Spatial cross-validation of coarse-scale ADMS-Urban temperature gap-filling experiment conducted using three inputs albedo, terrain height and thermal admittance. In this experiment we have not </w:t>
      </w:r>
      <w:proofErr w:type="gramStart"/>
      <w:r w:rsidRPr="00D157D0">
        <w:rPr>
          <w:b/>
          <w:i/>
          <w:iCs/>
          <w:color w:val="404040"/>
          <w:sz w:val="18"/>
          <w:szCs w:val="18"/>
        </w:rPr>
        <w:t xml:space="preserve">used  </w:t>
      </w:r>
      <w:r w:rsidRPr="00D157D0">
        <w:rPr>
          <w:rFonts w:eastAsia="Times New Roman"/>
          <w:b/>
          <w:bCs/>
          <w:i/>
          <w:iCs/>
          <w:color w:val="000000"/>
          <w:sz w:val="18"/>
          <w:szCs w:val="18"/>
        </w:rPr>
        <w:t>thermal</w:t>
      </w:r>
      <w:proofErr w:type="gramEnd"/>
      <w:r w:rsidRPr="00D157D0"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admittance, surface resistance to evaporation, and surface roughness length</w:t>
      </w:r>
      <w:r w:rsidRPr="00D157D0">
        <w:rPr>
          <w:b/>
          <w:bCs/>
          <w:i/>
          <w:iCs/>
          <w:color w:val="404040"/>
          <w:sz w:val="18"/>
          <w:szCs w:val="18"/>
        </w:rPr>
        <w:t>.</w:t>
      </w:r>
      <w:r w:rsidRPr="009754D4">
        <w:rPr>
          <w:i/>
          <w:iCs/>
          <w:color w:val="404040"/>
          <w:sz w:val="18"/>
          <w:szCs w:val="18"/>
        </w:rPr>
        <w:t xml:space="preserve"> </w:t>
      </w:r>
      <w:r>
        <w:rPr>
          <w:i/>
          <w:iCs/>
          <w:color w:val="404040"/>
          <w:sz w:val="18"/>
          <w:szCs w:val="18"/>
        </w:rPr>
        <w:t>CS-MLF</w:t>
      </w:r>
      <w:r w:rsidRPr="009754D4">
        <w:rPr>
          <w:i/>
          <w:iCs/>
          <w:color w:val="404040"/>
          <w:sz w:val="18"/>
          <w:szCs w:val="18"/>
        </w:rPr>
        <w:t xml:space="preserve"> is trained only on albedo, normalised building volume, and terrain-elevation predictors to reconstruct ADMS-Urban surface temperature under four spatial train/test partitions of the full-resolution raster:</w:t>
      </w:r>
      <w:r w:rsidRPr="00324123">
        <w:rPr>
          <w:i/>
          <w:iCs/>
          <w:color w:val="404040"/>
          <w:sz w:val="18"/>
          <w:szCs w:val="18"/>
        </w:rPr>
        <w:t xml:space="preserve"> </w:t>
      </w:r>
      <w:r w:rsidRPr="00324123">
        <w:rPr>
          <w:b/>
          <w:bCs/>
          <w:i/>
          <w:iCs/>
          <w:color w:val="404040"/>
          <w:sz w:val="18"/>
          <w:szCs w:val="18"/>
        </w:rPr>
        <w:t>(a)</w:t>
      </w:r>
      <w:r w:rsidRPr="00324123">
        <w:rPr>
          <w:i/>
          <w:iCs/>
          <w:color w:val="404040"/>
          <w:sz w:val="18"/>
          <w:szCs w:val="18"/>
        </w:rPr>
        <w:t xml:space="preserve"> training on tiles above and below a central row and predicting that middle row (R² = 0.649); </w:t>
      </w:r>
      <w:r w:rsidRPr="00324123">
        <w:rPr>
          <w:b/>
          <w:bCs/>
          <w:i/>
          <w:iCs/>
          <w:color w:val="404040"/>
          <w:sz w:val="18"/>
          <w:szCs w:val="18"/>
        </w:rPr>
        <w:t>(b)</w:t>
      </w:r>
      <w:r w:rsidRPr="00324123">
        <w:rPr>
          <w:i/>
          <w:iCs/>
          <w:color w:val="404040"/>
          <w:sz w:val="18"/>
          <w:szCs w:val="18"/>
        </w:rPr>
        <w:t xml:space="preserve"> training on tiles to the left and right of a central column and predicting that middle column (R² = 0.892); </w:t>
      </w:r>
      <w:r w:rsidRPr="00324123">
        <w:rPr>
          <w:b/>
          <w:bCs/>
          <w:i/>
          <w:iCs/>
          <w:color w:val="404040"/>
          <w:sz w:val="18"/>
          <w:szCs w:val="18"/>
        </w:rPr>
        <w:t>(c)</w:t>
      </w:r>
      <w:r w:rsidRPr="00324123">
        <w:rPr>
          <w:i/>
          <w:iCs/>
          <w:color w:val="404040"/>
          <w:sz w:val="18"/>
          <w:szCs w:val="18"/>
        </w:rPr>
        <w:t xml:space="preserve"> training on all tiles except one held-out tile and predicting that tile (R² = nan, undefined owing to the single-point test sample); and </w:t>
      </w:r>
      <w:r w:rsidRPr="00324123">
        <w:rPr>
          <w:b/>
          <w:bCs/>
          <w:i/>
          <w:iCs/>
          <w:color w:val="404040"/>
          <w:sz w:val="18"/>
          <w:szCs w:val="18"/>
        </w:rPr>
        <w:t>(d)</w:t>
      </w:r>
      <w:r w:rsidRPr="00324123">
        <w:rPr>
          <w:i/>
          <w:iCs/>
          <w:color w:val="404040"/>
          <w:sz w:val="18"/>
          <w:szCs w:val="18"/>
        </w:rPr>
        <w:t xml:space="preserve"> training on only that single tile and predicting all remaining tiles (R² = 0.190). Columns show, from left to right, the training mask, the observed tile-aggregated temperature map, the predicted map, and the error map (observed − predicted). Temperature colour bar spans 20–25 °C; error colour bar spans −1.0 to 1.0 °C. Axes give tile row/column indices. </w:t>
      </w:r>
      <w:r>
        <w:rPr>
          <w:i/>
          <w:iCs/>
          <w:color w:val="404040"/>
          <w:sz w:val="18"/>
          <w:szCs w:val="18"/>
        </w:rPr>
        <w:t xml:space="preserve">The removal </w:t>
      </w:r>
      <w:r w:rsidRPr="00061289">
        <w:rPr>
          <w:i/>
          <w:iCs/>
          <w:color w:val="404040"/>
          <w:sz w:val="18"/>
          <w:szCs w:val="18"/>
        </w:rPr>
        <w:t xml:space="preserve">of </w:t>
      </w:r>
      <w:r w:rsidRPr="00F66AF2">
        <w:rPr>
          <w:rFonts w:eastAsia="Times New Roman"/>
          <w:i/>
          <w:iCs/>
          <w:color w:val="404040" w:themeColor="text1" w:themeTint="BF"/>
          <w:sz w:val="18"/>
          <w:szCs w:val="18"/>
        </w:rPr>
        <w:t>thermal admittance, surface resistance to evaporation, and surface roughness length as predictors leads to a substantial reduction in predictive accuracy relative to Figure 6.</w:t>
      </w:r>
    </w:p>
    <w:p w:rsidR="0069545F" w:rsidP="0069545F" w:rsidRDefault="0069545F">
      <w:pPr>
        <w:spacing w:line="24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69545F" w:rsidP="0069545F" w:rsidRDefault="0069545F">
      <w:pPr>
        <w:spacing w:line="24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69545F" w:rsidP="0069545F" w:rsidRDefault="0069545F">
      <w:pPr>
        <w:spacing w:line="24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69545F" w:rsidP="0069545F" w:rsidRDefault="0069545F">
      <w:pPr>
        <w:spacing w:line="240" w:lineRule="auto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6B1C28" w:rsidRDefault="0069545F"/>
    <w:sectPr w:rsidR="006B1C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facede0d-a653-4947-a387-7188368ab108"/>
  </w:docVars>
  <w:rsids>
    <w:rsidRoot w:val="00AD7910"/>
    <w:rsid w:val="00355735"/>
    <w:rsid w:val="0069545F"/>
    <w:rsid w:val="00AD7910"/>
    <w:rsid w:val="00FB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FC7CB-2A40-43A6-A39A-655D6AA6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69545F"/>
    <w:rPr>
      <w:rFonts w:ascii="Calibri" w:eastAsia="Calibri" w:hAnsi="Calibri" w:cs="Calibri"/>
      <w:lang w:val="en-IN" w:eastAsia="en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Nisha</dc:creator>
  <cp:keywords/>
  <dc:description/>
  <cp:lastModifiedBy>Patel, Nisha</cp:lastModifiedBy>
  <cp:revision>2</cp:revision>
  <dcterms:created xsi:type="dcterms:W3CDTF">2026-09-30T22:04:00Z</dcterms:created>
  <dcterms:modified xsi:type="dcterms:W3CDTF">2026-09-30T22:14:00Z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aa3cce5b6d6442e2cd7eab7a6bc0797aa194726d8f8e33cae95dc675010a021f</vt:lpwstr>
  </property>
</Properties>
</file>