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F0EF7" w14:textId="21CE9C03" w:rsidR="00B031ED" w:rsidRPr="007F0136" w:rsidRDefault="007F0136">
      <w:pPr>
        <w:rPr>
          <w:rFonts w:ascii="Times New Roman" w:hAnsi="Times New Roman" w:cs="Times New Roman"/>
          <w:b/>
          <w:bCs/>
        </w:rPr>
      </w:pPr>
      <w:r w:rsidRPr="007F0136">
        <w:rPr>
          <w:rFonts w:ascii="Times New Roman" w:hAnsi="Times New Roman" w:cs="Times New Roman" w:hint="eastAsia"/>
          <w:b/>
          <w:bCs/>
        </w:rPr>
        <w:t>Su</w:t>
      </w:r>
      <w:r w:rsidRPr="007F0136">
        <w:rPr>
          <w:rFonts w:ascii="Times New Roman" w:hAnsi="Times New Roman" w:cs="Times New Roman"/>
          <w:b/>
          <w:bCs/>
        </w:rPr>
        <w:t>pplementary Table 1. Biological roles and reported cancer relevance of the top 20 RF-ranked proteins identified in the Mag-Net and ISD datasets</w:t>
      </w:r>
    </w:p>
    <w:tbl>
      <w:tblPr>
        <w:tblW w:w="0" w:type="auto"/>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1254"/>
        <w:gridCol w:w="3458"/>
        <w:gridCol w:w="3578"/>
      </w:tblGrid>
      <w:tr w:rsidR="0001690C" w:rsidRPr="006662DA" w14:paraId="75BF2785" w14:textId="77777777" w:rsidTr="00681614">
        <w:trPr>
          <w:tblHeader/>
          <w:tblCellSpacing w:w="15" w:type="dxa"/>
        </w:trPr>
        <w:tc>
          <w:tcPr>
            <w:tcW w:w="0" w:type="auto"/>
            <w:gridSpan w:val="3"/>
            <w:vAlign w:val="center"/>
          </w:tcPr>
          <w:p w14:paraId="1BFA8B4F" w14:textId="1E143B9B" w:rsidR="0001690C" w:rsidRPr="006662DA" w:rsidRDefault="0001690C" w:rsidP="0001690C">
            <w:pPr>
              <w:rPr>
                <w:rFonts w:ascii="Times New Roman" w:hAnsi="Times New Roman" w:cs="Times New Roman"/>
                <w:b/>
                <w:bCs/>
                <w:sz w:val="22"/>
                <w:szCs w:val="22"/>
              </w:rPr>
            </w:pPr>
            <w:bookmarkStart w:id="0" w:name="OLE_LINK3"/>
            <w:proofErr w:type="spellStart"/>
            <w:r>
              <w:rPr>
                <w:rFonts w:ascii="Times New Roman" w:hAnsi="Times New Roman" w:cs="Times New Roman"/>
                <w:b/>
                <w:bCs/>
                <w:sz w:val="22"/>
                <w:szCs w:val="22"/>
              </w:rPr>
              <w:t>MagNet_</w:t>
            </w:r>
            <w:r w:rsidRPr="0001690C">
              <w:rPr>
                <w:rFonts w:ascii="Times New Roman" w:hAnsi="Times New Roman" w:cs="Times New Roman"/>
                <w:b/>
                <w:bCs/>
                <w:sz w:val="22"/>
                <w:szCs w:val="22"/>
              </w:rPr>
              <w:t>Top</w:t>
            </w:r>
            <w:proofErr w:type="spellEnd"/>
            <w:r w:rsidRPr="0001690C">
              <w:rPr>
                <w:rFonts w:ascii="Times New Roman" w:hAnsi="Times New Roman" w:cs="Times New Roman"/>
                <w:b/>
                <w:bCs/>
                <w:sz w:val="22"/>
                <w:szCs w:val="22"/>
              </w:rPr>
              <w:t xml:space="preserve"> 20 Random Forest Protein</w:t>
            </w:r>
          </w:p>
        </w:tc>
      </w:tr>
      <w:tr w:rsidR="00FB1DF1" w:rsidRPr="006662DA" w14:paraId="54CACACF" w14:textId="77777777" w:rsidTr="00681614">
        <w:trPr>
          <w:tblHeader/>
          <w:tblCellSpacing w:w="15" w:type="dxa"/>
        </w:trPr>
        <w:tc>
          <w:tcPr>
            <w:tcW w:w="0" w:type="auto"/>
            <w:vAlign w:val="center"/>
            <w:hideMark/>
          </w:tcPr>
          <w:p w14:paraId="676791C1" w14:textId="77777777" w:rsidR="00FB1DF1" w:rsidRPr="006662DA" w:rsidRDefault="00FB1DF1" w:rsidP="00FB1DF1">
            <w:pPr>
              <w:jc w:val="center"/>
              <w:rPr>
                <w:rFonts w:ascii="Times New Roman" w:hAnsi="Times New Roman" w:cs="Times New Roman"/>
                <w:b/>
                <w:bCs/>
                <w:sz w:val="22"/>
                <w:szCs w:val="22"/>
              </w:rPr>
            </w:pPr>
            <w:r w:rsidRPr="006662DA">
              <w:rPr>
                <w:rFonts w:ascii="Times New Roman" w:hAnsi="Times New Roman" w:cs="Times New Roman"/>
                <w:b/>
                <w:bCs/>
                <w:sz w:val="22"/>
                <w:szCs w:val="22"/>
              </w:rPr>
              <w:t>Gene</w:t>
            </w:r>
          </w:p>
        </w:tc>
        <w:tc>
          <w:tcPr>
            <w:tcW w:w="0" w:type="auto"/>
            <w:vAlign w:val="center"/>
            <w:hideMark/>
          </w:tcPr>
          <w:p w14:paraId="0B4F8B62" w14:textId="77777777" w:rsidR="00FB1DF1" w:rsidRPr="006662DA" w:rsidRDefault="00FB1DF1" w:rsidP="00FB1DF1">
            <w:pPr>
              <w:jc w:val="center"/>
              <w:rPr>
                <w:rFonts w:ascii="Times New Roman" w:hAnsi="Times New Roman" w:cs="Times New Roman"/>
                <w:b/>
                <w:bCs/>
                <w:sz w:val="22"/>
                <w:szCs w:val="22"/>
              </w:rPr>
            </w:pPr>
            <w:r w:rsidRPr="006662DA">
              <w:rPr>
                <w:rFonts w:ascii="Times New Roman" w:hAnsi="Times New Roman" w:cs="Times New Roman"/>
                <w:b/>
                <w:bCs/>
                <w:sz w:val="22"/>
                <w:szCs w:val="22"/>
              </w:rPr>
              <w:t>Biological role</w:t>
            </w:r>
          </w:p>
        </w:tc>
        <w:tc>
          <w:tcPr>
            <w:tcW w:w="0" w:type="auto"/>
            <w:vAlign w:val="center"/>
            <w:hideMark/>
          </w:tcPr>
          <w:p w14:paraId="05A2E228" w14:textId="77777777" w:rsidR="00FB1DF1" w:rsidRPr="006662DA" w:rsidRDefault="00FB1DF1" w:rsidP="00FB1DF1">
            <w:pPr>
              <w:jc w:val="center"/>
              <w:rPr>
                <w:rFonts w:ascii="Times New Roman" w:hAnsi="Times New Roman" w:cs="Times New Roman"/>
                <w:b/>
                <w:bCs/>
                <w:sz w:val="22"/>
                <w:szCs w:val="22"/>
              </w:rPr>
            </w:pPr>
            <w:r w:rsidRPr="006662DA">
              <w:rPr>
                <w:rFonts w:ascii="Times New Roman" w:hAnsi="Times New Roman" w:cs="Times New Roman"/>
                <w:b/>
                <w:bCs/>
                <w:sz w:val="22"/>
                <w:szCs w:val="22"/>
              </w:rPr>
              <w:t>Cancer relevance</w:t>
            </w:r>
          </w:p>
        </w:tc>
      </w:tr>
      <w:tr w:rsidR="00FB1DF1" w:rsidRPr="006662DA" w14:paraId="392C4B5B" w14:textId="77777777" w:rsidTr="00681614">
        <w:trPr>
          <w:tblCellSpacing w:w="15" w:type="dxa"/>
        </w:trPr>
        <w:tc>
          <w:tcPr>
            <w:tcW w:w="0" w:type="auto"/>
            <w:vAlign w:val="center"/>
            <w:hideMark/>
          </w:tcPr>
          <w:p w14:paraId="02D33C79"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LTBP2</w:t>
            </w:r>
          </w:p>
        </w:tc>
        <w:tc>
          <w:tcPr>
            <w:tcW w:w="0" w:type="auto"/>
            <w:vAlign w:val="center"/>
            <w:hideMark/>
          </w:tcPr>
          <w:p w14:paraId="7CC39631"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Extracellular matrix glycoprotein; modulates TGF-β signaling</w:t>
            </w:r>
          </w:p>
        </w:tc>
        <w:tc>
          <w:tcPr>
            <w:tcW w:w="0" w:type="auto"/>
            <w:vAlign w:val="center"/>
            <w:hideMark/>
          </w:tcPr>
          <w:p w14:paraId="7665C465" w14:textId="149E6854"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 xml:space="preserve">Associated with extracellular matrix remodeling and </w:t>
            </w:r>
            <w:proofErr w:type="gramStart"/>
            <w:r w:rsidRPr="006662DA">
              <w:rPr>
                <w:rFonts w:ascii="Times New Roman" w:hAnsi="Times New Roman" w:cs="Times New Roman"/>
                <w:sz w:val="22"/>
                <w:szCs w:val="22"/>
              </w:rPr>
              <w:t>metastasis</w:t>
            </w:r>
            <w:r w:rsidR="006F44E5">
              <w:rPr>
                <w:rFonts w:ascii="Times New Roman" w:hAnsi="Times New Roman" w:cs="Times New Roman"/>
                <w:sz w:val="22"/>
              </w:rPr>
              <w:t>[</w:t>
            </w:r>
            <w:proofErr w:type="gramEnd"/>
            <w:r w:rsidR="006F44E5">
              <w:rPr>
                <w:rFonts w:ascii="Times New Roman" w:hAnsi="Times New Roman" w:cs="Times New Roman"/>
                <w:sz w:val="22"/>
              </w:rPr>
              <w:t>1]</w:t>
            </w:r>
            <w:r w:rsidR="00534F0F" w:rsidRPr="006662DA">
              <w:rPr>
                <w:rFonts w:ascii="Times New Roman" w:hAnsi="Times New Roman" w:cs="Times New Roman"/>
                <w:sz w:val="22"/>
                <w:szCs w:val="22"/>
              </w:rPr>
              <w:t xml:space="preserve"> </w:t>
            </w:r>
          </w:p>
        </w:tc>
      </w:tr>
      <w:tr w:rsidR="00FB1DF1" w:rsidRPr="006662DA" w14:paraId="7228241B" w14:textId="77777777" w:rsidTr="00681614">
        <w:trPr>
          <w:tblCellSpacing w:w="15" w:type="dxa"/>
        </w:trPr>
        <w:tc>
          <w:tcPr>
            <w:tcW w:w="0" w:type="auto"/>
            <w:vAlign w:val="center"/>
            <w:hideMark/>
          </w:tcPr>
          <w:p w14:paraId="7353B4DA" w14:textId="71294566"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PTM</w:t>
            </w:r>
            <w:r w:rsidR="00681614">
              <w:rPr>
                <w:rFonts w:ascii="Times New Roman" w:hAnsi="Times New Roman" w:cs="Times New Roman" w:hint="eastAsia"/>
                <w:sz w:val="22"/>
                <w:szCs w:val="22"/>
              </w:rPr>
              <w:t>S</w:t>
            </w:r>
          </w:p>
        </w:tc>
        <w:tc>
          <w:tcPr>
            <w:tcW w:w="0" w:type="auto"/>
            <w:vAlign w:val="center"/>
            <w:hideMark/>
          </w:tcPr>
          <w:p w14:paraId="6D4E0461" w14:textId="45216926" w:rsidR="00FB1DF1" w:rsidRPr="006662DA" w:rsidRDefault="00681614" w:rsidP="00FB1DF1">
            <w:pPr>
              <w:rPr>
                <w:rFonts w:ascii="Times New Roman" w:hAnsi="Times New Roman" w:cs="Times New Roman"/>
                <w:sz w:val="22"/>
                <w:szCs w:val="22"/>
              </w:rPr>
            </w:pPr>
            <w:r w:rsidRPr="00681614">
              <w:rPr>
                <w:rFonts w:ascii="Times New Roman" w:hAnsi="Times New Roman" w:cs="Times New Roman"/>
                <w:sz w:val="22"/>
                <w:szCs w:val="22"/>
              </w:rPr>
              <w:t>Acidic nuclear protein that modulates linker histone H1 binding and higher-order chromatin structure</w:t>
            </w:r>
          </w:p>
        </w:tc>
        <w:tc>
          <w:tcPr>
            <w:tcW w:w="0" w:type="auto"/>
            <w:vAlign w:val="center"/>
            <w:hideMark/>
          </w:tcPr>
          <w:p w14:paraId="650B00BC" w14:textId="3E745392" w:rsidR="00FB1DF1" w:rsidRPr="006662DA" w:rsidRDefault="00681614" w:rsidP="00FB1DF1">
            <w:pPr>
              <w:rPr>
                <w:rFonts w:ascii="Times New Roman" w:hAnsi="Times New Roman" w:cs="Times New Roman"/>
                <w:sz w:val="22"/>
                <w:szCs w:val="22"/>
              </w:rPr>
            </w:pPr>
            <w:r w:rsidRPr="00681614">
              <w:rPr>
                <w:rFonts w:ascii="Times New Roman" w:hAnsi="Times New Roman" w:cs="Times New Roman"/>
                <w:sz w:val="22"/>
                <w:szCs w:val="22"/>
              </w:rPr>
              <w:t>Direct cancer-specific evidence remains limited</w:t>
            </w:r>
          </w:p>
        </w:tc>
      </w:tr>
      <w:tr w:rsidR="00FB1DF1" w:rsidRPr="006662DA" w14:paraId="66A9E9DE" w14:textId="77777777" w:rsidTr="00681614">
        <w:trPr>
          <w:tblCellSpacing w:w="15" w:type="dxa"/>
        </w:trPr>
        <w:tc>
          <w:tcPr>
            <w:tcW w:w="0" w:type="auto"/>
            <w:vAlign w:val="center"/>
            <w:hideMark/>
          </w:tcPr>
          <w:p w14:paraId="08FE0AA9"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IGFBP3</w:t>
            </w:r>
          </w:p>
        </w:tc>
        <w:tc>
          <w:tcPr>
            <w:tcW w:w="0" w:type="auto"/>
            <w:vAlign w:val="center"/>
            <w:hideMark/>
          </w:tcPr>
          <w:p w14:paraId="14EBA99F"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Insulin-like growth factor binding protein regulating IGF bioavailability</w:t>
            </w:r>
          </w:p>
        </w:tc>
        <w:tc>
          <w:tcPr>
            <w:tcW w:w="0" w:type="auto"/>
            <w:vAlign w:val="center"/>
            <w:hideMark/>
          </w:tcPr>
          <w:p w14:paraId="2FD70364" w14:textId="76E44E8B" w:rsidR="00FB1DF1" w:rsidRPr="006662DA" w:rsidRDefault="00634E27" w:rsidP="00FB1DF1">
            <w:pPr>
              <w:rPr>
                <w:rFonts w:ascii="Times New Roman" w:hAnsi="Times New Roman" w:cs="Times New Roman"/>
                <w:sz w:val="22"/>
                <w:szCs w:val="22"/>
              </w:rPr>
            </w:pPr>
            <w:r>
              <w:rPr>
                <w:rFonts w:ascii="Times New Roman" w:hAnsi="Times New Roman" w:cs="Times New Roman"/>
                <w:szCs w:val="22"/>
              </w:rPr>
              <w:t xml:space="preserve">Associated with </w:t>
            </w:r>
            <w:proofErr w:type="gramStart"/>
            <w:r>
              <w:rPr>
                <w:rFonts w:ascii="Times New Roman" w:hAnsi="Times New Roman" w:cs="Times New Roman"/>
                <w:szCs w:val="22"/>
              </w:rPr>
              <w:t>tumorigenesis</w:t>
            </w:r>
            <w:r w:rsidR="006F44E5">
              <w:rPr>
                <w:rFonts w:ascii="Times New Roman" w:hAnsi="Times New Roman" w:cs="Times New Roman"/>
              </w:rPr>
              <w:t>[</w:t>
            </w:r>
            <w:proofErr w:type="gramEnd"/>
            <w:r w:rsidR="006F44E5">
              <w:rPr>
                <w:rFonts w:ascii="Times New Roman" w:hAnsi="Times New Roman" w:cs="Times New Roman"/>
              </w:rPr>
              <w:t>2]</w:t>
            </w:r>
          </w:p>
        </w:tc>
      </w:tr>
      <w:tr w:rsidR="00FB1DF1" w:rsidRPr="006662DA" w14:paraId="6EB63791" w14:textId="77777777" w:rsidTr="00681614">
        <w:trPr>
          <w:tblCellSpacing w:w="15" w:type="dxa"/>
        </w:trPr>
        <w:tc>
          <w:tcPr>
            <w:tcW w:w="0" w:type="auto"/>
            <w:vAlign w:val="center"/>
            <w:hideMark/>
          </w:tcPr>
          <w:p w14:paraId="1F7DE1FC"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ADAMTS13</w:t>
            </w:r>
          </w:p>
        </w:tc>
        <w:tc>
          <w:tcPr>
            <w:tcW w:w="0" w:type="auto"/>
            <w:vAlign w:val="center"/>
            <w:hideMark/>
          </w:tcPr>
          <w:p w14:paraId="3B534F72"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Plasma metalloprotease cleaving von Willebrand factor</w:t>
            </w:r>
          </w:p>
        </w:tc>
        <w:tc>
          <w:tcPr>
            <w:tcW w:w="0" w:type="auto"/>
            <w:vAlign w:val="center"/>
            <w:hideMark/>
          </w:tcPr>
          <w:p w14:paraId="061BAC86" w14:textId="26111F58"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 xml:space="preserve">Altered activity associated with cancer-related </w:t>
            </w:r>
            <w:proofErr w:type="gramStart"/>
            <w:r w:rsidRPr="006662DA">
              <w:rPr>
                <w:rFonts w:ascii="Times New Roman" w:hAnsi="Times New Roman" w:cs="Times New Roman"/>
                <w:sz w:val="22"/>
                <w:szCs w:val="22"/>
              </w:rPr>
              <w:t>thrombosis</w:t>
            </w:r>
            <w:r w:rsidR="006F44E5">
              <w:rPr>
                <w:rFonts w:ascii="Times New Roman" w:hAnsi="Times New Roman" w:cs="Times New Roman"/>
                <w:sz w:val="22"/>
              </w:rPr>
              <w:t>[</w:t>
            </w:r>
            <w:proofErr w:type="gramEnd"/>
            <w:r w:rsidR="006F44E5">
              <w:rPr>
                <w:rFonts w:ascii="Times New Roman" w:hAnsi="Times New Roman" w:cs="Times New Roman"/>
                <w:sz w:val="22"/>
              </w:rPr>
              <w:t>3]</w:t>
            </w:r>
          </w:p>
        </w:tc>
      </w:tr>
      <w:tr w:rsidR="00FB1DF1" w:rsidRPr="006662DA" w14:paraId="5800B55D" w14:textId="77777777" w:rsidTr="00681614">
        <w:trPr>
          <w:tblCellSpacing w:w="15" w:type="dxa"/>
        </w:trPr>
        <w:tc>
          <w:tcPr>
            <w:tcW w:w="0" w:type="auto"/>
            <w:vAlign w:val="center"/>
            <w:hideMark/>
          </w:tcPr>
          <w:p w14:paraId="5F7E99EE"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RPS27A</w:t>
            </w:r>
          </w:p>
        </w:tc>
        <w:tc>
          <w:tcPr>
            <w:tcW w:w="0" w:type="auto"/>
            <w:vAlign w:val="center"/>
            <w:hideMark/>
          </w:tcPr>
          <w:p w14:paraId="16E41AA7"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Ubiquitin–ribosomal fusion protein involved in translation</w:t>
            </w:r>
          </w:p>
        </w:tc>
        <w:tc>
          <w:tcPr>
            <w:tcW w:w="0" w:type="auto"/>
            <w:vAlign w:val="center"/>
            <w:hideMark/>
          </w:tcPr>
          <w:p w14:paraId="47DF2E51" w14:textId="13F930C5" w:rsidR="00FB1DF1" w:rsidRPr="00FA3612" w:rsidRDefault="00FA3612" w:rsidP="00FA3612">
            <w:r w:rsidRPr="00FA3612">
              <w:rPr>
                <w:rFonts w:ascii="Times New Roman" w:hAnsi="Times New Roman" w:cs="Times New Roman"/>
                <w:sz w:val="22"/>
                <w:szCs w:val="22"/>
              </w:rPr>
              <w:t>Ribosome- and ubiquitin-associated protein frequently linked to cellular proliferation</w:t>
            </w:r>
          </w:p>
        </w:tc>
      </w:tr>
      <w:tr w:rsidR="00FB1DF1" w:rsidRPr="006662DA" w14:paraId="651E938B" w14:textId="77777777" w:rsidTr="00681614">
        <w:trPr>
          <w:tblCellSpacing w:w="15" w:type="dxa"/>
        </w:trPr>
        <w:tc>
          <w:tcPr>
            <w:tcW w:w="0" w:type="auto"/>
            <w:vAlign w:val="center"/>
            <w:hideMark/>
          </w:tcPr>
          <w:p w14:paraId="2E3A85C1"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PSMC4</w:t>
            </w:r>
          </w:p>
        </w:tc>
        <w:tc>
          <w:tcPr>
            <w:tcW w:w="0" w:type="auto"/>
            <w:vAlign w:val="center"/>
            <w:hideMark/>
          </w:tcPr>
          <w:p w14:paraId="162A1635"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ATPase subunit of the 19S proteasome regulatory particle</w:t>
            </w:r>
          </w:p>
        </w:tc>
        <w:tc>
          <w:tcPr>
            <w:tcW w:w="0" w:type="auto"/>
            <w:vAlign w:val="center"/>
            <w:hideMark/>
          </w:tcPr>
          <w:p w14:paraId="67A2A19B" w14:textId="0C58929F" w:rsidR="00FB1DF1" w:rsidRPr="006662DA" w:rsidRDefault="00FA3612" w:rsidP="00FB1DF1">
            <w:pPr>
              <w:rPr>
                <w:rFonts w:ascii="Times New Roman" w:hAnsi="Times New Roman" w:cs="Times New Roman"/>
                <w:sz w:val="22"/>
                <w:szCs w:val="22"/>
              </w:rPr>
            </w:pPr>
            <w:r w:rsidRPr="00FA3612">
              <w:rPr>
                <w:rFonts w:ascii="Times New Roman" w:hAnsi="Times New Roman" w:cs="Times New Roman"/>
                <w:sz w:val="22"/>
                <w:szCs w:val="22"/>
              </w:rPr>
              <w:t>Proteasome regulatory subunit; increased proteasome activity is a common feature of malignant cells</w:t>
            </w:r>
          </w:p>
        </w:tc>
      </w:tr>
      <w:tr w:rsidR="00FB1DF1" w:rsidRPr="006662DA" w14:paraId="168A0488" w14:textId="77777777" w:rsidTr="00681614">
        <w:trPr>
          <w:tblCellSpacing w:w="15" w:type="dxa"/>
        </w:trPr>
        <w:tc>
          <w:tcPr>
            <w:tcW w:w="0" w:type="auto"/>
            <w:vAlign w:val="center"/>
            <w:hideMark/>
          </w:tcPr>
          <w:p w14:paraId="610F2C56"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COPS7B</w:t>
            </w:r>
          </w:p>
        </w:tc>
        <w:tc>
          <w:tcPr>
            <w:tcW w:w="0" w:type="auto"/>
            <w:vAlign w:val="center"/>
            <w:hideMark/>
          </w:tcPr>
          <w:p w14:paraId="1E24CE37"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Subunit of the COP9 signalosome regulating ubiquitin ligases</w:t>
            </w:r>
          </w:p>
        </w:tc>
        <w:tc>
          <w:tcPr>
            <w:tcW w:w="0" w:type="auto"/>
            <w:vAlign w:val="center"/>
            <w:hideMark/>
          </w:tcPr>
          <w:p w14:paraId="0507C7D6" w14:textId="204B1419" w:rsidR="00FB1DF1" w:rsidRPr="006662DA" w:rsidRDefault="00FA3612" w:rsidP="00FB1DF1">
            <w:pPr>
              <w:rPr>
                <w:rFonts w:ascii="Times New Roman" w:hAnsi="Times New Roman" w:cs="Times New Roman"/>
                <w:sz w:val="22"/>
                <w:szCs w:val="22"/>
              </w:rPr>
            </w:pPr>
            <w:r w:rsidRPr="00FA3612">
              <w:rPr>
                <w:rFonts w:ascii="Times New Roman" w:hAnsi="Times New Roman" w:cs="Times New Roman"/>
                <w:sz w:val="22"/>
                <w:szCs w:val="22"/>
              </w:rPr>
              <w:t>Component of the COP9 signalosome, a complex implicated in cancer-related protein homeostasis</w:t>
            </w:r>
          </w:p>
        </w:tc>
      </w:tr>
      <w:tr w:rsidR="00FB1DF1" w:rsidRPr="006662DA" w14:paraId="6C8ED6DA" w14:textId="77777777" w:rsidTr="00681614">
        <w:trPr>
          <w:tblCellSpacing w:w="15" w:type="dxa"/>
        </w:trPr>
        <w:tc>
          <w:tcPr>
            <w:tcW w:w="0" w:type="auto"/>
            <w:vAlign w:val="center"/>
            <w:hideMark/>
          </w:tcPr>
          <w:p w14:paraId="47DC9A31"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IGFALS</w:t>
            </w:r>
          </w:p>
        </w:tc>
        <w:tc>
          <w:tcPr>
            <w:tcW w:w="0" w:type="auto"/>
            <w:vAlign w:val="center"/>
            <w:hideMark/>
          </w:tcPr>
          <w:p w14:paraId="751419E5"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Acid-labile subunit stabilizing circulating IGF complexes</w:t>
            </w:r>
          </w:p>
        </w:tc>
        <w:tc>
          <w:tcPr>
            <w:tcW w:w="0" w:type="auto"/>
            <w:vAlign w:val="center"/>
            <w:hideMark/>
          </w:tcPr>
          <w:p w14:paraId="1F326D11" w14:textId="77777777" w:rsidR="00FB1DF1" w:rsidRPr="006662DA" w:rsidRDefault="006662DA" w:rsidP="00FB1DF1">
            <w:pPr>
              <w:rPr>
                <w:rFonts w:ascii="Times New Roman" w:hAnsi="Times New Roman" w:cs="Times New Roman"/>
                <w:sz w:val="22"/>
                <w:szCs w:val="22"/>
              </w:rPr>
            </w:pPr>
            <w:r>
              <w:rPr>
                <w:rFonts w:ascii="Times New Roman" w:hAnsi="Times New Roman" w:cs="Times New Roman" w:hint="eastAsia"/>
                <w:szCs w:val="22"/>
              </w:rPr>
              <w:t>R</w:t>
            </w:r>
            <w:r>
              <w:rPr>
                <w:rFonts w:ascii="Times New Roman" w:hAnsi="Times New Roman" w:cs="Times New Roman"/>
                <w:szCs w:val="22"/>
              </w:rPr>
              <w:t>eported to modulate tumor progression within the IGF signaling axis</w:t>
            </w:r>
          </w:p>
        </w:tc>
      </w:tr>
      <w:tr w:rsidR="00FB1DF1" w:rsidRPr="006662DA" w14:paraId="2B6A2F2F" w14:textId="77777777" w:rsidTr="00681614">
        <w:trPr>
          <w:tblCellSpacing w:w="15" w:type="dxa"/>
        </w:trPr>
        <w:tc>
          <w:tcPr>
            <w:tcW w:w="0" w:type="auto"/>
            <w:vAlign w:val="center"/>
            <w:hideMark/>
          </w:tcPr>
          <w:p w14:paraId="3ED55372"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COL11A2</w:t>
            </w:r>
          </w:p>
        </w:tc>
        <w:tc>
          <w:tcPr>
            <w:tcW w:w="0" w:type="auto"/>
            <w:vAlign w:val="center"/>
            <w:hideMark/>
          </w:tcPr>
          <w:p w14:paraId="18EF059F"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Fibrillar collagen component of the extracellular matrix</w:t>
            </w:r>
          </w:p>
        </w:tc>
        <w:tc>
          <w:tcPr>
            <w:tcW w:w="0" w:type="auto"/>
            <w:vAlign w:val="center"/>
            <w:hideMark/>
          </w:tcPr>
          <w:p w14:paraId="24B769FF" w14:textId="77777777" w:rsidR="00FB1DF1" w:rsidRPr="00781FF1" w:rsidRDefault="00781FF1" w:rsidP="00FB1DF1">
            <w:pPr>
              <w:rPr>
                <w:rFonts w:ascii="Times New Roman" w:hAnsi="Times New Roman" w:cs="Times New Roman"/>
                <w:sz w:val="22"/>
                <w:szCs w:val="22"/>
              </w:rPr>
            </w:pPr>
            <w:r w:rsidRPr="00781FF1">
              <w:rPr>
                <w:rFonts w:ascii="Times New Roman" w:hAnsi="Times New Roman" w:cs="Times New Roman"/>
              </w:rPr>
              <w:t>Altered expression reported in selected cancers; functional role remains unclear</w:t>
            </w:r>
          </w:p>
        </w:tc>
      </w:tr>
      <w:tr w:rsidR="00FB1DF1" w:rsidRPr="006662DA" w14:paraId="7D07624D" w14:textId="77777777" w:rsidTr="00681614">
        <w:trPr>
          <w:tblCellSpacing w:w="15" w:type="dxa"/>
        </w:trPr>
        <w:tc>
          <w:tcPr>
            <w:tcW w:w="0" w:type="auto"/>
            <w:vAlign w:val="center"/>
            <w:hideMark/>
          </w:tcPr>
          <w:p w14:paraId="23A0E5DC"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CNST</w:t>
            </w:r>
          </w:p>
        </w:tc>
        <w:tc>
          <w:tcPr>
            <w:tcW w:w="0" w:type="auto"/>
            <w:vAlign w:val="center"/>
            <w:hideMark/>
          </w:tcPr>
          <w:p w14:paraId="6E9EDCD8"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Trans-Golgi network cargo receptor involved in membrane trafficking</w:t>
            </w:r>
          </w:p>
        </w:tc>
        <w:tc>
          <w:tcPr>
            <w:tcW w:w="0" w:type="auto"/>
            <w:vAlign w:val="center"/>
            <w:hideMark/>
          </w:tcPr>
          <w:p w14:paraId="5F8B45F3"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 xml:space="preserve">Limited </w:t>
            </w:r>
            <w:r w:rsidR="00634E27">
              <w:rPr>
                <w:rFonts w:ascii="Times New Roman" w:hAnsi="Times New Roman" w:cs="Times New Roman"/>
                <w:szCs w:val="22"/>
              </w:rPr>
              <w:t>evidence suggests involvement in tumor-related membrane trafficking</w:t>
            </w:r>
          </w:p>
        </w:tc>
      </w:tr>
      <w:tr w:rsidR="00FB1DF1" w:rsidRPr="006662DA" w14:paraId="37E3EF22" w14:textId="77777777" w:rsidTr="00681614">
        <w:trPr>
          <w:tblCellSpacing w:w="15" w:type="dxa"/>
        </w:trPr>
        <w:tc>
          <w:tcPr>
            <w:tcW w:w="0" w:type="auto"/>
            <w:vAlign w:val="center"/>
            <w:hideMark/>
          </w:tcPr>
          <w:p w14:paraId="1F531AD0"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RPLP2</w:t>
            </w:r>
          </w:p>
        </w:tc>
        <w:tc>
          <w:tcPr>
            <w:tcW w:w="0" w:type="auto"/>
            <w:vAlign w:val="center"/>
            <w:hideMark/>
          </w:tcPr>
          <w:p w14:paraId="5238542F"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Ribosomal stalk protein involved in translation elongation</w:t>
            </w:r>
          </w:p>
        </w:tc>
        <w:tc>
          <w:tcPr>
            <w:tcW w:w="0" w:type="auto"/>
            <w:vAlign w:val="center"/>
            <w:hideMark/>
          </w:tcPr>
          <w:p w14:paraId="560278DF" w14:textId="09FA8378" w:rsidR="00FB1DF1" w:rsidRPr="006662DA" w:rsidRDefault="00FA3612" w:rsidP="00FB1DF1">
            <w:pPr>
              <w:rPr>
                <w:rFonts w:ascii="Times New Roman" w:hAnsi="Times New Roman" w:cs="Times New Roman"/>
                <w:sz w:val="22"/>
                <w:szCs w:val="22"/>
              </w:rPr>
            </w:pPr>
            <w:r w:rsidRPr="00FA3612">
              <w:rPr>
                <w:rFonts w:ascii="Times New Roman" w:hAnsi="Times New Roman" w:cs="Times New Roman"/>
                <w:sz w:val="22"/>
                <w:szCs w:val="22"/>
              </w:rPr>
              <w:t>Ribosomal protein involved in translational control and cellular growth</w:t>
            </w:r>
          </w:p>
        </w:tc>
      </w:tr>
      <w:tr w:rsidR="00FB1DF1" w:rsidRPr="006662DA" w14:paraId="38C498B6" w14:textId="77777777" w:rsidTr="00681614">
        <w:trPr>
          <w:tblCellSpacing w:w="15" w:type="dxa"/>
        </w:trPr>
        <w:tc>
          <w:tcPr>
            <w:tcW w:w="0" w:type="auto"/>
            <w:vAlign w:val="center"/>
            <w:hideMark/>
          </w:tcPr>
          <w:p w14:paraId="3E59C950"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GAPDH</w:t>
            </w:r>
          </w:p>
        </w:tc>
        <w:tc>
          <w:tcPr>
            <w:tcW w:w="0" w:type="auto"/>
            <w:vAlign w:val="center"/>
            <w:hideMark/>
          </w:tcPr>
          <w:p w14:paraId="158CD35D"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Glycolytic enzyme with additional nuclear functions</w:t>
            </w:r>
          </w:p>
        </w:tc>
        <w:tc>
          <w:tcPr>
            <w:tcW w:w="0" w:type="auto"/>
            <w:vAlign w:val="center"/>
            <w:hideMark/>
          </w:tcPr>
          <w:p w14:paraId="56954D55" w14:textId="4CE64078" w:rsidR="00FB1DF1" w:rsidRPr="006662DA" w:rsidRDefault="00A928FE" w:rsidP="00FB1DF1">
            <w:pPr>
              <w:rPr>
                <w:rFonts w:ascii="Times New Roman" w:hAnsi="Times New Roman" w:cs="Times New Roman"/>
                <w:sz w:val="22"/>
                <w:szCs w:val="22"/>
              </w:rPr>
            </w:pPr>
            <w:r>
              <w:rPr>
                <w:rFonts w:ascii="Times New Roman" w:hAnsi="Times New Roman" w:cs="Times New Roman"/>
                <w:szCs w:val="22"/>
              </w:rPr>
              <w:t xml:space="preserve">Frequently upregulated; </w:t>
            </w:r>
            <w:r>
              <w:rPr>
                <w:rFonts w:ascii="Times New Roman" w:hAnsi="Times New Roman" w:cs="Times New Roman" w:hint="eastAsia"/>
                <w:szCs w:val="22"/>
              </w:rPr>
              <w:t>a</w:t>
            </w:r>
            <w:r w:rsidR="00634E27">
              <w:rPr>
                <w:rFonts w:ascii="Times New Roman" w:hAnsi="Times New Roman" w:cs="Times New Roman"/>
                <w:szCs w:val="22"/>
              </w:rPr>
              <w:t>ssociated with</w:t>
            </w:r>
            <w:r w:rsidR="00FB1DF1" w:rsidRPr="006662DA">
              <w:rPr>
                <w:rFonts w:ascii="Times New Roman" w:hAnsi="Times New Roman" w:cs="Times New Roman"/>
                <w:sz w:val="22"/>
                <w:szCs w:val="22"/>
              </w:rPr>
              <w:t xml:space="preserve"> metabolic reprogramming</w:t>
            </w:r>
            <w:r w:rsidR="00634E27">
              <w:rPr>
                <w:rFonts w:ascii="Times New Roman" w:hAnsi="Times New Roman" w:cs="Times New Roman"/>
                <w:szCs w:val="22"/>
              </w:rPr>
              <w:t xml:space="preserve"> in </w:t>
            </w:r>
            <w:proofErr w:type="gramStart"/>
            <w:r w:rsidR="00634E27">
              <w:rPr>
                <w:rFonts w:ascii="Times New Roman" w:hAnsi="Times New Roman" w:cs="Times New Roman"/>
                <w:szCs w:val="22"/>
              </w:rPr>
              <w:t>cancer</w:t>
            </w:r>
            <w:r w:rsidR="006F44E5">
              <w:rPr>
                <w:rFonts w:ascii="Times New Roman" w:hAnsi="Times New Roman" w:cs="Times New Roman"/>
              </w:rPr>
              <w:t>[</w:t>
            </w:r>
            <w:proofErr w:type="gramEnd"/>
            <w:r w:rsidR="006F44E5">
              <w:rPr>
                <w:rFonts w:ascii="Times New Roman" w:hAnsi="Times New Roman" w:cs="Times New Roman"/>
              </w:rPr>
              <w:t>4]</w:t>
            </w:r>
          </w:p>
        </w:tc>
      </w:tr>
      <w:tr w:rsidR="00FB1DF1" w:rsidRPr="006662DA" w14:paraId="3D05A032" w14:textId="77777777" w:rsidTr="00681614">
        <w:trPr>
          <w:tblCellSpacing w:w="15" w:type="dxa"/>
        </w:trPr>
        <w:tc>
          <w:tcPr>
            <w:tcW w:w="0" w:type="auto"/>
            <w:vAlign w:val="center"/>
            <w:hideMark/>
          </w:tcPr>
          <w:p w14:paraId="692347FF"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LCP2</w:t>
            </w:r>
          </w:p>
        </w:tc>
        <w:tc>
          <w:tcPr>
            <w:tcW w:w="0" w:type="auto"/>
            <w:vAlign w:val="center"/>
            <w:hideMark/>
          </w:tcPr>
          <w:p w14:paraId="098DDF3A"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Adaptor protein in T-cell receptor signaling</w:t>
            </w:r>
          </w:p>
        </w:tc>
        <w:tc>
          <w:tcPr>
            <w:tcW w:w="0" w:type="auto"/>
            <w:vAlign w:val="center"/>
            <w:hideMark/>
          </w:tcPr>
          <w:p w14:paraId="22B96287"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Reflects immune cell signaling in tumor microenvironment</w:t>
            </w:r>
          </w:p>
        </w:tc>
      </w:tr>
      <w:tr w:rsidR="00FB1DF1" w:rsidRPr="006662DA" w14:paraId="25701EE2" w14:textId="77777777" w:rsidTr="00681614">
        <w:trPr>
          <w:tblCellSpacing w:w="15" w:type="dxa"/>
        </w:trPr>
        <w:tc>
          <w:tcPr>
            <w:tcW w:w="0" w:type="auto"/>
            <w:vAlign w:val="center"/>
            <w:hideMark/>
          </w:tcPr>
          <w:p w14:paraId="1BDF7F20"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lastRenderedPageBreak/>
              <w:t>NELL2</w:t>
            </w:r>
          </w:p>
        </w:tc>
        <w:tc>
          <w:tcPr>
            <w:tcW w:w="0" w:type="auto"/>
            <w:vAlign w:val="center"/>
            <w:hideMark/>
          </w:tcPr>
          <w:p w14:paraId="681CA3BF"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Secreted glycoprotein involved in cell signaling</w:t>
            </w:r>
          </w:p>
        </w:tc>
        <w:tc>
          <w:tcPr>
            <w:tcW w:w="0" w:type="auto"/>
            <w:vAlign w:val="center"/>
            <w:hideMark/>
          </w:tcPr>
          <w:p w14:paraId="2DC2CE46"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Dysregulation reported in selected malignancies</w:t>
            </w:r>
          </w:p>
        </w:tc>
      </w:tr>
      <w:tr w:rsidR="00FB1DF1" w:rsidRPr="006662DA" w14:paraId="1D9E802F" w14:textId="77777777" w:rsidTr="00681614">
        <w:trPr>
          <w:tblCellSpacing w:w="15" w:type="dxa"/>
        </w:trPr>
        <w:tc>
          <w:tcPr>
            <w:tcW w:w="0" w:type="auto"/>
            <w:vAlign w:val="center"/>
            <w:hideMark/>
          </w:tcPr>
          <w:p w14:paraId="595D9A91"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CILP2</w:t>
            </w:r>
          </w:p>
        </w:tc>
        <w:tc>
          <w:tcPr>
            <w:tcW w:w="0" w:type="auto"/>
            <w:vAlign w:val="center"/>
            <w:hideMark/>
          </w:tcPr>
          <w:p w14:paraId="76FF9E0A"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Extracellular matrix–associated protein</w:t>
            </w:r>
          </w:p>
        </w:tc>
        <w:tc>
          <w:tcPr>
            <w:tcW w:w="0" w:type="auto"/>
            <w:vAlign w:val="center"/>
            <w:hideMark/>
          </w:tcPr>
          <w:p w14:paraId="475EDF04" w14:textId="77777777" w:rsidR="00FB1DF1" w:rsidRPr="00634E27" w:rsidRDefault="00634E27" w:rsidP="00FB1DF1">
            <w:pPr>
              <w:rPr>
                <w:rFonts w:ascii="Times New Roman" w:hAnsi="Times New Roman" w:cs="Times New Roman"/>
                <w:sz w:val="22"/>
                <w:szCs w:val="22"/>
              </w:rPr>
            </w:pPr>
            <w:r w:rsidRPr="00634E27">
              <w:rPr>
                <w:rFonts w:ascii="Times New Roman" w:hAnsi="Times New Roman" w:cs="Times New Roman"/>
              </w:rPr>
              <w:t xml:space="preserve">Altered expression </w:t>
            </w:r>
            <w:r w:rsidR="00A928FE">
              <w:rPr>
                <w:rFonts w:ascii="Times New Roman" w:hAnsi="Times New Roman" w:cs="Times New Roman"/>
              </w:rPr>
              <w:t>associated with prognosis</w:t>
            </w:r>
          </w:p>
        </w:tc>
      </w:tr>
      <w:tr w:rsidR="00FB1DF1" w:rsidRPr="006662DA" w14:paraId="721A1BA2" w14:textId="77777777" w:rsidTr="00681614">
        <w:trPr>
          <w:tblCellSpacing w:w="15" w:type="dxa"/>
        </w:trPr>
        <w:tc>
          <w:tcPr>
            <w:tcW w:w="0" w:type="auto"/>
            <w:vAlign w:val="center"/>
            <w:hideMark/>
          </w:tcPr>
          <w:p w14:paraId="64A85BD8"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DBNL</w:t>
            </w:r>
          </w:p>
        </w:tc>
        <w:tc>
          <w:tcPr>
            <w:tcW w:w="0" w:type="auto"/>
            <w:vAlign w:val="center"/>
            <w:hideMark/>
          </w:tcPr>
          <w:p w14:paraId="29D86654"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Actin-binding protein involved in cytoskeletal dynamics</w:t>
            </w:r>
          </w:p>
        </w:tc>
        <w:tc>
          <w:tcPr>
            <w:tcW w:w="0" w:type="auto"/>
            <w:vAlign w:val="center"/>
            <w:hideMark/>
          </w:tcPr>
          <w:p w14:paraId="6DDA7DD4" w14:textId="77777777" w:rsidR="00FB1DF1" w:rsidRPr="006662DA" w:rsidRDefault="005A30FF" w:rsidP="00FB1DF1">
            <w:pPr>
              <w:rPr>
                <w:rFonts w:ascii="Times New Roman" w:hAnsi="Times New Roman" w:cs="Times New Roman"/>
                <w:sz w:val="22"/>
                <w:szCs w:val="22"/>
              </w:rPr>
            </w:pPr>
            <w:r>
              <w:rPr>
                <w:rFonts w:ascii="Times New Roman" w:hAnsi="Times New Roman" w:cs="Times New Roman" w:hint="eastAsia"/>
                <w:szCs w:val="22"/>
              </w:rPr>
              <w:t>Lim</w:t>
            </w:r>
            <w:r>
              <w:rPr>
                <w:rFonts w:ascii="Times New Roman" w:hAnsi="Times New Roman" w:cs="Times New Roman"/>
                <w:szCs w:val="22"/>
              </w:rPr>
              <w:t>ited evidence; cytoskeletal adaptor with potential relevance to tumor cell motility</w:t>
            </w:r>
          </w:p>
        </w:tc>
      </w:tr>
      <w:tr w:rsidR="00FB1DF1" w:rsidRPr="006662DA" w14:paraId="791188DE" w14:textId="77777777" w:rsidTr="00681614">
        <w:trPr>
          <w:tblCellSpacing w:w="15" w:type="dxa"/>
        </w:trPr>
        <w:tc>
          <w:tcPr>
            <w:tcW w:w="0" w:type="auto"/>
            <w:vAlign w:val="center"/>
            <w:hideMark/>
          </w:tcPr>
          <w:p w14:paraId="6EA30C29"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LYN</w:t>
            </w:r>
          </w:p>
        </w:tc>
        <w:tc>
          <w:tcPr>
            <w:tcW w:w="0" w:type="auto"/>
            <w:vAlign w:val="center"/>
            <w:hideMark/>
          </w:tcPr>
          <w:p w14:paraId="001679E8" w14:textId="77777777" w:rsidR="00FB1DF1" w:rsidRPr="006662DA" w:rsidRDefault="00FB1DF1" w:rsidP="00FB1DF1">
            <w:pPr>
              <w:rPr>
                <w:rFonts w:ascii="Times New Roman" w:hAnsi="Times New Roman" w:cs="Times New Roman"/>
                <w:sz w:val="22"/>
                <w:szCs w:val="22"/>
              </w:rPr>
            </w:pPr>
            <w:proofErr w:type="spellStart"/>
            <w:r w:rsidRPr="006662DA">
              <w:rPr>
                <w:rFonts w:ascii="Times New Roman" w:hAnsi="Times New Roman" w:cs="Times New Roman"/>
                <w:sz w:val="22"/>
                <w:szCs w:val="22"/>
              </w:rPr>
              <w:t>Src</w:t>
            </w:r>
            <w:proofErr w:type="spellEnd"/>
            <w:r w:rsidRPr="006662DA">
              <w:rPr>
                <w:rFonts w:ascii="Times New Roman" w:hAnsi="Times New Roman" w:cs="Times New Roman"/>
                <w:sz w:val="22"/>
                <w:szCs w:val="22"/>
              </w:rPr>
              <w:t>-family tyrosine kinase involved in signal transduction</w:t>
            </w:r>
          </w:p>
        </w:tc>
        <w:tc>
          <w:tcPr>
            <w:tcW w:w="0" w:type="auto"/>
            <w:vAlign w:val="center"/>
            <w:hideMark/>
          </w:tcPr>
          <w:p w14:paraId="794F7A3E" w14:textId="2388747C"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 xml:space="preserve">Oncogenic signaling reported in hematologic </w:t>
            </w:r>
            <w:proofErr w:type="gramStart"/>
            <w:r w:rsidR="005A30FF">
              <w:rPr>
                <w:rFonts w:ascii="Times New Roman" w:hAnsi="Times New Roman" w:cs="Times New Roman" w:hint="eastAsia"/>
                <w:szCs w:val="22"/>
              </w:rPr>
              <w:t>ma</w:t>
            </w:r>
            <w:r w:rsidR="005A30FF">
              <w:rPr>
                <w:rFonts w:ascii="Times New Roman" w:hAnsi="Times New Roman" w:cs="Times New Roman"/>
                <w:szCs w:val="22"/>
              </w:rPr>
              <w:t>lignancies</w:t>
            </w:r>
            <w:r w:rsidR="006F44E5">
              <w:rPr>
                <w:rFonts w:ascii="Times New Roman" w:hAnsi="Times New Roman" w:cs="Times New Roman"/>
              </w:rPr>
              <w:t>[</w:t>
            </w:r>
            <w:proofErr w:type="gramEnd"/>
            <w:r w:rsidR="006F44E5">
              <w:rPr>
                <w:rFonts w:ascii="Times New Roman" w:hAnsi="Times New Roman" w:cs="Times New Roman"/>
              </w:rPr>
              <w:t>5]</w:t>
            </w:r>
          </w:p>
        </w:tc>
      </w:tr>
      <w:tr w:rsidR="00FB1DF1" w:rsidRPr="006662DA" w14:paraId="5C0C968F" w14:textId="77777777" w:rsidTr="00681614">
        <w:trPr>
          <w:tblCellSpacing w:w="15" w:type="dxa"/>
        </w:trPr>
        <w:tc>
          <w:tcPr>
            <w:tcW w:w="0" w:type="auto"/>
            <w:vAlign w:val="center"/>
            <w:hideMark/>
          </w:tcPr>
          <w:p w14:paraId="30BCAD27"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VTN</w:t>
            </w:r>
          </w:p>
        </w:tc>
        <w:tc>
          <w:tcPr>
            <w:tcW w:w="0" w:type="auto"/>
            <w:vAlign w:val="center"/>
            <w:hideMark/>
          </w:tcPr>
          <w:p w14:paraId="514B786D"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Extracellular matrix glycoprotein mediating adhesion</w:t>
            </w:r>
          </w:p>
        </w:tc>
        <w:tc>
          <w:tcPr>
            <w:tcW w:w="0" w:type="auto"/>
            <w:vAlign w:val="center"/>
            <w:hideMark/>
          </w:tcPr>
          <w:p w14:paraId="5757BD78" w14:textId="5072C9DB"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 xml:space="preserve">Associated with migration, angiogenesis and </w:t>
            </w:r>
            <w:proofErr w:type="gramStart"/>
            <w:r w:rsidRPr="006662DA">
              <w:rPr>
                <w:rFonts w:ascii="Times New Roman" w:hAnsi="Times New Roman" w:cs="Times New Roman"/>
                <w:sz w:val="22"/>
                <w:szCs w:val="22"/>
              </w:rPr>
              <w:t>metastasis</w:t>
            </w:r>
            <w:r w:rsidR="006F44E5">
              <w:rPr>
                <w:rFonts w:ascii="Times New Roman" w:hAnsi="Times New Roman" w:cs="Times New Roman"/>
                <w:sz w:val="22"/>
              </w:rPr>
              <w:t>[</w:t>
            </w:r>
            <w:proofErr w:type="gramEnd"/>
            <w:r w:rsidR="006F44E5">
              <w:rPr>
                <w:rFonts w:ascii="Times New Roman" w:hAnsi="Times New Roman" w:cs="Times New Roman"/>
                <w:sz w:val="22"/>
              </w:rPr>
              <w:t>6]</w:t>
            </w:r>
          </w:p>
        </w:tc>
      </w:tr>
      <w:tr w:rsidR="00FB1DF1" w:rsidRPr="006662DA" w14:paraId="11151524" w14:textId="77777777" w:rsidTr="00681614">
        <w:trPr>
          <w:tblCellSpacing w:w="15" w:type="dxa"/>
        </w:trPr>
        <w:tc>
          <w:tcPr>
            <w:tcW w:w="0" w:type="auto"/>
            <w:vAlign w:val="center"/>
            <w:hideMark/>
          </w:tcPr>
          <w:p w14:paraId="69F8D05A"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SUSD5</w:t>
            </w:r>
          </w:p>
        </w:tc>
        <w:tc>
          <w:tcPr>
            <w:tcW w:w="0" w:type="auto"/>
            <w:vAlign w:val="center"/>
            <w:hideMark/>
          </w:tcPr>
          <w:p w14:paraId="095DF5D3"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Complement control–related protein</w:t>
            </w:r>
          </w:p>
        </w:tc>
        <w:tc>
          <w:tcPr>
            <w:tcW w:w="0" w:type="auto"/>
            <w:vAlign w:val="center"/>
            <w:hideMark/>
          </w:tcPr>
          <w:p w14:paraId="74AC4D0E"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Limited evidence in cancer</w:t>
            </w:r>
            <w:r w:rsidR="00634E27">
              <w:rPr>
                <w:rFonts w:ascii="Times New Roman" w:hAnsi="Times New Roman" w:cs="Times New Roman"/>
                <w:szCs w:val="22"/>
              </w:rPr>
              <w:t>; potential involvement in tumor-associated immune regulation</w:t>
            </w:r>
          </w:p>
        </w:tc>
      </w:tr>
      <w:tr w:rsidR="00FB1DF1" w:rsidRPr="006662DA" w14:paraId="6A504B56" w14:textId="77777777" w:rsidTr="00681614">
        <w:trPr>
          <w:tblCellSpacing w:w="15" w:type="dxa"/>
        </w:trPr>
        <w:tc>
          <w:tcPr>
            <w:tcW w:w="0" w:type="auto"/>
            <w:vAlign w:val="center"/>
            <w:hideMark/>
          </w:tcPr>
          <w:p w14:paraId="70D8ADB6"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IGHV3-72</w:t>
            </w:r>
          </w:p>
        </w:tc>
        <w:tc>
          <w:tcPr>
            <w:tcW w:w="0" w:type="auto"/>
            <w:vAlign w:val="center"/>
            <w:hideMark/>
          </w:tcPr>
          <w:p w14:paraId="438D22B1" w14:textId="77777777" w:rsidR="00FB1DF1" w:rsidRPr="006662DA" w:rsidRDefault="00FB1DF1" w:rsidP="00FB1DF1">
            <w:pPr>
              <w:rPr>
                <w:rFonts w:ascii="Times New Roman" w:hAnsi="Times New Roman" w:cs="Times New Roman"/>
                <w:sz w:val="22"/>
                <w:szCs w:val="22"/>
              </w:rPr>
            </w:pPr>
            <w:r w:rsidRPr="006662DA">
              <w:rPr>
                <w:rFonts w:ascii="Times New Roman" w:hAnsi="Times New Roman" w:cs="Times New Roman"/>
                <w:sz w:val="22"/>
                <w:szCs w:val="22"/>
              </w:rPr>
              <w:t>Immunoglobulin heavy chain variable region gene segment</w:t>
            </w:r>
          </w:p>
        </w:tc>
        <w:tc>
          <w:tcPr>
            <w:tcW w:w="0" w:type="auto"/>
            <w:vAlign w:val="center"/>
            <w:hideMark/>
          </w:tcPr>
          <w:p w14:paraId="1878B8A5" w14:textId="77777777" w:rsidR="00FB1DF1" w:rsidRPr="006662DA" w:rsidRDefault="005A30FF" w:rsidP="00FB1DF1">
            <w:pPr>
              <w:rPr>
                <w:rFonts w:ascii="Times New Roman" w:hAnsi="Times New Roman" w:cs="Times New Roman"/>
                <w:sz w:val="22"/>
                <w:szCs w:val="22"/>
              </w:rPr>
            </w:pPr>
            <w:r>
              <w:rPr>
                <w:rFonts w:ascii="Times New Roman" w:hAnsi="Times New Roman" w:cs="Times New Roman"/>
                <w:szCs w:val="22"/>
              </w:rPr>
              <w:t xml:space="preserve">Limited evidence in cancer; </w:t>
            </w:r>
            <w:r>
              <w:rPr>
                <w:rFonts w:ascii="Times New Roman" w:hAnsi="Times New Roman" w:cs="Times New Roman" w:hint="eastAsia"/>
                <w:szCs w:val="22"/>
              </w:rPr>
              <w:t>r</w:t>
            </w:r>
            <w:r w:rsidR="00FB1DF1" w:rsidRPr="006662DA">
              <w:rPr>
                <w:rFonts w:ascii="Times New Roman" w:hAnsi="Times New Roman" w:cs="Times New Roman"/>
                <w:sz w:val="22"/>
                <w:szCs w:val="22"/>
              </w:rPr>
              <w:t>eflects humoral immune response</w:t>
            </w:r>
          </w:p>
        </w:tc>
      </w:tr>
    </w:tbl>
    <w:p w14:paraId="31CDA107" w14:textId="25FB3382" w:rsidR="00127D56" w:rsidRPr="0001690C" w:rsidRDefault="00127D56" w:rsidP="0001690C">
      <w:pPr>
        <w:spacing w:after="160" w:line="278" w:lineRule="auto"/>
      </w:pPr>
      <w:bookmarkStart w:id="1" w:name="OLE_LINK63"/>
      <w:bookmarkEnd w:id="0"/>
    </w:p>
    <w:tbl>
      <w:tblPr>
        <w:tblW w:w="0" w:type="auto"/>
        <w:tblCellSpacing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034"/>
        <w:gridCol w:w="3643"/>
        <w:gridCol w:w="3613"/>
      </w:tblGrid>
      <w:tr w:rsidR="0001690C" w:rsidRPr="0001690C" w14:paraId="2A7F7E1E" w14:textId="77777777" w:rsidTr="00DC1569">
        <w:trPr>
          <w:tblHeader/>
          <w:tblCellSpacing w:w="15" w:type="dxa"/>
        </w:trPr>
        <w:tc>
          <w:tcPr>
            <w:tcW w:w="0" w:type="auto"/>
            <w:gridSpan w:val="3"/>
            <w:vAlign w:val="center"/>
          </w:tcPr>
          <w:p w14:paraId="484C199D" w14:textId="7DC1C3D9" w:rsidR="0001690C" w:rsidRPr="0001690C" w:rsidRDefault="0001690C" w:rsidP="0001690C">
            <w:pPr>
              <w:rPr>
                <w:rFonts w:ascii="Times New Roman" w:hAnsi="Times New Roman" w:cs="Times New Roman"/>
                <w:b/>
                <w:bCs/>
                <w:sz w:val="22"/>
                <w:szCs w:val="22"/>
              </w:rPr>
            </w:pPr>
            <w:proofErr w:type="spellStart"/>
            <w:r w:rsidRPr="0001690C">
              <w:rPr>
                <w:rFonts w:ascii="Times New Roman" w:hAnsi="Times New Roman" w:cs="Times New Roman"/>
                <w:b/>
                <w:bCs/>
                <w:sz w:val="22"/>
                <w:szCs w:val="22"/>
              </w:rPr>
              <w:t>ISD_Top</w:t>
            </w:r>
            <w:proofErr w:type="spellEnd"/>
            <w:r w:rsidRPr="0001690C">
              <w:rPr>
                <w:rFonts w:ascii="Times New Roman" w:hAnsi="Times New Roman" w:cs="Times New Roman"/>
                <w:b/>
                <w:bCs/>
                <w:sz w:val="22"/>
                <w:szCs w:val="22"/>
              </w:rPr>
              <w:t xml:space="preserve"> 20 Random Forest Protein</w:t>
            </w:r>
          </w:p>
        </w:tc>
      </w:tr>
      <w:bookmarkEnd w:id="1"/>
      <w:tr w:rsidR="00127D56" w:rsidRPr="0001690C" w14:paraId="756B1F74" w14:textId="77777777" w:rsidTr="00127D56">
        <w:trPr>
          <w:tblHeader/>
          <w:tblCellSpacing w:w="15" w:type="dxa"/>
        </w:trPr>
        <w:tc>
          <w:tcPr>
            <w:tcW w:w="0" w:type="auto"/>
            <w:vAlign w:val="center"/>
            <w:hideMark/>
          </w:tcPr>
          <w:p w14:paraId="44ED531A" w14:textId="77777777" w:rsidR="00127D56" w:rsidRPr="0001690C" w:rsidRDefault="00127D56">
            <w:pPr>
              <w:jc w:val="center"/>
              <w:rPr>
                <w:rFonts w:ascii="Times New Roman" w:hAnsi="Times New Roman" w:cs="Times New Roman"/>
                <w:sz w:val="22"/>
                <w:szCs w:val="22"/>
              </w:rPr>
            </w:pPr>
            <w:r w:rsidRPr="0001690C">
              <w:rPr>
                <w:rFonts w:ascii="Times New Roman" w:hAnsi="Times New Roman" w:cs="Times New Roman"/>
                <w:sz w:val="22"/>
                <w:szCs w:val="22"/>
              </w:rPr>
              <w:t>Gene</w:t>
            </w:r>
          </w:p>
        </w:tc>
        <w:tc>
          <w:tcPr>
            <w:tcW w:w="0" w:type="auto"/>
            <w:vAlign w:val="center"/>
            <w:hideMark/>
          </w:tcPr>
          <w:p w14:paraId="5F99E35C" w14:textId="77777777" w:rsidR="00127D56" w:rsidRPr="0001690C" w:rsidRDefault="00127D56">
            <w:pPr>
              <w:jc w:val="center"/>
              <w:rPr>
                <w:rFonts w:ascii="Times New Roman" w:hAnsi="Times New Roman" w:cs="Times New Roman"/>
                <w:sz w:val="22"/>
                <w:szCs w:val="22"/>
              </w:rPr>
            </w:pPr>
            <w:r w:rsidRPr="0001690C">
              <w:rPr>
                <w:rFonts w:ascii="Times New Roman" w:hAnsi="Times New Roman" w:cs="Times New Roman"/>
                <w:sz w:val="22"/>
                <w:szCs w:val="22"/>
              </w:rPr>
              <w:t>Biological role</w:t>
            </w:r>
          </w:p>
        </w:tc>
        <w:tc>
          <w:tcPr>
            <w:tcW w:w="0" w:type="auto"/>
            <w:vAlign w:val="center"/>
            <w:hideMark/>
          </w:tcPr>
          <w:p w14:paraId="2DB4353D" w14:textId="77777777" w:rsidR="00127D56" w:rsidRPr="0001690C" w:rsidRDefault="00127D56">
            <w:pPr>
              <w:jc w:val="center"/>
              <w:rPr>
                <w:rFonts w:ascii="Times New Roman" w:hAnsi="Times New Roman" w:cs="Times New Roman"/>
                <w:sz w:val="22"/>
                <w:szCs w:val="22"/>
              </w:rPr>
            </w:pPr>
            <w:r w:rsidRPr="0001690C">
              <w:rPr>
                <w:rFonts w:ascii="Times New Roman" w:hAnsi="Times New Roman" w:cs="Times New Roman"/>
                <w:sz w:val="22"/>
                <w:szCs w:val="22"/>
              </w:rPr>
              <w:t>Cancer relevance</w:t>
            </w:r>
          </w:p>
        </w:tc>
      </w:tr>
      <w:tr w:rsidR="00127D56" w:rsidRPr="0001690C" w14:paraId="0AFFF93F" w14:textId="77777777" w:rsidTr="00127D56">
        <w:trPr>
          <w:tblCellSpacing w:w="15" w:type="dxa"/>
        </w:trPr>
        <w:tc>
          <w:tcPr>
            <w:tcW w:w="0" w:type="auto"/>
            <w:vAlign w:val="center"/>
            <w:hideMark/>
          </w:tcPr>
          <w:p w14:paraId="29A28B1F"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FGA</w:t>
            </w:r>
          </w:p>
        </w:tc>
        <w:tc>
          <w:tcPr>
            <w:tcW w:w="0" w:type="auto"/>
            <w:vAlign w:val="center"/>
            <w:hideMark/>
          </w:tcPr>
          <w:p w14:paraId="5BBFDFFA"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Coagulation factor; fibrin precursor involved in clot formation</w:t>
            </w:r>
          </w:p>
        </w:tc>
        <w:tc>
          <w:tcPr>
            <w:tcW w:w="0" w:type="auto"/>
            <w:vAlign w:val="center"/>
            <w:hideMark/>
          </w:tcPr>
          <w:p w14:paraId="6B00711B" w14:textId="4AA9E8AA"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 xml:space="preserve">Associated with tumor–coagulation crosstalk and cancer </w:t>
            </w:r>
            <w:proofErr w:type="gramStart"/>
            <w:r w:rsidRPr="0001690C">
              <w:rPr>
                <w:rFonts w:ascii="Times New Roman" w:hAnsi="Times New Roman" w:cs="Times New Roman"/>
                <w:sz w:val="22"/>
                <w:szCs w:val="22"/>
              </w:rPr>
              <w:t>progression</w:t>
            </w:r>
            <w:r w:rsidR="006F44E5">
              <w:rPr>
                <w:rFonts w:ascii="Times New Roman" w:hAnsi="Times New Roman" w:cs="Times New Roman"/>
                <w:sz w:val="22"/>
              </w:rPr>
              <w:t>[</w:t>
            </w:r>
            <w:proofErr w:type="gramEnd"/>
            <w:r w:rsidR="006F44E5">
              <w:rPr>
                <w:rFonts w:ascii="Times New Roman" w:hAnsi="Times New Roman" w:cs="Times New Roman"/>
                <w:sz w:val="22"/>
              </w:rPr>
              <w:t>7]</w:t>
            </w:r>
          </w:p>
        </w:tc>
      </w:tr>
      <w:tr w:rsidR="00127D56" w:rsidRPr="0001690C" w14:paraId="18408AE6" w14:textId="77777777" w:rsidTr="00127D56">
        <w:trPr>
          <w:tblCellSpacing w:w="15" w:type="dxa"/>
        </w:trPr>
        <w:tc>
          <w:tcPr>
            <w:tcW w:w="0" w:type="auto"/>
            <w:vAlign w:val="center"/>
            <w:hideMark/>
          </w:tcPr>
          <w:p w14:paraId="190990AC"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FN1</w:t>
            </w:r>
          </w:p>
        </w:tc>
        <w:tc>
          <w:tcPr>
            <w:tcW w:w="0" w:type="auto"/>
            <w:vAlign w:val="center"/>
            <w:hideMark/>
          </w:tcPr>
          <w:p w14:paraId="1EFFE576"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Extracellular matrix glycoprotein mediating adhesion and matrix organization</w:t>
            </w:r>
          </w:p>
        </w:tc>
        <w:tc>
          <w:tcPr>
            <w:tcW w:w="0" w:type="auto"/>
            <w:vAlign w:val="center"/>
            <w:hideMark/>
          </w:tcPr>
          <w:p w14:paraId="5A12A493" w14:textId="437A0AC4" w:rsidR="00127D56" w:rsidRPr="0001690C" w:rsidRDefault="00EA1287">
            <w:pPr>
              <w:rPr>
                <w:rFonts w:ascii="Times New Roman" w:hAnsi="Times New Roman" w:cs="Times New Roman"/>
                <w:sz w:val="22"/>
                <w:szCs w:val="22"/>
              </w:rPr>
            </w:pPr>
            <w:r w:rsidRPr="0001690C">
              <w:rPr>
                <w:rFonts w:ascii="Times New Roman" w:hAnsi="Times New Roman" w:cs="Times New Roman"/>
                <w:sz w:val="22"/>
                <w:szCs w:val="22"/>
              </w:rPr>
              <w:t>A</w:t>
            </w:r>
            <w:r w:rsidR="00127D56" w:rsidRPr="0001690C">
              <w:rPr>
                <w:rFonts w:ascii="Times New Roman" w:hAnsi="Times New Roman" w:cs="Times New Roman"/>
                <w:sz w:val="22"/>
                <w:szCs w:val="22"/>
              </w:rPr>
              <w:t xml:space="preserve">ssociated with invasion, metastasis, and poor </w:t>
            </w:r>
            <w:proofErr w:type="gramStart"/>
            <w:r w:rsidR="00127D56" w:rsidRPr="0001690C">
              <w:rPr>
                <w:rFonts w:ascii="Times New Roman" w:hAnsi="Times New Roman" w:cs="Times New Roman"/>
                <w:sz w:val="22"/>
                <w:szCs w:val="22"/>
              </w:rPr>
              <w:t>prognosis</w:t>
            </w:r>
            <w:r w:rsidR="006F44E5">
              <w:rPr>
                <w:rFonts w:ascii="Times New Roman" w:hAnsi="Times New Roman" w:cs="Times New Roman"/>
                <w:sz w:val="22"/>
              </w:rPr>
              <w:t>[</w:t>
            </w:r>
            <w:proofErr w:type="gramEnd"/>
            <w:r w:rsidR="006F44E5">
              <w:rPr>
                <w:rFonts w:ascii="Times New Roman" w:hAnsi="Times New Roman" w:cs="Times New Roman"/>
                <w:sz w:val="22"/>
              </w:rPr>
              <w:t>8]</w:t>
            </w:r>
          </w:p>
        </w:tc>
      </w:tr>
      <w:tr w:rsidR="00127D56" w:rsidRPr="0001690C" w14:paraId="6E7319F4" w14:textId="77777777" w:rsidTr="00127D56">
        <w:trPr>
          <w:tblCellSpacing w:w="15" w:type="dxa"/>
        </w:trPr>
        <w:tc>
          <w:tcPr>
            <w:tcW w:w="0" w:type="auto"/>
            <w:vAlign w:val="center"/>
            <w:hideMark/>
          </w:tcPr>
          <w:p w14:paraId="7F1D57D1"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SFTPB</w:t>
            </w:r>
          </w:p>
        </w:tc>
        <w:tc>
          <w:tcPr>
            <w:tcW w:w="0" w:type="auto"/>
            <w:vAlign w:val="center"/>
            <w:hideMark/>
          </w:tcPr>
          <w:p w14:paraId="23BEEAF5"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Pulmonary surfactant protein regulating alveolar surface tension</w:t>
            </w:r>
          </w:p>
        </w:tc>
        <w:tc>
          <w:tcPr>
            <w:tcW w:w="0" w:type="auto"/>
            <w:vAlign w:val="center"/>
            <w:hideMark/>
          </w:tcPr>
          <w:p w14:paraId="6E488068"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Altered circulating levels reported in l</w:t>
            </w:r>
            <w:r w:rsidR="00EA1287" w:rsidRPr="0001690C">
              <w:rPr>
                <w:rFonts w:ascii="Times New Roman" w:hAnsi="Times New Roman" w:cs="Times New Roman"/>
                <w:sz w:val="22"/>
                <w:szCs w:val="22"/>
              </w:rPr>
              <w:t xml:space="preserve">ung </w:t>
            </w:r>
            <w:r w:rsidRPr="0001690C">
              <w:rPr>
                <w:rFonts w:ascii="Times New Roman" w:hAnsi="Times New Roman" w:cs="Times New Roman"/>
                <w:sz w:val="22"/>
                <w:szCs w:val="22"/>
              </w:rPr>
              <w:t>cancer risk and prognosis studies</w:t>
            </w:r>
          </w:p>
        </w:tc>
      </w:tr>
      <w:tr w:rsidR="00127D56" w:rsidRPr="0001690C" w14:paraId="4534A5E1" w14:textId="77777777" w:rsidTr="00127D56">
        <w:trPr>
          <w:tblCellSpacing w:w="15" w:type="dxa"/>
        </w:trPr>
        <w:tc>
          <w:tcPr>
            <w:tcW w:w="0" w:type="auto"/>
            <w:vAlign w:val="center"/>
            <w:hideMark/>
          </w:tcPr>
          <w:p w14:paraId="50B78F5D"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FGG</w:t>
            </w:r>
          </w:p>
        </w:tc>
        <w:tc>
          <w:tcPr>
            <w:tcW w:w="0" w:type="auto"/>
            <w:vAlign w:val="center"/>
            <w:hideMark/>
          </w:tcPr>
          <w:p w14:paraId="2D03C804"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Coagulation protein contributing to fibrin network formation</w:t>
            </w:r>
          </w:p>
        </w:tc>
        <w:tc>
          <w:tcPr>
            <w:tcW w:w="0" w:type="auto"/>
            <w:vAlign w:val="center"/>
            <w:hideMark/>
          </w:tcPr>
          <w:p w14:paraId="051D0425"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Implicated in tumor-associated hypercoagulability and aggressive phenotypes</w:t>
            </w:r>
          </w:p>
        </w:tc>
      </w:tr>
      <w:tr w:rsidR="00127D56" w:rsidRPr="0001690C" w14:paraId="2DE48B59" w14:textId="77777777" w:rsidTr="00127D56">
        <w:trPr>
          <w:tblCellSpacing w:w="15" w:type="dxa"/>
        </w:trPr>
        <w:tc>
          <w:tcPr>
            <w:tcW w:w="0" w:type="auto"/>
            <w:vAlign w:val="center"/>
            <w:hideMark/>
          </w:tcPr>
          <w:p w14:paraId="0FCC898D"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SSC5D</w:t>
            </w:r>
          </w:p>
        </w:tc>
        <w:tc>
          <w:tcPr>
            <w:tcW w:w="0" w:type="auto"/>
            <w:vAlign w:val="center"/>
            <w:hideMark/>
          </w:tcPr>
          <w:p w14:paraId="34C58D69"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Secreted immune-related protein containing scavenger receptor domains</w:t>
            </w:r>
          </w:p>
        </w:tc>
        <w:tc>
          <w:tcPr>
            <w:tcW w:w="0" w:type="auto"/>
            <w:vAlign w:val="center"/>
            <w:hideMark/>
          </w:tcPr>
          <w:p w14:paraId="19CECEE9"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Limited evidence; reported in cancer-associated expression signatures</w:t>
            </w:r>
          </w:p>
        </w:tc>
      </w:tr>
      <w:tr w:rsidR="00127D56" w:rsidRPr="0001690C" w14:paraId="04B46166" w14:textId="77777777" w:rsidTr="00127D56">
        <w:trPr>
          <w:tblCellSpacing w:w="15" w:type="dxa"/>
        </w:trPr>
        <w:tc>
          <w:tcPr>
            <w:tcW w:w="0" w:type="auto"/>
            <w:vAlign w:val="center"/>
            <w:hideMark/>
          </w:tcPr>
          <w:p w14:paraId="33C2B2D8"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FGB</w:t>
            </w:r>
          </w:p>
        </w:tc>
        <w:tc>
          <w:tcPr>
            <w:tcW w:w="0" w:type="auto"/>
            <w:vAlign w:val="center"/>
            <w:hideMark/>
          </w:tcPr>
          <w:p w14:paraId="4F53D652"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Structural component of fibrinogen involved in coagulation</w:t>
            </w:r>
          </w:p>
        </w:tc>
        <w:tc>
          <w:tcPr>
            <w:tcW w:w="0" w:type="auto"/>
            <w:vAlign w:val="center"/>
            <w:hideMark/>
          </w:tcPr>
          <w:p w14:paraId="5E51D710"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Reported as a cancer-associated plasma biomarker</w:t>
            </w:r>
          </w:p>
        </w:tc>
      </w:tr>
      <w:tr w:rsidR="00127D56" w:rsidRPr="0001690C" w14:paraId="2CF73940" w14:textId="77777777" w:rsidTr="00127D56">
        <w:trPr>
          <w:tblCellSpacing w:w="15" w:type="dxa"/>
        </w:trPr>
        <w:tc>
          <w:tcPr>
            <w:tcW w:w="0" w:type="auto"/>
            <w:vAlign w:val="center"/>
            <w:hideMark/>
          </w:tcPr>
          <w:p w14:paraId="17093EB4"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TIMP1</w:t>
            </w:r>
          </w:p>
        </w:tc>
        <w:tc>
          <w:tcPr>
            <w:tcW w:w="0" w:type="auto"/>
            <w:vAlign w:val="center"/>
            <w:hideMark/>
          </w:tcPr>
          <w:p w14:paraId="58B73F27"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Inhibitor of matrix metalloproteinases; regulates ECM turnover</w:t>
            </w:r>
          </w:p>
        </w:tc>
        <w:tc>
          <w:tcPr>
            <w:tcW w:w="0" w:type="auto"/>
            <w:vAlign w:val="center"/>
            <w:hideMark/>
          </w:tcPr>
          <w:p w14:paraId="08FEAB1D" w14:textId="46ED8A81"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 xml:space="preserve">Elevated levels associated with tumor progression and poor </w:t>
            </w:r>
            <w:proofErr w:type="gramStart"/>
            <w:r w:rsidRPr="0001690C">
              <w:rPr>
                <w:rFonts w:ascii="Times New Roman" w:hAnsi="Times New Roman" w:cs="Times New Roman"/>
                <w:sz w:val="22"/>
                <w:szCs w:val="22"/>
              </w:rPr>
              <w:t>prognosis</w:t>
            </w:r>
            <w:r w:rsidR="006F44E5">
              <w:rPr>
                <w:rFonts w:ascii="Times New Roman" w:hAnsi="Times New Roman" w:cs="Times New Roman"/>
                <w:sz w:val="22"/>
              </w:rPr>
              <w:t>[</w:t>
            </w:r>
            <w:proofErr w:type="gramEnd"/>
            <w:r w:rsidR="006F44E5">
              <w:rPr>
                <w:rFonts w:ascii="Times New Roman" w:hAnsi="Times New Roman" w:cs="Times New Roman"/>
                <w:sz w:val="22"/>
              </w:rPr>
              <w:t>9]</w:t>
            </w:r>
          </w:p>
        </w:tc>
      </w:tr>
      <w:tr w:rsidR="00127D56" w:rsidRPr="0001690C" w14:paraId="5DAC7941" w14:textId="77777777" w:rsidTr="00127D56">
        <w:trPr>
          <w:tblCellSpacing w:w="15" w:type="dxa"/>
        </w:trPr>
        <w:tc>
          <w:tcPr>
            <w:tcW w:w="0" w:type="auto"/>
            <w:vAlign w:val="center"/>
            <w:hideMark/>
          </w:tcPr>
          <w:p w14:paraId="235C0B31"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lastRenderedPageBreak/>
              <w:t>GSTO1</w:t>
            </w:r>
          </w:p>
        </w:tc>
        <w:tc>
          <w:tcPr>
            <w:tcW w:w="0" w:type="auto"/>
            <w:vAlign w:val="center"/>
            <w:hideMark/>
          </w:tcPr>
          <w:p w14:paraId="1D262075"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Detoxification enzyme involved in oxidative stress regulation</w:t>
            </w:r>
          </w:p>
        </w:tc>
        <w:tc>
          <w:tcPr>
            <w:tcW w:w="0" w:type="auto"/>
            <w:vAlign w:val="center"/>
            <w:hideMark/>
          </w:tcPr>
          <w:p w14:paraId="5AB7F12F"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Associated with tumor cell survival and therapy resistance in selected cancers</w:t>
            </w:r>
          </w:p>
        </w:tc>
      </w:tr>
      <w:tr w:rsidR="00127D56" w:rsidRPr="0001690C" w14:paraId="27C4E6E6" w14:textId="77777777" w:rsidTr="00127D56">
        <w:trPr>
          <w:tblCellSpacing w:w="15" w:type="dxa"/>
        </w:trPr>
        <w:tc>
          <w:tcPr>
            <w:tcW w:w="0" w:type="auto"/>
            <w:vAlign w:val="center"/>
            <w:hideMark/>
          </w:tcPr>
          <w:p w14:paraId="3CB4A302"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TMSB4X</w:t>
            </w:r>
          </w:p>
        </w:tc>
        <w:tc>
          <w:tcPr>
            <w:tcW w:w="0" w:type="auto"/>
            <w:vAlign w:val="center"/>
            <w:hideMark/>
          </w:tcPr>
          <w:p w14:paraId="78DE48E2"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Actin-sequestering peptide regulating cytoskeletal dynamics</w:t>
            </w:r>
          </w:p>
        </w:tc>
        <w:tc>
          <w:tcPr>
            <w:tcW w:w="0" w:type="auto"/>
            <w:vAlign w:val="center"/>
            <w:hideMark/>
          </w:tcPr>
          <w:p w14:paraId="029EF90C" w14:textId="71B3157B"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 xml:space="preserve">Linked to enhanced proliferation, invasion, and adverse clinical </w:t>
            </w:r>
            <w:proofErr w:type="gramStart"/>
            <w:r w:rsidRPr="0001690C">
              <w:rPr>
                <w:rFonts w:ascii="Times New Roman" w:hAnsi="Times New Roman" w:cs="Times New Roman"/>
                <w:sz w:val="22"/>
                <w:szCs w:val="22"/>
              </w:rPr>
              <w:t>outcome</w:t>
            </w:r>
            <w:r w:rsidR="006F44E5">
              <w:rPr>
                <w:rFonts w:ascii="Times New Roman" w:hAnsi="Times New Roman" w:cs="Times New Roman"/>
                <w:sz w:val="22"/>
              </w:rPr>
              <w:t>[</w:t>
            </w:r>
            <w:proofErr w:type="gramEnd"/>
            <w:r w:rsidR="006F44E5">
              <w:rPr>
                <w:rFonts w:ascii="Times New Roman" w:hAnsi="Times New Roman" w:cs="Times New Roman"/>
                <w:sz w:val="22"/>
              </w:rPr>
              <w:t>10]</w:t>
            </w:r>
          </w:p>
        </w:tc>
      </w:tr>
      <w:tr w:rsidR="00127D56" w:rsidRPr="0001690C" w14:paraId="59F6CD35" w14:textId="77777777" w:rsidTr="00127D56">
        <w:trPr>
          <w:tblCellSpacing w:w="15" w:type="dxa"/>
        </w:trPr>
        <w:tc>
          <w:tcPr>
            <w:tcW w:w="0" w:type="auto"/>
            <w:vAlign w:val="center"/>
            <w:hideMark/>
          </w:tcPr>
          <w:p w14:paraId="47DADF79"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IGFBP2</w:t>
            </w:r>
          </w:p>
        </w:tc>
        <w:tc>
          <w:tcPr>
            <w:tcW w:w="0" w:type="auto"/>
            <w:vAlign w:val="center"/>
            <w:hideMark/>
          </w:tcPr>
          <w:p w14:paraId="32BBEE3D"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Insulin-like growth factor binding protein modulating IGF signaling</w:t>
            </w:r>
          </w:p>
        </w:tc>
        <w:tc>
          <w:tcPr>
            <w:tcW w:w="0" w:type="auto"/>
            <w:vAlign w:val="center"/>
            <w:hideMark/>
          </w:tcPr>
          <w:p w14:paraId="6EAF665C" w14:textId="465981B4"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 xml:space="preserve">Frequently elevated and associated with tumor </w:t>
            </w:r>
            <w:proofErr w:type="gramStart"/>
            <w:r w:rsidRPr="0001690C">
              <w:rPr>
                <w:rFonts w:ascii="Times New Roman" w:hAnsi="Times New Roman" w:cs="Times New Roman"/>
                <w:sz w:val="22"/>
                <w:szCs w:val="22"/>
              </w:rPr>
              <w:t>progression</w:t>
            </w:r>
            <w:r w:rsidR="006F44E5">
              <w:rPr>
                <w:rFonts w:ascii="Times New Roman" w:hAnsi="Times New Roman" w:cs="Times New Roman"/>
                <w:sz w:val="22"/>
              </w:rPr>
              <w:t>[</w:t>
            </w:r>
            <w:proofErr w:type="gramEnd"/>
            <w:r w:rsidR="006F44E5">
              <w:rPr>
                <w:rFonts w:ascii="Times New Roman" w:hAnsi="Times New Roman" w:cs="Times New Roman"/>
                <w:sz w:val="22"/>
              </w:rPr>
              <w:t>11]</w:t>
            </w:r>
          </w:p>
        </w:tc>
      </w:tr>
      <w:tr w:rsidR="00127D56" w:rsidRPr="0001690C" w14:paraId="0E46C809" w14:textId="77777777" w:rsidTr="00127D56">
        <w:trPr>
          <w:tblCellSpacing w:w="15" w:type="dxa"/>
        </w:trPr>
        <w:tc>
          <w:tcPr>
            <w:tcW w:w="0" w:type="auto"/>
            <w:vAlign w:val="center"/>
            <w:hideMark/>
          </w:tcPr>
          <w:p w14:paraId="6C2B58C5"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MGP</w:t>
            </w:r>
          </w:p>
        </w:tc>
        <w:tc>
          <w:tcPr>
            <w:tcW w:w="0" w:type="auto"/>
            <w:vAlign w:val="center"/>
            <w:hideMark/>
          </w:tcPr>
          <w:p w14:paraId="55F97AB2"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Extracellular matrix–associated calcium-binding protein</w:t>
            </w:r>
          </w:p>
        </w:tc>
        <w:tc>
          <w:tcPr>
            <w:tcW w:w="0" w:type="auto"/>
            <w:vAlign w:val="center"/>
            <w:hideMark/>
          </w:tcPr>
          <w:p w14:paraId="5EE4E58A"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Reported to promote tumor growth and malignant progression</w:t>
            </w:r>
          </w:p>
        </w:tc>
      </w:tr>
      <w:tr w:rsidR="00127D56" w:rsidRPr="0001690C" w14:paraId="64669A26" w14:textId="77777777" w:rsidTr="00127D56">
        <w:trPr>
          <w:tblCellSpacing w:w="15" w:type="dxa"/>
        </w:trPr>
        <w:tc>
          <w:tcPr>
            <w:tcW w:w="0" w:type="auto"/>
            <w:vAlign w:val="center"/>
            <w:hideMark/>
          </w:tcPr>
          <w:p w14:paraId="4C74C022"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ACTN1</w:t>
            </w:r>
          </w:p>
        </w:tc>
        <w:tc>
          <w:tcPr>
            <w:tcW w:w="0" w:type="auto"/>
            <w:vAlign w:val="center"/>
            <w:hideMark/>
          </w:tcPr>
          <w:p w14:paraId="35FBC167"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Actin-binding protein involved in cytoskeletal organization</w:t>
            </w:r>
          </w:p>
        </w:tc>
        <w:tc>
          <w:tcPr>
            <w:tcW w:w="0" w:type="auto"/>
            <w:vAlign w:val="center"/>
            <w:hideMark/>
          </w:tcPr>
          <w:p w14:paraId="16375939"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Supports tumor cell proliferation and invasive behavior</w:t>
            </w:r>
          </w:p>
        </w:tc>
      </w:tr>
      <w:tr w:rsidR="00127D56" w:rsidRPr="0001690C" w14:paraId="2B189E63" w14:textId="77777777" w:rsidTr="00127D56">
        <w:trPr>
          <w:tblCellSpacing w:w="15" w:type="dxa"/>
        </w:trPr>
        <w:tc>
          <w:tcPr>
            <w:tcW w:w="0" w:type="auto"/>
            <w:vAlign w:val="center"/>
            <w:hideMark/>
          </w:tcPr>
          <w:p w14:paraId="4F3497B8"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YWHAE</w:t>
            </w:r>
          </w:p>
        </w:tc>
        <w:tc>
          <w:tcPr>
            <w:tcW w:w="0" w:type="auto"/>
            <w:vAlign w:val="center"/>
            <w:hideMark/>
          </w:tcPr>
          <w:p w14:paraId="2FAD479C"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14-3-3 family adaptor protein regulating signaling and cell cycle control</w:t>
            </w:r>
          </w:p>
        </w:tc>
        <w:tc>
          <w:tcPr>
            <w:tcW w:w="0" w:type="auto"/>
            <w:vAlign w:val="center"/>
            <w:hideMark/>
          </w:tcPr>
          <w:p w14:paraId="25A0F661"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Associated with malignant progression and aggressive tumor phenotypes</w:t>
            </w:r>
          </w:p>
        </w:tc>
      </w:tr>
      <w:tr w:rsidR="00127D56" w:rsidRPr="0001690C" w14:paraId="54D37841" w14:textId="77777777" w:rsidTr="00127D56">
        <w:trPr>
          <w:tblCellSpacing w:w="15" w:type="dxa"/>
        </w:trPr>
        <w:tc>
          <w:tcPr>
            <w:tcW w:w="0" w:type="auto"/>
            <w:vAlign w:val="center"/>
            <w:hideMark/>
          </w:tcPr>
          <w:p w14:paraId="6A8109D0"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EFEMP1</w:t>
            </w:r>
          </w:p>
        </w:tc>
        <w:tc>
          <w:tcPr>
            <w:tcW w:w="0" w:type="auto"/>
            <w:vAlign w:val="center"/>
            <w:hideMark/>
          </w:tcPr>
          <w:p w14:paraId="73626632"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Extracellular matrix glycoprotein (Fibulin-3) involved in matrix organization</w:t>
            </w:r>
          </w:p>
        </w:tc>
        <w:tc>
          <w:tcPr>
            <w:tcW w:w="0" w:type="auto"/>
            <w:vAlign w:val="center"/>
            <w:hideMark/>
          </w:tcPr>
          <w:p w14:paraId="20F7931D"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Dysregulated expression associated with tumor aggressiveness</w:t>
            </w:r>
          </w:p>
        </w:tc>
      </w:tr>
      <w:tr w:rsidR="00127D56" w:rsidRPr="0001690C" w14:paraId="6E164CF9" w14:textId="77777777" w:rsidTr="00127D56">
        <w:trPr>
          <w:tblCellSpacing w:w="15" w:type="dxa"/>
        </w:trPr>
        <w:tc>
          <w:tcPr>
            <w:tcW w:w="0" w:type="auto"/>
            <w:vAlign w:val="center"/>
            <w:hideMark/>
          </w:tcPr>
          <w:p w14:paraId="4FB942B5"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COL18A1</w:t>
            </w:r>
          </w:p>
        </w:tc>
        <w:tc>
          <w:tcPr>
            <w:tcW w:w="0" w:type="auto"/>
            <w:vAlign w:val="center"/>
            <w:hideMark/>
          </w:tcPr>
          <w:p w14:paraId="11410594"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Basement membrane collagen; precursor of endostatin</w:t>
            </w:r>
          </w:p>
        </w:tc>
        <w:tc>
          <w:tcPr>
            <w:tcW w:w="0" w:type="auto"/>
            <w:vAlign w:val="center"/>
            <w:hideMark/>
          </w:tcPr>
          <w:p w14:paraId="067FC0DB"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Involved in tumor-associated matrix remodeling and angiogenesis</w:t>
            </w:r>
          </w:p>
        </w:tc>
      </w:tr>
      <w:tr w:rsidR="00127D56" w:rsidRPr="0001690C" w14:paraId="32827729" w14:textId="77777777" w:rsidTr="00127D56">
        <w:trPr>
          <w:tblCellSpacing w:w="15" w:type="dxa"/>
        </w:trPr>
        <w:tc>
          <w:tcPr>
            <w:tcW w:w="0" w:type="auto"/>
            <w:vAlign w:val="center"/>
            <w:hideMark/>
          </w:tcPr>
          <w:p w14:paraId="6893EE3B"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PDLIM1</w:t>
            </w:r>
          </w:p>
        </w:tc>
        <w:tc>
          <w:tcPr>
            <w:tcW w:w="0" w:type="auto"/>
            <w:vAlign w:val="center"/>
            <w:hideMark/>
          </w:tcPr>
          <w:p w14:paraId="0E273E5B"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Cytoskeletal adaptor protein stabilizing adhesion complexes</w:t>
            </w:r>
          </w:p>
        </w:tc>
        <w:tc>
          <w:tcPr>
            <w:tcW w:w="0" w:type="auto"/>
            <w:vAlign w:val="center"/>
            <w:hideMark/>
          </w:tcPr>
          <w:p w14:paraId="128FD246"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Altered expression associated with epithelial–mesenchymal transition</w:t>
            </w:r>
          </w:p>
        </w:tc>
      </w:tr>
      <w:tr w:rsidR="00127D56" w:rsidRPr="0001690C" w14:paraId="21E3EDA8" w14:textId="77777777" w:rsidTr="00127D56">
        <w:trPr>
          <w:tblCellSpacing w:w="15" w:type="dxa"/>
        </w:trPr>
        <w:tc>
          <w:tcPr>
            <w:tcW w:w="0" w:type="auto"/>
            <w:vAlign w:val="center"/>
            <w:hideMark/>
          </w:tcPr>
          <w:p w14:paraId="52222E6B"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ROS1</w:t>
            </w:r>
          </w:p>
        </w:tc>
        <w:tc>
          <w:tcPr>
            <w:tcW w:w="0" w:type="auto"/>
            <w:vAlign w:val="center"/>
            <w:hideMark/>
          </w:tcPr>
          <w:p w14:paraId="045BA680"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Receptor tyrosine kinase involved in growth signaling</w:t>
            </w:r>
          </w:p>
        </w:tc>
        <w:tc>
          <w:tcPr>
            <w:tcW w:w="0" w:type="auto"/>
            <w:vAlign w:val="center"/>
            <w:hideMark/>
          </w:tcPr>
          <w:p w14:paraId="4B0F37FE"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Oncogenic driver in a subset of lung cancers and therapeutic target</w:t>
            </w:r>
          </w:p>
        </w:tc>
      </w:tr>
      <w:tr w:rsidR="00127D56" w:rsidRPr="0001690C" w14:paraId="5A50EE70" w14:textId="77777777" w:rsidTr="00127D56">
        <w:trPr>
          <w:tblCellSpacing w:w="15" w:type="dxa"/>
        </w:trPr>
        <w:tc>
          <w:tcPr>
            <w:tcW w:w="0" w:type="auto"/>
            <w:vAlign w:val="center"/>
            <w:hideMark/>
          </w:tcPr>
          <w:p w14:paraId="40210C77"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CAPNS1</w:t>
            </w:r>
          </w:p>
        </w:tc>
        <w:tc>
          <w:tcPr>
            <w:tcW w:w="0" w:type="auto"/>
            <w:vAlign w:val="center"/>
            <w:hideMark/>
          </w:tcPr>
          <w:p w14:paraId="4EE8012E"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Regulatory subunit of calpain proteases controlling cytoskeletal remodeling</w:t>
            </w:r>
          </w:p>
        </w:tc>
        <w:tc>
          <w:tcPr>
            <w:tcW w:w="0" w:type="auto"/>
            <w:vAlign w:val="center"/>
            <w:hideMark/>
          </w:tcPr>
          <w:p w14:paraId="35821448"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Reported association with tumor progression and invasive behavior</w:t>
            </w:r>
          </w:p>
        </w:tc>
      </w:tr>
      <w:tr w:rsidR="00127D56" w:rsidRPr="0001690C" w14:paraId="0B24887D" w14:textId="77777777" w:rsidTr="00127D56">
        <w:trPr>
          <w:tblCellSpacing w:w="15" w:type="dxa"/>
        </w:trPr>
        <w:tc>
          <w:tcPr>
            <w:tcW w:w="0" w:type="auto"/>
            <w:vAlign w:val="center"/>
            <w:hideMark/>
          </w:tcPr>
          <w:p w14:paraId="6DD8282F"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CFL1</w:t>
            </w:r>
          </w:p>
        </w:tc>
        <w:tc>
          <w:tcPr>
            <w:tcW w:w="0" w:type="auto"/>
            <w:vAlign w:val="center"/>
            <w:hideMark/>
          </w:tcPr>
          <w:p w14:paraId="188A89B0"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Actin-binding protein regulating actin filament turnover</w:t>
            </w:r>
          </w:p>
        </w:tc>
        <w:tc>
          <w:tcPr>
            <w:tcW w:w="0" w:type="auto"/>
            <w:vAlign w:val="center"/>
            <w:hideMark/>
          </w:tcPr>
          <w:p w14:paraId="15D0ED19"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Frequently linked to tumor cell migration and invasion</w:t>
            </w:r>
          </w:p>
        </w:tc>
      </w:tr>
      <w:tr w:rsidR="00127D56" w:rsidRPr="0001690C" w14:paraId="7EEE4950" w14:textId="77777777" w:rsidTr="00127D56">
        <w:trPr>
          <w:tblCellSpacing w:w="15" w:type="dxa"/>
        </w:trPr>
        <w:tc>
          <w:tcPr>
            <w:tcW w:w="0" w:type="auto"/>
            <w:vAlign w:val="center"/>
            <w:hideMark/>
          </w:tcPr>
          <w:p w14:paraId="1394E3ED" w14:textId="77777777" w:rsidR="00127D56" w:rsidRPr="0001690C" w:rsidRDefault="00127D56">
            <w:pPr>
              <w:rPr>
                <w:rFonts w:ascii="Times New Roman" w:hAnsi="Times New Roman" w:cs="Times New Roman"/>
                <w:sz w:val="22"/>
                <w:szCs w:val="22"/>
              </w:rPr>
            </w:pPr>
            <w:r w:rsidRPr="0001690C">
              <w:rPr>
                <w:rStyle w:val="af"/>
                <w:rFonts w:ascii="Times New Roman" w:hAnsi="Times New Roman" w:cs="Times New Roman"/>
                <w:b w:val="0"/>
                <w:bCs w:val="0"/>
                <w:sz w:val="22"/>
                <w:szCs w:val="22"/>
              </w:rPr>
              <w:t>CILP2</w:t>
            </w:r>
          </w:p>
        </w:tc>
        <w:tc>
          <w:tcPr>
            <w:tcW w:w="0" w:type="auto"/>
            <w:vAlign w:val="center"/>
            <w:hideMark/>
          </w:tcPr>
          <w:p w14:paraId="51F8BDA2" w14:textId="77777777" w:rsidR="00127D56" w:rsidRPr="0001690C" w:rsidRDefault="00127D56">
            <w:pPr>
              <w:rPr>
                <w:rFonts w:ascii="Times New Roman" w:hAnsi="Times New Roman" w:cs="Times New Roman"/>
                <w:sz w:val="22"/>
                <w:szCs w:val="22"/>
              </w:rPr>
            </w:pPr>
            <w:r w:rsidRPr="0001690C">
              <w:rPr>
                <w:rFonts w:ascii="Times New Roman" w:hAnsi="Times New Roman" w:cs="Times New Roman"/>
                <w:sz w:val="22"/>
                <w:szCs w:val="22"/>
              </w:rPr>
              <w:t>Extracellular matrix–associated protein</w:t>
            </w:r>
          </w:p>
        </w:tc>
        <w:tc>
          <w:tcPr>
            <w:tcW w:w="0" w:type="auto"/>
            <w:vAlign w:val="center"/>
            <w:hideMark/>
          </w:tcPr>
          <w:p w14:paraId="4E8FD514" w14:textId="77777777" w:rsidR="00127D56" w:rsidRPr="0001690C" w:rsidRDefault="00151ECE">
            <w:pPr>
              <w:rPr>
                <w:rFonts w:ascii="Times New Roman" w:hAnsi="Times New Roman" w:cs="Times New Roman"/>
                <w:sz w:val="22"/>
                <w:szCs w:val="22"/>
              </w:rPr>
            </w:pPr>
            <w:r w:rsidRPr="0001690C">
              <w:rPr>
                <w:rFonts w:ascii="Times New Roman" w:hAnsi="Times New Roman" w:cs="Times New Roman"/>
                <w:sz w:val="22"/>
                <w:szCs w:val="22"/>
              </w:rPr>
              <w:t>Altered expression associated with prognosis</w:t>
            </w:r>
          </w:p>
        </w:tc>
      </w:tr>
    </w:tbl>
    <w:p w14:paraId="5B6BAE09" w14:textId="3F4D3E6F" w:rsidR="00B6617C" w:rsidRPr="00C22678" w:rsidRDefault="00C22678">
      <w:pPr>
        <w:spacing w:after="160" w:line="278" w:lineRule="auto"/>
        <w:rPr>
          <w:rFonts w:ascii="Times New Roman" w:hAnsi="Times New Roman" w:cs="Times New Roman"/>
          <w:b/>
          <w:bCs/>
        </w:rPr>
      </w:pPr>
      <w:r w:rsidRPr="00C22678">
        <w:rPr>
          <w:rFonts w:ascii="Times New Roman" w:hAnsi="Times New Roman" w:cs="Times New Roman"/>
          <w:b/>
          <w:bCs/>
        </w:rPr>
        <w:t>Reference</w:t>
      </w:r>
    </w:p>
    <w:p w14:paraId="64D9B32B" w14:textId="593D47B9" w:rsidR="006F44E5" w:rsidRPr="006F44E5" w:rsidRDefault="006F44E5" w:rsidP="00C22678">
      <w:pPr>
        <w:pStyle w:val="af1"/>
        <w:spacing w:line="480" w:lineRule="auto"/>
        <w:jc w:val="both"/>
        <w:rPr>
          <w:rFonts w:ascii="Times New Roman" w:hAnsi="Times New Roman" w:cs="Times New Roman"/>
          <w:sz w:val="22"/>
        </w:rPr>
      </w:pPr>
      <w:r w:rsidRPr="006F44E5">
        <w:rPr>
          <w:rFonts w:ascii="Times New Roman" w:hAnsi="Times New Roman" w:cs="Times New Roman"/>
          <w:sz w:val="22"/>
        </w:rPr>
        <w:t>1. Huang Y, Wang G, Zhao C, Geng R, Zhang S, Wang W, et al. High Expression of LTBP2 Contributes to Poor Prognosis in Colorectal Cancer Patients and Correlates with the Mesenchymal Colorectal Cancer Subtype. Dis Markers. 2019;2019:5231269. https://doi.org/10.1155/2019/5231269</w:t>
      </w:r>
    </w:p>
    <w:p w14:paraId="0EBB5B74" w14:textId="77777777" w:rsidR="006F44E5" w:rsidRPr="006F44E5" w:rsidRDefault="006F44E5" w:rsidP="00C22678">
      <w:pPr>
        <w:pStyle w:val="af1"/>
        <w:spacing w:line="480" w:lineRule="auto"/>
        <w:jc w:val="both"/>
        <w:rPr>
          <w:rFonts w:ascii="Times New Roman" w:hAnsi="Times New Roman" w:cs="Times New Roman"/>
          <w:sz w:val="22"/>
        </w:rPr>
      </w:pPr>
      <w:r w:rsidRPr="006F44E5">
        <w:rPr>
          <w:rFonts w:ascii="Times New Roman" w:hAnsi="Times New Roman" w:cs="Times New Roman"/>
          <w:sz w:val="22"/>
        </w:rPr>
        <w:lastRenderedPageBreak/>
        <w:t>2. Durai R, Yang W, Gupta S, Seifalian AM, Winslet MC. The role of the insulin-like growth factor system in colorectal cancer: review of current knowledge. Int J Colorectal Dis. 2005;20:203–20. https://doi.org/10.1007/s00384-004-0675-4</w:t>
      </w:r>
    </w:p>
    <w:p w14:paraId="44B03B05" w14:textId="77777777" w:rsidR="006F44E5" w:rsidRPr="006F44E5" w:rsidRDefault="006F44E5" w:rsidP="00C22678">
      <w:pPr>
        <w:pStyle w:val="af1"/>
        <w:spacing w:line="480" w:lineRule="auto"/>
        <w:jc w:val="both"/>
        <w:rPr>
          <w:rFonts w:ascii="Times New Roman" w:hAnsi="Times New Roman" w:cs="Times New Roman"/>
          <w:sz w:val="22"/>
        </w:rPr>
      </w:pPr>
      <w:r w:rsidRPr="006F44E5">
        <w:rPr>
          <w:rFonts w:ascii="Times New Roman" w:hAnsi="Times New Roman" w:cs="Times New Roman"/>
          <w:sz w:val="22"/>
        </w:rPr>
        <w:t>3. Obermeier HL, Riedl J, Ay C, Koder S, Quehenberger P, Bartsch R, et al. The role of ADAMTS‐13 and von Willebrand factor in cancer patients: Results from the Vienna Cancer and Thrombosis Study. Res Pract Thromb Haemost. 2019;3:503–14. https://doi.org/10.1002/rth2.12197</w:t>
      </w:r>
    </w:p>
    <w:p w14:paraId="37D50C67" w14:textId="77777777" w:rsidR="006F44E5" w:rsidRPr="006F44E5" w:rsidRDefault="006F44E5" w:rsidP="00C22678">
      <w:pPr>
        <w:pStyle w:val="af1"/>
        <w:spacing w:line="480" w:lineRule="auto"/>
        <w:jc w:val="both"/>
        <w:rPr>
          <w:rFonts w:ascii="Times New Roman" w:hAnsi="Times New Roman" w:cs="Times New Roman"/>
          <w:sz w:val="22"/>
        </w:rPr>
      </w:pPr>
      <w:r w:rsidRPr="006F44E5">
        <w:rPr>
          <w:rFonts w:ascii="Times New Roman" w:hAnsi="Times New Roman" w:cs="Times New Roman"/>
          <w:sz w:val="22"/>
        </w:rPr>
        <w:t>4. Guo C, Liu S, Sun M-Z. Novel insight into the role of GAPDH playing in tumor. Clin Transl Oncol. 2013;15:167–72. https://doi.org/10.1007/s12094-012-0924-x</w:t>
      </w:r>
    </w:p>
    <w:p w14:paraId="0349A03E" w14:textId="77777777" w:rsidR="006F44E5" w:rsidRPr="006F44E5" w:rsidRDefault="006F44E5" w:rsidP="00C22678">
      <w:pPr>
        <w:pStyle w:val="af1"/>
        <w:spacing w:line="480" w:lineRule="auto"/>
        <w:jc w:val="both"/>
        <w:rPr>
          <w:rFonts w:ascii="Times New Roman" w:hAnsi="Times New Roman" w:cs="Times New Roman"/>
          <w:sz w:val="22"/>
        </w:rPr>
      </w:pPr>
      <w:r w:rsidRPr="006F44E5">
        <w:rPr>
          <w:rFonts w:ascii="Times New Roman" w:hAnsi="Times New Roman" w:cs="Times New Roman"/>
          <w:sz w:val="22"/>
        </w:rPr>
        <w:t>5. Kim LC, Song L, Haura EB. Src kinases as therapeutic targets for cancer. Nat Rev Clin Oncol. 2009;6:587–95. https://doi.org/10.1038/nrclinonc.2009.129</w:t>
      </w:r>
    </w:p>
    <w:p w14:paraId="3A950F50" w14:textId="77777777" w:rsidR="006F44E5" w:rsidRPr="006F44E5" w:rsidRDefault="006F44E5" w:rsidP="00C22678">
      <w:pPr>
        <w:pStyle w:val="af1"/>
        <w:spacing w:line="480" w:lineRule="auto"/>
        <w:jc w:val="both"/>
        <w:rPr>
          <w:rFonts w:ascii="Times New Roman" w:hAnsi="Times New Roman" w:cs="Times New Roman"/>
          <w:sz w:val="22"/>
        </w:rPr>
      </w:pPr>
      <w:r w:rsidRPr="006F44E5">
        <w:rPr>
          <w:rFonts w:ascii="Times New Roman" w:hAnsi="Times New Roman" w:cs="Times New Roman"/>
          <w:sz w:val="22"/>
        </w:rPr>
        <w:t>6. Burgos-Panadero R, Noguera I, Cañete A, Navarro S, Noguera R. Vitronectin as a molecular player of the tumor microenvironment in neuroblastoma. BMC Cancer. 2019;19:479. https://doi.org/10.1186/s12885-019-5693-2</w:t>
      </w:r>
    </w:p>
    <w:p w14:paraId="03795107" w14:textId="77777777" w:rsidR="006F44E5" w:rsidRPr="006F44E5" w:rsidRDefault="006F44E5" w:rsidP="00C22678">
      <w:pPr>
        <w:pStyle w:val="af1"/>
        <w:spacing w:line="480" w:lineRule="auto"/>
        <w:jc w:val="both"/>
        <w:rPr>
          <w:rFonts w:ascii="Times New Roman" w:hAnsi="Times New Roman" w:cs="Times New Roman"/>
          <w:sz w:val="22"/>
        </w:rPr>
      </w:pPr>
      <w:r w:rsidRPr="006F44E5">
        <w:rPr>
          <w:rFonts w:ascii="Times New Roman" w:hAnsi="Times New Roman" w:cs="Times New Roman"/>
          <w:sz w:val="22"/>
        </w:rPr>
        <w:t>7. Hanahan D. Hallmarks of Cancer: New Dimensions. Cancer Discov. 2022;12:31–46. https://doi.org/10.1158/2159-8290.CD-21-1059</w:t>
      </w:r>
    </w:p>
    <w:p w14:paraId="60261F4E" w14:textId="34AD6802" w:rsidR="006F44E5" w:rsidRPr="006F44E5" w:rsidRDefault="006F44E5" w:rsidP="00C22678">
      <w:pPr>
        <w:pStyle w:val="af1"/>
        <w:spacing w:line="480" w:lineRule="auto"/>
        <w:jc w:val="both"/>
        <w:rPr>
          <w:rFonts w:ascii="Times New Roman" w:hAnsi="Times New Roman" w:cs="Times New Roman"/>
          <w:sz w:val="22"/>
        </w:rPr>
      </w:pPr>
      <w:r w:rsidRPr="006F44E5">
        <w:rPr>
          <w:rFonts w:ascii="Times New Roman" w:hAnsi="Times New Roman" w:cs="Times New Roman"/>
          <w:sz w:val="22"/>
        </w:rPr>
        <w:t xml:space="preserve">8. Lin T-C, Yang C-H, Cheng L-H, Chang W-T, Lin Y-R, Cheng H-C. Fibronectin in Cancer: Friend or Foe. Cells. </w:t>
      </w:r>
      <w:proofErr w:type="gramStart"/>
      <w:r w:rsidRPr="006F44E5">
        <w:rPr>
          <w:rFonts w:ascii="Times New Roman" w:hAnsi="Times New Roman" w:cs="Times New Roman"/>
          <w:sz w:val="22"/>
        </w:rPr>
        <w:t>20</w:t>
      </w:r>
      <w:r w:rsidR="00C22678">
        <w:rPr>
          <w:rFonts w:ascii="Times New Roman" w:hAnsi="Times New Roman" w:cs="Times New Roman"/>
          <w:sz w:val="22"/>
        </w:rPr>
        <w:t>20</w:t>
      </w:r>
      <w:r w:rsidRPr="006F44E5">
        <w:rPr>
          <w:rFonts w:ascii="Times New Roman" w:hAnsi="Times New Roman" w:cs="Times New Roman"/>
          <w:sz w:val="22"/>
        </w:rPr>
        <w:t>;9:27</w:t>
      </w:r>
      <w:proofErr w:type="gramEnd"/>
      <w:r w:rsidRPr="006F44E5">
        <w:rPr>
          <w:rFonts w:ascii="Times New Roman" w:hAnsi="Times New Roman" w:cs="Times New Roman"/>
          <w:sz w:val="22"/>
        </w:rPr>
        <w:t>. https://doi.org/10.3390/cells9010027</w:t>
      </w:r>
    </w:p>
    <w:p w14:paraId="318BE228" w14:textId="77777777" w:rsidR="006F44E5" w:rsidRPr="006F44E5" w:rsidRDefault="006F44E5" w:rsidP="00C22678">
      <w:pPr>
        <w:pStyle w:val="af1"/>
        <w:spacing w:line="480" w:lineRule="auto"/>
        <w:jc w:val="both"/>
        <w:rPr>
          <w:rFonts w:ascii="Times New Roman" w:hAnsi="Times New Roman" w:cs="Times New Roman"/>
          <w:sz w:val="22"/>
        </w:rPr>
      </w:pPr>
      <w:r w:rsidRPr="006F44E5">
        <w:rPr>
          <w:rFonts w:ascii="Times New Roman" w:hAnsi="Times New Roman" w:cs="Times New Roman"/>
          <w:sz w:val="22"/>
        </w:rPr>
        <w:lastRenderedPageBreak/>
        <w:t>9. Meng C, Yin X, Liu J, Tang K, Tang H, Liao J. TIMP-1 is a novel serum biomarker for the diagnosis of colorectal cancer: A meta-analysis. PLoS One. 2018;13:e0207039. https://doi.org/10.1371/journal.pone.0207039</w:t>
      </w:r>
    </w:p>
    <w:p w14:paraId="5E6FE4CF" w14:textId="77777777" w:rsidR="006F44E5" w:rsidRPr="006F44E5" w:rsidRDefault="006F44E5" w:rsidP="00C22678">
      <w:pPr>
        <w:pStyle w:val="af1"/>
        <w:spacing w:line="480" w:lineRule="auto"/>
        <w:jc w:val="both"/>
        <w:rPr>
          <w:rFonts w:ascii="Times New Roman" w:hAnsi="Times New Roman" w:cs="Times New Roman"/>
          <w:sz w:val="22"/>
        </w:rPr>
      </w:pPr>
      <w:r w:rsidRPr="006F44E5">
        <w:rPr>
          <w:rFonts w:ascii="Times New Roman" w:hAnsi="Times New Roman" w:cs="Times New Roman"/>
          <w:sz w:val="22"/>
        </w:rPr>
        <w:t>10. Wirsching H-G, Krishnan S, Florea A-M, Frei K, Krayenbühl N, Hasenbach K, et al. Thymosin β 4 gene silencing decreases stemness and invasiveness in glioblastoma. Brain. 2014;137:433–48. https://doi.org/10.1093/brain/awt333</w:t>
      </w:r>
    </w:p>
    <w:p w14:paraId="05A9AF98" w14:textId="77777777" w:rsidR="006F44E5" w:rsidRPr="006F44E5" w:rsidRDefault="006F44E5" w:rsidP="00C22678">
      <w:pPr>
        <w:pStyle w:val="af1"/>
        <w:spacing w:line="480" w:lineRule="auto"/>
        <w:jc w:val="both"/>
        <w:rPr>
          <w:rFonts w:ascii="Times New Roman" w:hAnsi="Times New Roman" w:cs="Times New Roman"/>
          <w:sz w:val="22"/>
        </w:rPr>
      </w:pPr>
      <w:r w:rsidRPr="006F44E5">
        <w:rPr>
          <w:rFonts w:ascii="Times New Roman" w:hAnsi="Times New Roman" w:cs="Times New Roman"/>
          <w:sz w:val="22"/>
        </w:rPr>
        <w:t>11. Russo VC, Azar WJ, Yau SW, Sabin MA, Werther GA. IGFBP-2: The dark horse in metabolism and cancer. Cytokine Growth Factor Rev. 2015;26:329–46. https://doi.org/10.1016/j.cytogfr.2014.12.001</w:t>
      </w:r>
    </w:p>
    <w:p w14:paraId="66710397" w14:textId="7B7BD8E8" w:rsidR="00C86D7E" w:rsidRPr="00FB1DF1" w:rsidRDefault="00C86D7E" w:rsidP="00C22678">
      <w:pPr>
        <w:autoSpaceDE w:val="0"/>
        <w:autoSpaceDN w:val="0"/>
        <w:adjustRightInd w:val="0"/>
        <w:spacing w:line="480" w:lineRule="auto"/>
        <w:jc w:val="both"/>
      </w:pPr>
    </w:p>
    <w:sectPr w:rsidR="00C86D7E" w:rsidRPr="00FB1DF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809"/>
    <w:rsid w:val="0001690C"/>
    <w:rsid w:val="00043DC6"/>
    <w:rsid w:val="00127D56"/>
    <w:rsid w:val="00151ECE"/>
    <w:rsid w:val="001D174A"/>
    <w:rsid w:val="001D6B57"/>
    <w:rsid w:val="00281809"/>
    <w:rsid w:val="00421FC4"/>
    <w:rsid w:val="00534F0F"/>
    <w:rsid w:val="00595958"/>
    <w:rsid w:val="005A30FF"/>
    <w:rsid w:val="00634E27"/>
    <w:rsid w:val="006662DA"/>
    <w:rsid w:val="00681614"/>
    <w:rsid w:val="006E64C1"/>
    <w:rsid w:val="006F44E5"/>
    <w:rsid w:val="007249CE"/>
    <w:rsid w:val="00781FF1"/>
    <w:rsid w:val="007D726B"/>
    <w:rsid w:val="007F0136"/>
    <w:rsid w:val="00A928FE"/>
    <w:rsid w:val="00AD186B"/>
    <w:rsid w:val="00B031ED"/>
    <w:rsid w:val="00B26421"/>
    <w:rsid w:val="00B6617C"/>
    <w:rsid w:val="00C22678"/>
    <w:rsid w:val="00C86D7E"/>
    <w:rsid w:val="00D133FE"/>
    <w:rsid w:val="00EA1287"/>
    <w:rsid w:val="00F46EC2"/>
    <w:rsid w:val="00FA324F"/>
    <w:rsid w:val="00FA3612"/>
    <w:rsid w:val="00FB1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0F237"/>
  <w15:chartTrackingRefBased/>
  <w15:docId w15:val="{AD287F76-9072-064C-94F3-344E47C49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D56"/>
    <w:pPr>
      <w:spacing w:after="0" w:line="240" w:lineRule="auto"/>
    </w:pPr>
    <w:rPr>
      <w:rFonts w:ascii="宋体" w:eastAsia="宋体" w:hAnsi="宋体" w:cs="宋体"/>
      <w:kern w:val="0"/>
      <w:sz w:val="24"/>
      <w14:ligatures w14:val="none"/>
    </w:rPr>
  </w:style>
  <w:style w:type="paragraph" w:styleId="1">
    <w:name w:val="heading 1"/>
    <w:basedOn w:val="a"/>
    <w:next w:val="a"/>
    <w:link w:val="10"/>
    <w:uiPriority w:val="9"/>
    <w:qFormat/>
    <w:rsid w:val="00281809"/>
    <w:pPr>
      <w:keepNext/>
      <w:keepLines/>
      <w:widowControl w:val="0"/>
      <w:spacing w:before="480" w:after="80" w:line="278" w:lineRule="auto"/>
      <w:outlineLvl w:val="0"/>
    </w:pPr>
    <w:rPr>
      <w:rFonts w:asciiTheme="majorHAnsi" w:eastAsiaTheme="majorEastAsia" w:hAnsiTheme="majorHAnsi" w:cstheme="majorBidi"/>
      <w:color w:val="2F5496" w:themeColor="accent1" w:themeShade="BF"/>
      <w:kern w:val="2"/>
      <w:sz w:val="48"/>
      <w:szCs w:val="48"/>
      <w14:ligatures w14:val="standardContextual"/>
    </w:rPr>
  </w:style>
  <w:style w:type="paragraph" w:styleId="2">
    <w:name w:val="heading 2"/>
    <w:basedOn w:val="a"/>
    <w:next w:val="a"/>
    <w:link w:val="20"/>
    <w:uiPriority w:val="9"/>
    <w:semiHidden/>
    <w:unhideWhenUsed/>
    <w:qFormat/>
    <w:rsid w:val="00281809"/>
    <w:pPr>
      <w:keepNext/>
      <w:keepLines/>
      <w:widowControl w:val="0"/>
      <w:spacing w:before="160" w:after="80" w:line="278" w:lineRule="auto"/>
      <w:outlineLvl w:val="1"/>
    </w:pPr>
    <w:rPr>
      <w:rFonts w:asciiTheme="majorHAnsi" w:eastAsiaTheme="majorEastAsia" w:hAnsiTheme="majorHAnsi" w:cstheme="majorBidi"/>
      <w:color w:val="2F5496" w:themeColor="accent1" w:themeShade="BF"/>
      <w:kern w:val="2"/>
      <w:sz w:val="40"/>
      <w:szCs w:val="40"/>
      <w14:ligatures w14:val="standardContextual"/>
    </w:rPr>
  </w:style>
  <w:style w:type="paragraph" w:styleId="3">
    <w:name w:val="heading 3"/>
    <w:basedOn w:val="a"/>
    <w:next w:val="a"/>
    <w:link w:val="30"/>
    <w:uiPriority w:val="9"/>
    <w:semiHidden/>
    <w:unhideWhenUsed/>
    <w:qFormat/>
    <w:rsid w:val="00281809"/>
    <w:pPr>
      <w:keepNext/>
      <w:keepLines/>
      <w:widowControl w:val="0"/>
      <w:spacing w:before="160" w:after="80" w:line="278" w:lineRule="auto"/>
      <w:outlineLvl w:val="2"/>
    </w:pPr>
    <w:rPr>
      <w:rFonts w:asciiTheme="majorHAnsi" w:eastAsiaTheme="majorEastAsia" w:hAnsiTheme="majorHAnsi" w:cstheme="majorBidi"/>
      <w:color w:val="2F5496" w:themeColor="accent1" w:themeShade="BF"/>
      <w:kern w:val="2"/>
      <w:sz w:val="32"/>
      <w:szCs w:val="32"/>
      <w14:ligatures w14:val="standardContextual"/>
    </w:rPr>
  </w:style>
  <w:style w:type="paragraph" w:styleId="4">
    <w:name w:val="heading 4"/>
    <w:basedOn w:val="a"/>
    <w:next w:val="a"/>
    <w:link w:val="40"/>
    <w:uiPriority w:val="9"/>
    <w:semiHidden/>
    <w:unhideWhenUsed/>
    <w:qFormat/>
    <w:rsid w:val="00281809"/>
    <w:pPr>
      <w:keepNext/>
      <w:keepLines/>
      <w:widowControl w:val="0"/>
      <w:spacing w:before="80" w:after="40" w:line="278" w:lineRule="auto"/>
      <w:outlineLvl w:val="3"/>
    </w:pPr>
    <w:rPr>
      <w:rFonts w:asciiTheme="minorHAnsi" w:eastAsiaTheme="minorEastAsia" w:hAnsiTheme="minorHAnsi" w:cstheme="majorBidi"/>
      <w:color w:val="2F5496" w:themeColor="accent1" w:themeShade="BF"/>
      <w:kern w:val="2"/>
      <w:sz w:val="28"/>
      <w:szCs w:val="28"/>
      <w14:ligatures w14:val="standardContextual"/>
    </w:rPr>
  </w:style>
  <w:style w:type="paragraph" w:styleId="5">
    <w:name w:val="heading 5"/>
    <w:basedOn w:val="a"/>
    <w:next w:val="a"/>
    <w:link w:val="50"/>
    <w:uiPriority w:val="9"/>
    <w:semiHidden/>
    <w:unhideWhenUsed/>
    <w:qFormat/>
    <w:rsid w:val="00281809"/>
    <w:pPr>
      <w:keepNext/>
      <w:keepLines/>
      <w:widowControl w:val="0"/>
      <w:spacing w:before="80" w:after="40" w:line="278" w:lineRule="auto"/>
      <w:outlineLvl w:val="4"/>
    </w:pPr>
    <w:rPr>
      <w:rFonts w:asciiTheme="minorHAnsi" w:eastAsiaTheme="minorEastAsia" w:hAnsiTheme="minorHAnsi"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281809"/>
    <w:pPr>
      <w:keepNext/>
      <w:keepLines/>
      <w:widowControl w:val="0"/>
      <w:spacing w:before="40" w:line="278" w:lineRule="auto"/>
      <w:outlineLvl w:val="5"/>
    </w:pPr>
    <w:rPr>
      <w:rFonts w:asciiTheme="minorHAnsi" w:eastAsiaTheme="minorEastAsia" w:hAnsiTheme="minorHAnsi" w:cstheme="majorBidi"/>
      <w:b/>
      <w:bCs/>
      <w:color w:val="2F5496" w:themeColor="accent1" w:themeShade="BF"/>
      <w:kern w:val="2"/>
      <w:sz w:val="22"/>
      <w14:ligatures w14:val="standardContextual"/>
    </w:rPr>
  </w:style>
  <w:style w:type="paragraph" w:styleId="7">
    <w:name w:val="heading 7"/>
    <w:basedOn w:val="a"/>
    <w:next w:val="a"/>
    <w:link w:val="70"/>
    <w:uiPriority w:val="9"/>
    <w:semiHidden/>
    <w:unhideWhenUsed/>
    <w:qFormat/>
    <w:rsid w:val="00281809"/>
    <w:pPr>
      <w:keepNext/>
      <w:keepLines/>
      <w:widowControl w:val="0"/>
      <w:spacing w:before="40" w:line="278" w:lineRule="auto"/>
      <w:outlineLvl w:val="6"/>
    </w:pPr>
    <w:rPr>
      <w:rFonts w:asciiTheme="minorHAnsi" w:eastAsiaTheme="minorEastAsia" w:hAnsiTheme="minorHAnsi" w:cstheme="majorBidi"/>
      <w:b/>
      <w:bCs/>
      <w:color w:val="595959" w:themeColor="text1" w:themeTint="A6"/>
      <w:kern w:val="2"/>
      <w:sz w:val="22"/>
      <w14:ligatures w14:val="standardContextual"/>
    </w:rPr>
  </w:style>
  <w:style w:type="paragraph" w:styleId="8">
    <w:name w:val="heading 8"/>
    <w:basedOn w:val="a"/>
    <w:next w:val="a"/>
    <w:link w:val="80"/>
    <w:uiPriority w:val="9"/>
    <w:semiHidden/>
    <w:unhideWhenUsed/>
    <w:qFormat/>
    <w:rsid w:val="00281809"/>
    <w:pPr>
      <w:keepNext/>
      <w:keepLines/>
      <w:widowControl w:val="0"/>
      <w:spacing w:line="278" w:lineRule="auto"/>
      <w:outlineLvl w:val="7"/>
    </w:pPr>
    <w:rPr>
      <w:rFonts w:asciiTheme="minorHAnsi" w:eastAsiaTheme="minorEastAsia" w:hAnsiTheme="minorHAnsi" w:cstheme="majorBidi"/>
      <w:color w:val="595959" w:themeColor="text1" w:themeTint="A6"/>
      <w:kern w:val="2"/>
      <w:sz w:val="22"/>
      <w14:ligatures w14:val="standardContextual"/>
    </w:rPr>
  </w:style>
  <w:style w:type="paragraph" w:styleId="9">
    <w:name w:val="heading 9"/>
    <w:basedOn w:val="a"/>
    <w:next w:val="a"/>
    <w:link w:val="90"/>
    <w:uiPriority w:val="9"/>
    <w:semiHidden/>
    <w:unhideWhenUsed/>
    <w:qFormat/>
    <w:rsid w:val="00281809"/>
    <w:pPr>
      <w:keepNext/>
      <w:keepLines/>
      <w:widowControl w:val="0"/>
      <w:spacing w:line="278" w:lineRule="auto"/>
      <w:outlineLvl w:val="8"/>
    </w:pPr>
    <w:rPr>
      <w:rFonts w:asciiTheme="minorHAnsi" w:eastAsiaTheme="majorEastAsia" w:hAnsiTheme="minorHAnsi" w:cstheme="majorBidi"/>
      <w:color w:val="595959" w:themeColor="text1" w:themeTint="A6"/>
      <w:kern w:val="2"/>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8180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8180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81809"/>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81809"/>
    <w:rPr>
      <w:rFonts w:cstheme="majorBidi"/>
      <w:color w:val="2F5496" w:themeColor="accent1" w:themeShade="BF"/>
      <w:sz w:val="28"/>
      <w:szCs w:val="28"/>
    </w:rPr>
  </w:style>
  <w:style w:type="character" w:customStyle="1" w:styleId="50">
    <w:name w:val="标题 5 字符"/>
    <w:basedOn w:val="a0"/>
    <w:link w:val="5"/>
    <w:uiPriority w:val="9"/>
    <w:semiHidden/>
    <w:rsid w:val="00281809"/>
    <w:rPr>
      <w:rFonts w:cstheme="majorBidi"/>
      <w:color w:val="2F5496" w:themeColor="accent1" w:themeShade="BF"/>
      <w:sz w:val="24"/>
    </w:rPr>
  </w:style>
  <w:style w:type="character" w:customStyle="1" w:styleId="60">
    <w:name w:val="标题 6 字符"/>
    <w:basedOn w:val="a0"/>
    <w:link w:val="6"/>
    <w:uiPriority w:val="9"/>
    <w:semiHidden/>
    <w:rsid w:val="00281809"/>
    <w:rPr>
      <w:rFonts w:cstheme="majorBidi"/>
      <w:b/>
      <w:bCs/>
      <w:color w:val="2F5496" w:themeColor="accent1" w:themeShade="BF"/>
    </w:rPr>
  </w:style>
  <w:style w:type="character" w:customStyle="1" w:styleId="70">
    <w:name w:val="标题 7 字符"/>
    <w:basedOn w:val="a0"/>
    <w:link w:val="7"/>
    <w:uiPriority w:val="9"/>
    <w:semiHidden/>
    <w:rsid w:val="00281809"/>
    <w:rPr>
      <w:rFonts w:cstheme="majorBidi"/>
      <w:b/>
      <w:bCs/>
      <w:color w:val="595959" w:themeColor="text1" w:themeTint="A6"/>
    </w:rPr>
  </w:style>
  <w:style w:type="character" w:customStyle="1" w:styleId="80">
    <w:name w:val="标题 8 字符"/>
    <w:basedOn w:val="a0"/>
    <w:link w:val="8"/>
    <w:uiPriority w:val="9"/>
    <w:semiHidden/>
    <w:rsid w:val="00281809"/>
    <w:rPr>
      <w:rFonts w:cstheme="majorBidi"/>
      <w:color w:val="595959" w:themeColor="text1" w:themeTint="A6"/>
    </w:rPr>
  </w:style>
  <w:style w:type="character" w:customStyle="1" w:styleId="90">
    <w:name w:val="标题 9 字符"/>
    <w:basedOn w:val="a0"/>
    <w:link w:val="9"/>
    <w:uiPriority w:val="9"/>
    <w:semiHidden/>
    <w:rsid w:val="00281809"/>
    <w:rPr>
      <w:rFonts w:eastAsiaTheme="majorEastAsia" w:cstheme="majorBidi"/>
      <w:color w:val="595959" w:themeColor="text1" w:themeTint="A6"/>
    </w:rPr>
  </w:style>
  <w:style w:type="paragraph" w:styleId="a3">
    <w:name w:val="Title"/>
    <w:basedOn w:val="a"/>
    <w:next w:val="a"/>
    <w:link w:val="a4"/>
    <w:uiPriority w:val="10"/>
    <w:qFormat/>
    <w:rsid w:val="00281809"/>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2818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1809"/>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标题 字符"/>
    <w:basedOn w:val="a0"/>
    <w:link w:val="a5"/>
    <w:uiPriority w:val="11"/>
    <w:rsid w:val="0028180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1809"/>
    <w:pPr>
      <w:widowControl w:val="0"/>
      <w:spacing w:before="160" w:after="160" w:line="278" w:lineRule="auto"/>
      <w:jc w:val="center"/>
    </w:pPr>
    <w:rPr>
      <w:rFonts w:asciiTheme="minorHAnsi" w:eastAsiaTheme="minorEastAsia" w:hAnsiTheme="minorHAnsi" w:cstheme="minorBidi"/>
      <w:i/>
      <w:iCs/>
      <w:color w:val="404040" w:themeColor="text1" w:themeTint="BF"/>
      <w:kern w:val="2"/>
      <w:sz w:val="22"/>
      <w14:ligatures w14:val="standardContextual"/>
    </w:rPr>
  </w:style>
  <w:style w:type="character" w:customStyle="1" w:styleId="a8">
    <w:name w:val="引用 字符"/>
    <w:basedOn w:val="a0"/>
    <w:link w:val="a7"/>
    <w:uiPriority w:val="29"/>
    <w:rsid w:val="00281809"/>
    <w:rPr>
      <w:i/>
      <w:iCs/>
      <w:color w:val="404040" w:themeColor="text1" w:themeTint="BF"/>
    </w:rPr>
  </w:style>
  <w:style w:type="paragraph" w:styleId="a9">
    <w:name w:val="List Paragraph"/>
    <w:basedOn w:val="a"/>
    <w:uiPriority w:val="34"/>
    <w:qFormat/>
    <w:rsid w:val="00281809"/>
    <w:pPr>
      <w:widowControl w:val="0"/>
      <w:spacing w:after="160" w:line="278" w:lineRule="auto"/>
      <w:ind w:left="720"/>
      <w:contextualSpacing/>
    </w:pPr>
    <w:rPr>
      <w:rFonts w:asciiTheme="minorHAnsi" w:eastAsiaTheme="minorEastAsia" w:hAnsiTheme="minorHAnsi" w:cstheme="minorBidi"/>
      <w:kern w:val="2"/>
      <w:sz w:val="22"/>
      <w14:ligatures w14:val="standardContextual"/>
    </w:rPr>
  </w:style>
  <w:style w:type="character" w:styleId="aa">
    <w:name w:val="Intense Emphasis"/>
    <w:basedOn w:val="a0"/>
    <w:uiPriority w:val="21"/>
    <w:qFormat/>
    <w:rsid w:val="00281809"/>
    <w:rPr>
      <w:i/>
      <w:iCs/>
      <w:color w:val="2F5496" w:themeColor="accent1" w:themeShade="BF"/>
    </w:rPr>
  </w:style>
  <w:style w:type="paragraph" w:styleId="ab">
    <w:name w:val="Intense Quote"/>
    <w:basedOn w:val="a"/>
    <w:next w:val="a"/>
    <w:link w:val="ac"/>
    <w:uiPriority w:val="30"/>
    <w:qFormat/>
    <w:rsid w:val="00281809"/>
    <w:pPr>
      <w:widowControl w:val="0"/>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2"/>
      <w14:ligatures w14:val="standardContextual"/>
    </w:rPr>
  </w:style>
  <w:style w:type="character" w:customStyle="1" w:styleId="ac">
    <w:name w:val="明显引用 字符"/>
    <w:basedOn w:val="a0"/>
    <w:link w:val="ab"/>
    <w:uiPriority w:val="30"/>
    <w:rsid w:val="00281809"/>
    <w:rPr>
      <w:i/>
      <w:iCs/>
      <w:color w:val="2F5496" w:themeColor="accent1" w:themeShade="BF"/>
    </w:rPr>
  </w:style>
  <w:style w:type="character" w:styleId="ad">
    <w:name w:val="Intense Reference"/>
    <w:basedOn w:val="a0"/>
    <w:uiPriority w:val="32"/>
    <w:qFormat/>
    <w:rsid w:val="00281809"/>
    <w:rPr>
      <w:b/>
      <w:bCs/>
      <w:smallCaps/>
      <w:color w:val="2F5496" w:themeColor="accent1" w:themeShade="BF"/>
      <w:spacing w:val="5"/>
    </w:rPr>
  </w:style>
  <w:style w:type="table" w:styleId="ae">
    <w:name w:val="Table Grid"/>
    <w:basedOn w:val="a1"/>
    <w:uiPriority w:val="39"/>
    <w:rsid w:val="00281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127D56"/>
    <w:rPr>
      <w:b/>
      <w:bCs/>
    </w:rPr>
  </w:style>
  <w:style w:type="paragraph" w:styleId="af0">
    <w:name w:val="Normal (Web)"/>
    <w:basedOn w:val="a"/>
    <w:uiPriority w:val="99"/>
    <w:unhideWhenUsed/>
    <w:rsid w:val="00FA3612"/>
    <w:pPr>
      <w:spacing w:before="100" w:beforeAutospacing="1" w:after="100" w:afterAutospacing="1"/>
    </w:pPr>
  </w:style>
  <w:style w:type="paragraph" w:customStyle="1" w:styleId="11">
    <w:name w:val="书目1"/>
    <w:basedOn w:val="a"/>
    <w:link w:val="Bibliography"/>
    <w:rsid w:val="00B6617C"/>
    <w:pPr>
      <w:tabs>
        <w:tab w:val="left" w:pos="500"/>
      </w:tabs>
      <w:ind w:left="504" w:hanging="504"/>
    </w:pPr>
    <w:rPr>
      <w:rFonts w:ascii="Times New Roman" w:hAnsi="Times New Roman" w:cs="Times New Roman"/>
      <w:sz w:val="22"/>
      <w:szCs w:val="22"/>
    </w:rPr>
  </w:style>
  <w:style w:type="character" w:customStyle="1" w:styleId="Bibliography">
    <w:name w:val="Bibliography 字符"/>
    <w:basedOn w:val="a0"/>
    <w:link w:val="11"/>
    <w:rsid w:val="00B6617C"/>
    <w:rPr>
      <w:rFonts w:ascii="Times New Roman" w:eastAsia="宋体" w:hAnsi="Times New Roman" w:cs="Times New Roman"/>
      <w:kern w:val="0"/>
      <w:szCs w:val="22"/>
      <w14:ligatures w14:val="none"/>
    </w:rPr>
  </w:style>
  <w:style w:type="paragraph" w:styleId="af1">
    <w:name w:val="Bibliography"/>
    <w:basedOn w:val="a"/>
    <w:next w:val="a"/>
    <w:uiPriority w:val="37"/>
    <w:unhideWhenUsed/>
    <w:rsid w:val="006F44E5"/>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05257-368B-974A-9F86-CC811FC0F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5</Pages>
  <Words>1178</Words>
  <Characters>6721</Characters>
  <Application>Microsoft Office Word</Application>
  <DocSecurity>0</DocSecurity>
  <Lines>56</Lines>
  <Paragraphs>15</Paragraphs>
  <ScaleCrop>false</ScaleCrop>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jianing liu</dc:creator>
  <cp:keywords/>
  <dc:description/>
  <cp:lastModifiedBy>jianing liu</cp:lastModifiedBy>
  <cp:revision>8</cp:revision>
  <dcterms:created xsi:type="dcterms:W3CDTF">2026-02-27T14:10:00Z</dcterms:created>
  <dcterms:modified xsi:type="dcterms:W3CDTF">2026-10-02T08:56:00Z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id="TYrSvF3f"/&gt;&lt;style id="http://www.zotero.org/styles/clinical-proteomics" hasBibliography="1" bibliographyStyleHasBeenSet="1"/&gt;&lt;prefs&gt;&lt;pref name="fieldType" value="Field"/&gt;&lt;/prefs&gt;&lt;/data&gt;</vt:lpwstr>
  </property>
</Properties>
</file>