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C08BF" w14:textId="0680EBDF" w:rsidR="004A21F5" w:rsidRPr="008B6EDC" w:rsidRDefault="00000000" w:rsidP="001424F8">
      <w:pPr>
        <w:jc w:val="center"/>
        <w:rPr>
          <w:rFonts w:asciiTheme="majorHAnsi" w:hAnsiTheme="majorHAnsi" w:cstheme="majorHAnsi"/>
          <w:sz w:val="24"/>
          <w:szCs w:val="24"/>
        </w:rPr>
      </w:pPr>
      <w:r w:rsidRPr="008B6EDC">
        <w:rPr>
          <w:rFonts w:asciiTheme="majorHAnsi" w:hAnsiTheme="majorHAnsi" w:cstheme="majorHAnsi"/>
          <w:b/>
          <w:sz w:val="24"/>
          <w:szCs w:val="24"/>
        </w:rPr>
        <w:t xml:space="preserve">Supplementary Table 1. </w:t>
      </w:r>
      <w:r w:rsidR="00101B26" w:rsidRPr="00101B26">
        <w:rPr>
          <w:rFonts w:asciiTheme="majorHAnsi" w:hAnsiTheme="majorHAnsi" w:cstheme="majorHAnsi"/>
          <w:b/>
          <w:sz w:val="24"/>
          <w:szCs w:val="24"/>
        </w:rPr>
        <w:t>Adapted Bilsen consensus reference standard used for postoperative UTI classification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3399"/>
        <w:gridCol w:w="2387"/>
        <w:gridCol w:w="2387"/>
        <w:gridCol w:w="2419"/>
        <w:gridCol w:w="2123"/>
      </w:tblGrid>
      <w:tr w:rsidR="004A21F5" w:rsidRPr="008B6EDC" w14:paraId="53652DB8" w14:textId="77777777">
        <w:trPr>
          <w:jc w:val="center"/>
        </w:trPr>
        <w:tc>
          <w:tcPr>
            <w:tcW w:w="1584" w:type="dxa"/>
            <w:vAlign w:val="center"/>
          </w:tcPr>
          <w:p w14:paraId="1028710A" w14:textId="77777777" w:rsidR="004A21F5" w:rsidRPr="008B6EDC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b/>
                <w:sz w:val="24"/>
                <w:szCs w:val="24"/>
              </w:rPr>
              <w:t>Domain</w:t>
            </w:r>
          </w:p>
        </w:tc>
        <w:tc>
          <w:tcPr>
            <w:tcW w:w="3672" w:type="dxa"/>
            <w:vAlign w:val="center"/>
          </w:tcPr>
          <w:p w14:paraId="7A85449A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b/>
                <w:sz w:val="24"/>
                <w:szCs w:val="24"/>
              </w:rPr>
              <w:t>Specifics</w:t>
            </w:r>
          </w:p>
        </w:tc>
        <w:tc>
          <w:tcPr>
            <w:tcW w:w="2520" w:type="dxa"/>
            <w:vAlign w:val="center"/>
          </w:tcPr>
          <w:p w14:paraId="65A5BC15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b/>
                <w:sz w:val="24"/>
                <w:szCs w:val="24"/>
              </w:rPr>
              <w:t>3 points</w:t>
            </w:r>
          </w:p>
        </w:tc>
        <w:tc>
          <w:tcPr>
            <w:tcW w:w="2520" w:type="dxa"/>
            <w:vAlign w:val="center"/>
          </w:tcPr>
          <w:p w14:paraId="222D6073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b/>
                <w:sz w:val="24"/>
                <w:szCs w:val="24"/>
              </w:rPr>
              <w:t>2 points</w:t>
            </w:r>
          </w:p>
        </w:tc>
        <w:tc>
          <w:tcPr>
            <w:tcW w:w="2520" w:type="dxa"/>
            <w:vAlign w:val="center"/>
          </w:tcPr>
          <w:p w14:paraId="41D9E80E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b/>
                <w:sz w:val="24"/>
                <w:szCs w:val="24"/>
              </w:rPr>
              <w:t>1 point</w:t>
            </w:r>
          </w:p>
        </w:tc>
        <w:tc>
          <w:tcPr>
            <w:tcW w:w="2232" w:type="dxa"/>
            <w:vAlign w:val="center"/>
          </w:tcPr>
          <w:p w14:paraId="5FA8377A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b/>
                <w:sz w:val="24"/>
                <w:szCs w:val="24"/>
              </w:rPr>
              <w:t>0 points</w:t>
            </w:r>
          </w:p>
        </w:tc>
      </w:tr>
      <w:tr w:rsidR="004A21F5" w:rsidRPr="008B6EDC" w14:paraId="64852F83" w14:textId="77777777">
        <w:trPr>
          <w:jc w:val="center"/>
        </w:trPr>
        <w:tc>
          <w:tcPr>
            <w:tcW w:w="1584" w:type="dxa"/>
          </w:tcPr>
          <w:p w14:paraId="6B97C2FC" w14:textId="77777777" w:rsidR="004A21F5" w:rsidRPr="008B6EDC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Symptoms and signs</w:t>
            </w:r>
          </w:p>
        </w:tc>
        <w:tc>
          <w:tcPr>
            <w:tcW w:w="3672" w:type="dxa"/>
          </w:tcPr>
          <w:p w14:paraId="62C772F9" w14:textId="77777777" w:rsidR="001424F8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Major: dysuria; urinary urgency; urinary frequency.</w:t>
            </w:r>
          </w:p>
          <w:p w14:paraId="382020E7" w14:textId="219B6D93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Minor: suprapubic pain/tenderness; flank pain/tenderness; perineal pain or painful prostate examination; urinary incontinence; macroscopic </w:t>
            </w:r>
            <w:proofErr w:type="spellStart"/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haematuria</w:t>
            </w:r>
            <w:proofErr w:type="spellEnd"/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; recognition of symptoms.</w:t>
            </w:r>
          </w:p>
        </w:tc>
        <w:tc>
          <w:tcPr>
            <w:tcW w:w="2520" w:type="dxa"/>
          </w:tcPr>
          <w:p w14:paraId="439B125D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≥2 new-onset major symptoms</w:t>
            </w:r>
          </w:p>
        </w:tc>
        <w:tc>
          <w:tcPr>
            <w:tcW w:w="2520" w:type="dxa"/>
          </w:tcPr>
          <w:p w14:paraId="2F1C4876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1 new-onset major symptom or 2 new-onset minor symptoms</w:t>
            </w:r>
          </w:p>
        </w:tc>
        <w:tc>
          <w:tcPr>
            <w:tcW w:w="2520" w:type="dxa"/>
          </w:tcPr>
          <w:p w14:paraId="6B14A610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1 new-onset minor symptom or inability to express/perceive symptoms</w:t>
            </w:r>
          </w:p>
        </w:tc>
        <w:tc>
          <w:tcPr>
            <w:tcW w:w="2232" w:type="dxa"/>
          </w:tcPr>
          <w:p w14:paraId="1233B3CB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—</w:t>
            </w:r>
          </w:p>
        </w:tc>
      </w:tr>
      <w:tr w:rsidR="004A21F5" w:rsidRPr="008B6EDC" w14:paraId="48BFA98C" w14:textId="77777777">
        <w:trPr>
          <w:jc w:val="center"/>
        </w:trPr>
        <w:tc>
          <w:tcPr>
            <w:tcW w:w="1584" w:type="dxa"/>
          </w:tcPr>
          <w:p w14:paraId="647C9A57" w14:textId="77777777" w:rsidR="004A21F5" w:rsidRPr="008B6EDC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Systemic criteria</w:t>
            </w:r>
          </w:p>
        </w:tc>
        <w:tc>
          <w:tcPr>
            <w:tcW w:w="3672" w:type="dxa"/>
          </w:tcPr>
          <w:p w14:paraId="1B39EF13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Fever ≥38.0°C; C-reactive protein ≥50 mg/L; procalcitonin ≥0.5 ng/mL; white blood cell count ≥12 × 10⁹/L; bacteraemia with the same pathogen as urine culture.</w:t>
            </w:r>
          </w:p>
        </w:tc>
        <w:tc>
          <w:tcPr>
            <w:tcW w:w="2520" w:type="dxa"/>
          </w:tcPr>
          <w:p w14:paraId="18955BDC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—</w:t>
            </w:r>
          </w:p>
        </w:tc>
        <w:tc>
          <w:tcPr>
            <w:tcW w:w="2520" w:type="dxa"/>
          </w:tcPr>
          <w:p w14:paraId="34F1C3FD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≥1 new-onset systemic criterion</w:t>
            </w:r>
          </w:p>
        </w:tc>
        <w:tc>
          <w:tcPr>
            <w:tcW w:w="2520" w:type="dxa"/>
          </w:tcPr>
          <w:p w14:paraId="39F89C2C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—</w:t>
            </w:r>
          </w:p>
        </w:tc>
        <w:tc>
          <w:tcPr>
            <w:tcW w:w="2232" w:type="dxa"/>
          </w:tcPr>
          <w:p w14:paraId="118C26F8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No systemic criteria</w:t>
            </w:r>
          </w:p>
        </w:tc>
      </w:tr>
      <w:tr w:rsidR="004A21F5" w:rsidRPr="008B6EDC" w14:paraId="4535C032" w14:textId="77777777">
        <w:trPr>
          <w:jc w:val="center"/>
        </w:trPr>
        <w:tc>
          <w:tcPr>
            <w:tcW w:w="1584" w:type="dxa"/>
          </w:tcPr>
          <w:p w14:paraId="7BD83533" w14:textId="77777777" w:rsidR="004A21F5" w:rsidRPr="008B6EDC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Pyuria</w:t>
            </w:r>
          </w:p>
        </w:tc>
        <w:tc>
          <w:tcPr>
            <w:tcW w:w="3672" w:type="dxa"/>
          </w:tcPr>
          <w:p w14:paraId="307DE176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Midstream urine or single catheterized sample</w:t>
            </w:r>
          </w:p>
        </w:tc>
        <w:tc>
          <w:tcPr>
            <w:tcW w:w="2520" w:type="dxa"/>
          </w:tcPr>
          <w:p w14:paraId="683F3020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≥200 leukocytes/µL or ≥50 leukocytes/hpf</w:t>
            </w:r>
          </w:p>
        </w:tc>
        <w:tc>
          <w:tcPr>
            <w:tcW w:w="2520" w:type="dxa"/>
          </w:tcPr>
          <w:p w14:paraId="5B2627AC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 xml:space="preserve">10–200 </w:t>
            </w:r>
            <w:proofErr w:type="spellStart"/>
            <w:r w:rsidRPr="008B6EDC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leukocytes</w:t>
            </w:r>
            <w:proofErr w:type="spellEnd"/>
            <w:r w:rsidRPr="008B6EDC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 xml:space="preserve">/µL or 5–50 </w:t>
            </w:r>
            <w:proofErr w:type="spellStart"/>
            <w:r w:rsidRPr="008B6EDC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leukocytes</w:t>
            </w:r>
            <w:proofErr w:type="spellEnd"/>
            <w:r w:rsidRPr="008B6EDC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/</w:t>
            </w:r>
            <w:proofErr w:type="spellStart"/>
            <w:r w:rsidRPr="008B6EDC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hpf</w:t>
            </w:r>
            <w:proofErr w:type="spellEnd"/>
          </w:p>
        </w:tc>
        <w:tc>
          <w:tcPr>
            <w:tcW w:w="2520" w:type="dxa"/>
          </w:tcPr>
          <w:p w14:paraId="61CCC879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—</w:t>
            </w:r>
          </w:p>
        </w:tc>
        <w:tc>
          <w:tcPr>
            <w:tcW w:w="2232" w:type="dxa"/>
          </w:tcPr>
          <w:p w14:paraId="0833C5BE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—</w:t>
            </w:r>
          </w:p>
        </w:tc>
      </w:tr>
      <w:tr w:rsidR="004A21F5" w:rsidRPr="008B6EDC" w14:paraId="6B078A23" w14:textId="77777777">
        <w:trPr>
          <w:jc w:val="center"/>
        </w:trPr>
        <w:tc>
          <w:tcPr>
            <w:tcW w:w="1584" w:type="dxa"/>
          </w:tcPr>
          <w:p w14:paraId="3A1B2484" w14:textId="77777777" w:rsidR="004A21F5" w:rsidRPr="008B6EDC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Culture results</w:t>
            </w:r>
          </w:p>
        </w:tc>
        <w:tc>
          <w:tcPr>
            <w:tcW w:w="3672" w:type="dxa"/>
          </w:tcPr>
          <w:p w14:paraId="3E54BA70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Typical uropathogens: Enterobacterales, Pseudomonas aeruginosa, and Staphylococcus saprophyticus.</w:t>
            </w:r>
          </w:p>
        </w:tc>
        <w:tc>
          <w:tcPr>
            <w:tcW w:w="2520" w:type="dxa"/>
          </w:tcPr>
          <w:p w14:paraId="53813666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1–2 typical uropathogens meeting quantitative thresholds, or bacteraemia with the same pathogen as urine culture</w:t>
            </w:r>
          </w:p>
        </w:tc>
        <w:tc>
          <w:tcPr>
            <w:tcW w:w="2520" w:type="dxa"/>
          </w:tcPr>
          <w:p w14:paraId="1F10CD7C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—</w:t>
            </w:r>
          </w:p>
        </w:tc>
        <w:tc>
          <w:tcPr>
            <w:tcW w:w="2520" w:type="dxa"/>
          </w:tcPr>
          <w:p w14:paraId="62A7CD22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Mixed flora, other pathogen, or no growth after antimicrobial pretreatment</w:t>
            </w:r>
          </w:p>
        </w:tc>
        <w:tc>
          <w:tcPr>
            <w:tcW w:w="2232" w:type="dxa"/>
          </w:tcPr>
          <w:p w14:paraId="5A758F4E" w14:textId="77777777" w:rsidR="004A21F5" w:rsidRPr="008B6EDC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B6EDC">
              <w:rPr>
                <w:rFonts w:asciiTheme="majorHAnsi" w:hAnsiTheme="majorHAnsi" w:cstheme="majorHAnsi"/>
                <w:sz w:val="24"/>
                <w:szCs w:val="24"/>
              </w:rPr>
              <w:t>No growth without antimicrobial pretreatment or urine culture not performed</w:t>
            </w:r>
          </w:p>
        </w:tc>
      </w:tr>
    </w:tbl>
    <w:p w14:paraId="1B4B42A6" w14:textId="77777777" w:rsidR="004A21F5" w:rsidRPr="008B6EDC" w:rsidRDefault="004A21F5">
      <w:pPr>
        <w:rPr>
          <w:rFonts w:asciiTheme="majorHAnsi" w:hAnsiTheme="majorHAnsi" w:cstheme="majorHAnsi"/>
          <w:sz w:val="22"/>
        </w:rPr>
      </w:pPr>
    </w:p>
    <w:p w14:paraId="4B472E29" w14:textId="77777777" w:rsidR="001424F8" w:rsidRDefault="001424F8">
      <w:pPr>
        <w:rPr>
          <w:rFonts w:asciiTheme="majorHAnsi" w:hAnsiTheme="majorHAnsi" w:cstheme="majorHAnsi"/>
          <w:b/>
          <w:sz w:val="22"/>
        </w:rPr>
      </w:pPr>
    </w:p>
    <w:p w14:paraId="3B2C7286" w14:textId="77777777" w:rsidR="001424F8" w:rsidRDefault="001424F8">
      <w:pPr>
        <w:rPr>
          <w:rFonts w:asciiTheme="majorHAnsi" w:hAnsiTheme="majorHAnsi" w:cstheme="majorHAnsi"/>
          <w:b/>
          <w:sz w:val="22"/>
        </w:rPr>
      </w:pPr>
    </w:p>
    <w:p w14:paraId="2BF98952" w14:textId="77777777" w:rsidR="001424F8" w:rsidRDefault="001424F8">
      <w:pPr>
        <w:rPr>
          <w:rFonts w:asciiTheme="majorHAnsi" w:hAnsiTheme="majorHAnsi" w:cstheme="majorHAnsi"/>
          <w:b/>
          <w:sz w:val="22"/>
        </w:rPr>
      </w:pPr>
    </w:p>
    <w:p w14:paraId="31489D5E" w14:textId="33324E7B" w:rsidR="004A21F5" w:rsidRPr="001424F8" w:rsidRDefault="00000000" w:rsidP="00BF0129">
      <w:pPr>
        <w:jc w:val="center"/>
        <w:rPr>
          <w:rFonts w:asciiTheme="majorHAnsi" w:hAnsiTheme="majorHAnsi" w:cstheme="majorHAnsi"/>
          <w:sz w:val="24"/>
          <w:szCs w:val="24"/>
        </w:rPr>
      </w:pPr>
      <w:r w:rsidRPr="001424F8">
        <w:rPr>
          <w:rFonts w:asciiTheme="majorHAnsi" w:hAnsiTheme="majorHAnsi" w:cstheme="majorHAnsi"/>
          <w:b/>
          <w:sz w:val="24"/>
          <w:szCs w:val="24"/>
        </w:rPr>
        <w:lastRenderedPageBreak/>
        <w:t>Total score and diagnostic classification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123"/>
        <w:gridCol w:w="7123"/>
      </w:tblGrid>
      <w:tr w:rsidR="004A21F5" w:rsidRPr="001424F8" w14:paraId="65356AAE" w14:textId="77777777">
        <w:tc>
          <w:tcPr>
            <w:tcW w:w="7128" w:type="dxa"/>
          </w:tcPr>
          <w:p w14:paraId="49C9E86E" w14:textId="77777777" w:rsidR="004A21F5" w:rsidRPr="001424F8" w:rsidRDefault="00000000" w:rsidP="001424F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424F8">
              <w:rPr>
                <w:rFonts w:asciiTheme="majorHAnsi" w:hAnsiTheme="majorHAnsi" w:cstheme="majorHAnsi"/>
                <w:b/>
                <w:sz w:val="24"/>
                <w:szCs w:val="24"/>
              </w:rPr>
              <w:t>Total UTI score</w:t>
            </w:r>
          </w:p>
        </w:tc>
        <w:tc>
          <w:tcPr>
            <w:tcW w:w="7128" w:type="dxa"/>
          </w:tcPr>
          <w:p w14:paraId="61E69029" w14:textId="77777777" w:rsidR="004A21F5" w:rsidRPr="001424F8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24F8">
              <w:rPr>
                <w:rFonts w:asciiTheme="majorHAnsi" w:hAnsiTheme="majorHAnsi" w:cstheme="majorHAnsi"/>
                <w:b/>
                <w:sz w:val="24"/>
                <w:szCs w:val="24"/>
              </w:rPr>
              <w:t>Classification used in the present study</w:t>
            </w:r>
          </w:p>
        </w:tc>
      </w:tr>
      <w:tr w:rsidR="004A21F5" w:rsidRPr="001424F8" w14:paraId="78DF80E7" w14:textId="77777777">
        <w:tc>
          <w:tcPr>
            <w:tcW w:w="7128" w:type="dxa"/>
          </w:tcPr>
          <w:p w14:paraId="4D4A83BB" w14:textId="77777777" w:rsidR="004A21F5" w:rsidRPr="001424F8" w:rsidRDefault="00000000" w:rsidP="001424F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424F8">
              <w:rPr>
                <w:rFonts w:asciiTheme="majorHAnsi" w:hAnsiTheme="majorHAnsi" w:cstheme="majorHAnsi"/>
                <w:sz w:val="24"/>
                <w:szCs w:val="24"/>
              </w:rPr>
              <w:t>≥8 points</w:t>
            </w:r>
          </w:p>
        </w:tc>
        <w:tc>
          <w:tcPr>
            <w:tcW w:w="7128" w:type="dxa"/>
          </w:tcPr>
          <w:p w14:paraId="3EAC73B3" w14:textId="77777777" w:rsidR="004A21F5" w:rsidRPr="001424F8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24F8">
              <w:rPr>
                <w:rFonts w:asciiTheme="majorHAnsi" w:hAnsiTheme="majorHAnsi" w:cstheme="majorHAnsi"/>
                <w:sz w:val="24"/>
                <w:szCs w:val="24"/>
              </w:rPr>
              <w:t>Confirmed UTI*</w:t>
            </w:r>
          </w:p>
        </w:tc>
      </w:tr>
      <w:tr w:rsidR="004A21F5" w:rsidRPr="001424F8" w14:paraId="6AE87237" w14:textId="77777777">
        <w:tc>
          <w:tcPr>
            <w:tcW w:w="7128" w:type="dxa"/>
          </w:tcPr>
          <w:p w14:paraId="316106D2" w14:textId="77777777" w:rsidR="004A21F5" w:rsidRPr="001424F8" w:rsidRDefault="00000000" w:rsidP="001424F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424F8">
              <w:rPr>
                <w:rFonts w:asciiTheme="majorHAnsi" w:hAnsiTheme="majorHAnsi" w:cstheme="majorHAnsi"/>
                <w:sz w:val="24"/>
                <w:szCs w:val="24"/>
              </w:rPr>
              <w:t>5–7 points</w:t>
            </w:r>
          </w:p>
        </w:tc>
        <w:tc>
          <w:tcPr>
            <w:tcW w:w="7128" w:type="dxa"/>
          </w:tcPr>
          <w:p w14:paraId="724F6527" w14:textId="77777777" w:rsidR="004A21F5" w:rsidRPr="001424F8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24F8">
              <w:rPr>
                <w:rFonts w:asciiTheme="majorHAnsi" w:hAnsiTheme="majorHAnsi" w:cstheme="majorHAnsi"/>
                <w:sz w:val="24"/>
                <w:szCs w:val="24"/>
              </w:rPr>
              <w:t>Probable UTI</w:t>
            </w:r>
          </w:p>
        </w:tc>
      </w:tr>
      <w:tr w:rsidR="004A21F5" w:rsidRPr="001424F8" w14:paraId="26CA0788" w14:textId="77777777">
        <w:tc>
          <w:tcPr>
            <w:tcW w:w="7128" w:type="dxa"/>
          </w:tcPr>
          <w:p w14:paraId="72729B4B" w14:textId="77777777" w:rsidR="004A21F5" w:rsidRPr="001424F8" w:rsidRDefault="00000000" w:rsidP="001424F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424F8">
              <w:rPr>
                <w:rFonts w:asciiTheme="majorHAnsi" w:hAnsiTheme="majorHAnsi" w:cstheme="majorHAnsi"/>
                <w:sz w:val="24"/>
                <w:szCs w:val="24"/>
              </w:rPr>
              <w:t>3–4 points</w:t>
            </w:r>
          </w:p>
        </w:tc>
        <w:tc>
          <w:tcPr>
            <w:tcW w:w="7128" w:type="dxa"/>
          </w:tcPr>
          <w:p w14:paraId="31BC7B11" w14:textId="77777777" w:rsidR="004A21F5" w:rsidRPr="001424F8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24F8">
              <w:rPr>
                <w:rFonts w:asciiTheme="majorHAnsi" w:hAnsiTheme="majorHAnsi" w:cstheme="majorHAnsi"/>
                <w:sz w:val="24"/>
                <w:szCs w:val="24"/>
              </w:rPr>
              <w:t>Possible UTI</w:t>
            </w:r>
          </w:p>
        </w:tc>
      </w:tr>
      <w:tr w:rsidR="004A21F5" w:rsidRPr="001424F8" w14:paraId="292E602F" w14:textId="77777777">
        <w:tc>
          <w:tcPr>
            <w:tcW w:w="7128" w:type="dxa"/>
          </w:tcPr>
          <w:p w14:paraId="2F8FA368" w14:textId="77777777" w:rsidR="004A21F5" w:rsidRPr="001424F8" w:rsidRDefault="00000000" w:rsidP="001424F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424F8">
              <w:rPr>
                <w:rFonts w:asciiTheme="majorHAnsi" w:hAnsiTheme="majorHAnsi" w:cstheme="majorHAnsi"/>
                <w:sz w:val="24"/>
                <w:szCs w:val="24"/>
              </w:rPr>
              <w:t>0–2 points</w:t>
            </w:r>
          </w:p>
        </w:tc>
        <w:tc>
          <w:tcPr>
            <w:tcW w:w="7128" w:type="dxa"/>
          </w:tcPr>
          <w:p w14:paraId="347C8CB2" w14:textId="77777777" w:rsidR="004A21F5" w:rsidRPr="001424F8" w:rsidRDefault="00000000" w:rsidP="001424F8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424F8">
              <w:rPr>
                <w:rFonts w:asciiTheme="majorHAnsi" w:hAnsiTheme="majorHAnsi" w:cstheme="majorHAnsi"/>
                <w:sz w:val="24"/>
                <w:szCs w:val="24"/>
              </w:rPr>
              <w:t>No UTI</w:t>
            </w:r>
          </w:p>
        </w:tc>
      </w:tr>
    </w:tbl>
    <w:p w14:paraId="732CA48B" w14:textId="77777777" w:rsidR="004A21F5" w:rsidRPr="008B6EDC" w:rsidRDefault="004A21F5">
      <w:pPr>
        <w:rPr>
          <w:rFonts w:asciiTheme="majorHAnsi" w:hAnsiTheme="majorHAnsi" w:cstheme="majorHAnsi"/>
          <w:sz w:val="22"/>
        </w:rPr>
      </w:pPr>
    </w:p>
    <w:p w14:paraId="61E48CAC" w14:textId="77777777" w:rsidR="001424F8" w:rsidRPr="005A6CF0" w:rsidRDefault="001424F8" w:rsidP="00BF0129">
      <w:pPr>
        <w:spacing w:before="80"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5A6CF0">
        <w:rPr>
          <w:rFonts w:asciiTheme="majorHAnsi" w:hAnsiTheme="majorHAnsi"/>
          <w:b/>
          <w:sz w:val="24"/>
          <w:szCs w:val="24"/>
        </w:rPr>
        <w:t>Legend</w:t>
      </w:r>
    </w:p>
    <w:p w14:paraId="12B14E8D" w14:textId="1009167F" w:rsidR="004A21F5" w:rsidRPr="008B6EDC" w:rsidRDefault="004A21F5">
      <w:pPr>
        <w:spacing w:after="40"/>
        <w:ind w:left="115"/>
        <w:rPr>
          <w:rFonts w:asciiTheme="majorHAnsi" w:hAnsiTheme="majorHAnsi" w:cstheme="majorHAnsi"/>
          <w:sz w:val="22"/>
        </w:rPr>
      </w:pPr>
    </w:p>
    <w:p w14:paraId="371F39FC" w14:textId="77777777" w:rsidR="004A21F5" w:rsidRPr="001424F8" w:rsidRDefault="00000000" w:rsidP="00BF0129">
      <w:pPr>
        <w:spacing w:after="40" w:line="480" w:lineRule="auto"/>
        <w:ind w:left="115"/>
        <w:jc w:val="both"/>
        <w:rPr>
          <w:rFonts w:asciiTheme="majorHAnsi" w:hAnsiTheme="majorHAnsi" w:cstheme="majorHAnsi"/>
          <w:sz w:val="24"/>
          <w:szCs w:val="24"/>
        </w:rPr>
      </w:pPr>
      <w:r w:rsidRPr="001424F8">
        <w:rPr>
          <w:rFonts w:asciiTheme="majorHAnsi" w:hAnsiTheme="majorHAnsi" w:cstheme="majorHAnsi"/>
          <w:sz w:val="24"/>
          <w:szCs w:val="24"/>
        </w:rPr>
        <w:t>Pyuria is an entry criterion in the original reference standard (≥10 leukocytes/µL or ≥5 leukocytes/hpf), except in complete obstructive uropathy or absolute neutropenia. Pyuria should be quantified; leukocyte esterase alone is insufficient.</w:t>
      </w:r>
    </w:p>
    <w:p w14:paraId="44004C51" w14:textId="77777777" w:rsidR="004A21F5" w:rsidRPr="001424F8" w:rsidRDefault="00000000" w:rsidP="00BF0129">
      <w:pPr>
        <w:spacing w:after="40" w:line="480" w:lineRule="auto"/>
        <w:ind w:left="115"/>
        <w:jc w:val="both"/>
        <w:rPr>
          <w:rFonts w:asciiTheme="majorHAnsi" w:hAnsiTheme="majorHAnsi" w:cstheme="majorHAnsi"/>
          <w:sz w:val="24"/>
          <w:szCs w:val="24"/>
        </w:rPr>
      </w:pPr>
      <w:r w:rsidRPr="001424F8">
        <w:rPr>
          <w:rFonts w:asciiTheme="majorHAnsi" w:hAnsiTheme="majorHAnsi" w:cstheme="majorHAnsi"/>
          <w:sz w:val="24"/>
          <w:szCs w:val="24"/>
        </w:rPr>
        <w:t>Within each domain, only the highest weighted criterion contributes to the total score.</w:t>
      </w:r>
    </w:p>
    <w:p w14:paraId="5A7C9C1C" w14:textId="77777777" w:rsidR="004A21F5" w:rsidRPr="001424F8" w:rsidRDefault="00000000" w:rsidP="00BF0129">
      <w:pPr>
        <w:spacing w:after="40" w:line="480" w:lineRule="auto"/>
        <w:ind w:left="115"/>
        <w:jc w:val="both"/>
        <w:rPr>
          <w:rFonts w:asciiTheme="majorHAnsi" w:hAnsiTheme="majorHAnsi" w:cstheme="majorHAnsi"/>
          <w:sz w:val="24"/>
          <w:szCs w:val="24"/>
        </w:rPr>
      </w:pPr>
      <w:r w:rsidRPr="001424F8">
        <w:rPr>
          <w:rFonts w:asciiTheme="majorHAnsi" w:hAnsiTheme="majorHAnsi" w:cstheme="majorHAnsi"/>
          <w:sz w:val="24"/>
          <w:szCs w:val="24"/>
        </w:rPr>
        <w:t>Culture thresholds: ≥10⁴ CFU/mL for midstream urine; ≥10³ CFU/mL for Escherichia coli in midstream urine; and ≥10³ CFU/mL for a single catheterized sample.</w:t>
      </w:r>
    </w:p>
    <w:p w14:paraId="797DD275" w14:textId="77777777" w:rsidR="004A21F5" w:rsidRPr="001424F8" w:rsidRDefault="00000000" w:rsidP="00BF0129">
      <w:pPr>
        <w:spacing w:after="40" w:line="480" w:lineRule="auto"/>
        <w:ind w:left="115"/>
        <w:jc w:val="both"/>
        <w:rPr>
          <w:rFonts w:asciiTheme="majorHAnsi" w:hAnsiTheme="majorHAnsi" w:cstheme="majorHAnsi"/>
          <w:sz w:val="24"/>
          <w:szCs w:val="24"/>
        </w:rPr>
      </w:pPr>
      <w:r w:rsidRPr="001424F8">
        <w:rPr>
          <w:rFonts w:asciiTheme="majorHAnsi" w:hAnsiTheme="majorHAnsi" w:cstheme="majorHAnsi"/>
          <w:sz w:val="24"/>
          <w:szCs w:val="24"/>
        </w:rPr>
        <w:t>Age- and sex-specific score adjustments for women aged ≥65 yr in the original reference standard were not applicable to this all-male cohort.</w:t>
      </w:r>
    </w:p>
    <w:p w14:paraId="6AFFCF1B" w14:textId="77777777" w:rsidR="004A21F5" w:rsidRPr="001424F8" w:rsidRDefault="00000000" w:rsidP="00BF0129">
      <w:pPr>
        <w:spacing w:after="40" w:line="480" w:lineRule="auto"/>
        <w:ind w:left="115"/>
        <w:jc w:val="both"/>
        <w:rPr>
          <w:rFonts w:asciiTheme="majorHAnsi" w:hAnsiTheme="majorHAnsi" w:cstheme="majorHAnsi"/>
          <w:sz w:val="24"/>
          <w:szCs w:val="24"/>
        </w:rPr>
      </w:pPr>
      <w:r w:rsidRPr="001424F8">
        <w:rPr>
          <w:rFonts w:asciiTheme="majorHAnsi" w:hAnsiTheme="majorHAnsi" w:cstheme="majorHAnsi"/>
          <w:sz w:val="24"/>
          <w:szCs w:val="24"/>
        </w:rPr>
        <w:t>UTI = urinary tract infection; hpf = high-power field; CFU = colony-forming units.</w:t>
      </w:r>
    </w:p>
    <w:p w14:paraId="72B941B5" w14:textId="3712BF0B" w:rsidR="004A21F5" w:rsidRPr="001424F8" w:rsidRDefault="00000000" w:rsidP="00BF0129">
      <w:pPr>
        <w:spacing w:after="40" w:line="480" w:lineRule="auto"/>
        <w:ind w:left="115"/>
        <w:jc w:val="both"/>
        <w:rPr>
          <w:rFonts w:asciiTheme="majorHAnsi" w:hAnsiTheme="majorHAnsi" w:cstheme="majorHAnsi"/>
          <w:sz w:val="24"/>
          <w:szCs w:val="24"/>
        </w:rPr>
      </w:pPr>
      <w:r w:rsidRPr="001424F8">
        <w:rPr>
          <w:rFonts w:asciiTheme="majorHAnsi" w:hAnsiTheme="majorHAnsi" w:cstheme="majorHAnsi"/>
          <w:sz w:val="24"/>
          <w:szCs w:val="24"/>
        </w:rPr>
        <w:t xml:space="preserve">Adapted from </w:t>
      </w:r>
      <w:r w:rsidR="001424F8" w:rsidRPr="001424F8">
        <w:rPr>
          <w:rFonts w:asciiTheme="majorHAnsi" w:hAnsiTheme="majorHAnsi"/>
          <w:sz w:val="24"/>
          <w:szCs w:val="24"/>
        </w:rPr>
        <w:t>Bilsen et al.²</w:t>
      </w:r>
    </w:p>
    <w:sectPr w:rsidR="004A21F5" w:rsidRPr="001424F8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1402456">
    <w:abstractNumId w:val="8"/>
  </w:num>
  <w:num w:numId="2" w16cid:durableId="474565221">
    <w:abstractNumId w:val="6"/>
  </w:num>
  <w:num w:numId="3" w16cid:durableId="356467567">
    <w:abstractNumId w:val="5"/>
  </w:num>
  <w:num w:numId="4" w16cid:durableId="1734423358">
    <w:abstractNumId w:val="4"/>
  </w:num>
  <w:num w:numId="5" w16cid:durableId="1302151626">
    <w:abstractNumId w:val="7"/>
  </w:num>
  <w:num w:numId="6" w16cid:durableId="1829781202">
    <w:abstractNumId w:val="3"/>
  </w:num>
  <w:num w:numId="7" w16cid:durableId="2097088356">
    <w:abstractNumId w:val="2"/>
  </w:num>
  <w:num w:numId="8" w16cid:durableId="202407606">
    <w:abstractNumId w:val="1"/>
  </w:num>
  <w:num w:numId="9" w16cid:durableId="1610505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1B26"/>
    <w:rsid w:val="001424F8"/>
    <w:rsid w:val="0015074B"/>
    <w:rsid w:val="0029639D"/>
    <w:rsid w:val="00326F90"/>
    <w:rsid w:val="004A21F5"/>
    <w:rsid w:val="00585209"/>
    <w:rsid w:val="0078632B"/>
    <w:rsid w:val="008B6EDC"/>
    <w:rsid w:val="00AA1D8D"/>
    <w:rsid w:val="00B47730"/>
    <w:rsid w:val="00BF012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DBF60"/>
  <w14:defaultImageDpi w14:val="300"/>
  <w15:docId w15:val="{51FF5BE4-D3B5-4F62-9EFA-378BD6D2C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thibaut LONG DEPAQUIT</cp:lastModifiedBy>
  <cp:revision>3</cp:revision>
  <dcterms:created xsi:type="dcterms:W3CDTF">2026-09-26T11:51:00Z</dcterms:created>
  <dcterms:modified xsi:type="dcterms:W3CDTF">2026-09-26T11:52:00Z</dcterms:modified>
  <cp:category/>
</cp:coreProperties>
</file>