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78FEA">
      <w:pPr>
        <w:pStyle w:val="5"/>
        <w:keepNext w:val="0"/>
        <w:keepLines w:val="0"/>
        <w:widowControl/>
        <w:suppressLineNumbers w:val="0"/>
        <w:ind w:left="0" w:firstLine="0"/>
        <w:rPr>
          <w:rFonts w:hint="default" w:ascii="Times New Roman Bold" w:hAnsi="Times New Roman Bold" w:cs="Times New Roman Bold" w:eastAsiaTheme="minorEastAsia"/>
          <w:b/>
          <w:bCs/>
          <w:kern w:val="2"/>
          <w:sz w:val="21"/>
          <w:szCs w:val="21"/>
          <w:lang w:val="en-US" w:eastAsia="zh-CN" w:bidi="ar-SA"/>
        </w:rPr>
      </w:pPr>
      <w:r>
        <w:rPr>
          <w:rFonts w:hint="default" w:ascii="Times New Roman Bold" w:hAnsi="Times New Roman Bold" w:cs="Times New Roman Bold" w:eastAsiaTheme="minorEastAsia"/>
          <w:b/>
          <w:bCs/>
          <w:kern w:val="2"/>
          <w:sz w:val="21"/>
          <w:szCs w:val="21"/>
          <w:lang w:val="en-US" w:eastAsia="zh-CN" w:bidi="ar-SA"/>
        </w:rPr>
        <w:t>Supplementary Methods: Stimuli and task implementation</w:t>
      </w:r>
    </w:p>
    <w:p w14:paraId="7F5147A8">
      <w:pPr>
        <w:pStyle w:val="5"/>
        <w:keepNext w:val="0"/>
        <w:keepLines w:val="0"/>
        <w:widowControl/>
        <w:suppressLineNumbers w:val="0"/>
        <w:ind w:left="0" w:firstLine="0"/>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eastAsiaTheme="minorEastAsia"/>
          <w:kern w:val="2"/>
          <w:sz w:val="18"/>
          <w:szCs w:val="18"/>
          <w:lang w:val="en-US" w:eastAsia="zh-CN" w:bidi="ar-SA"/>
        </w:rPr>
        <w:t>The social information integration task was implemented in a facial-attractiveness judgment context. Facial attractiveness judgments were used because they provide socially evaluative decisions that can be revised after exposure to others’ opinions, while avoiding explicit reward or punishment feedback. This setting allowed social judgment updating to be examined under experimentally controlled feedback conditions.</w:t>
      </w:r>
    </w:p>
    <w:p w14:paraId="643357A0">
      <w:pPr>
        <w:pStyle w:val="5"/>
        <w:keepNext w:val="0"/>
        <w:keepLines w:val="0"/>
        <w:widowControl/>
        <w:suppressLineNumbers w:val="0"/>
        <w:ind w:left="0" w:firstLine="0"/>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eastAsiaTheme="minorEastAsia"/>
          <w:kern w:val="2"/>
          <w:sz w:val="18"/>
          <w:szCs w:val="18"/>
          <w:lang w:val="en-US" w:eastAsia="zh-CN" w:bidi="ar-SA"/>
        </w:rPr>
        <w:t xml:space="preserve">Face stimuli were selected from the frontal-normal subset of the CAS-PEAL-R1 database, a large-scale Chinese face database with standardized annotations for pose, expression, accessories and lighting. To reduce potential confounds from facial expression, head orientation and external visual cues, only grayscale frontal-view faces with neutral expressions and no visible accessories were used. All selected images were standardized in size, alignment and background before presentation. </w:t>
      </w:r>
    </w:p>
    <w:p w14:paraId="06BB9B2F">
      <w:pPr>
        <w:pStyle w:val="5"/>
        <w:keepNext w:val="0"/>
        <w:keepLines w:val="0"/>
        <w:widowControl/>
        <w:suppressLineNumbers w:val="0"/>
        <w:ind w:left="0" w:firstLine="0"/>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eastAsiaTheme="minorEastAsia"/>
          <w:kern w:val="2"/>
          <w:sz w:val="18"/>
          <w:szCs w:val="18"/>
          <w:lang w:val="en-US" w:eastAsia="zh-CN" w:bidi="ar-SA"/>
        </w:rPr>
        <w:t>Prior to the main experiment, an independent sample of 10 raters (five women; mean age = 27.6 years, SD = 2.3) evaluated the attractiveness of each candidate face using the same 10-point scale used in the experimental task. Inter-rater agreement was quantified using a two-way random-effects intraclass correlation coefficient for average measures across the rated pool, ICC(2,10) = 0.73, 95% CI [0.70, 0.76]. The corresponding single-rater reliability was ICC(2,1) = 0.45.</w:t>
      </w:r>
    </w:p>
    <w:p w14:paraId="3D01A59F">
      <w:pPr>
        <w:pStyle w:val="5"/>
        <w:keepNext w:val="0"/>
        <w:keepLines w:val="0"/>
        <w:widowControl/>
        <w:suppressLineNumbers w:val="0"/>
        <w:ind w:left="0" w:firstLine="0"/>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eastAsiaTheme="minorEastAsia"/>
          <w:kern w:val="2"/>
          <w:sz w:val="18"/>
          <w:szCs w:val="18"/>
          <w:lang w:val="en-US" w:eastAsia="zh-CN" w:bidi="ar-SA"/>
        </w:rPr>
        <w:t>Faces were retained when their mean attractiveness rating fell between 3.0 and 7.0, thereby reducing floor and ceiling effects and preserving sufficient rating range for upward and downward social-feedback manipulations. The final stimulus set comprised 160 unique faces (mean normative rating = 4.47, SD = 1.79).</w:t>
      </w:r>
      <w:r>
        <w:rPr>
          <w:rFonts w:hint="eastAsia" w:ascii="Times New Roman Regular" w:hAnsi="Times New Roman Regular" w:cs="Times New Roman Regular"/>
          <w:kern w:val="2"/>
          <w:sz w:val="18"/>
          <w:szCs w:val="18"/>
          <w:lang w:val="en-US" w:eastAsia="zh-CN" w:bidi="ar-SA"/>
        </w:rPr>
        <w:t xml:space="preserve"> </w:t>
      </w:r>
      <w:r>
        <w:rPr>
          <w:rFonts w:hint="default" w:ascii="Times New Roman Regular" w:hAnsi="Times New Roman Regular" w:cs="Times New Roman Regular" w:eastAsiaTheme="minorEastAsia"/>
          <w:kern w:val="2"/>
          <w:sz w:val="18"/>
          <w:szCs w:val="18"/>
          <w:lang w:val="en-US" w:eastAsia="zh-CN" w:bidi="ar-SA"/>
        </w:rPr>
        <w:t>The task comprised 153 experimental trials and seven interspersed attention-check trials. Trial order was randomized for each participant, and the display order of the peer and societal ratings was counterbalanced within participants. When a required feedback value could not be generated because the initial rating was ≤2 for lower feedback or ≥9 for higher feedback, that condition was re-presented later and regenerated from the participant’s new initial rating. A valid trial was a non-catch experimental trial with recorded initial, peer, societal, and final ratings.</w:t>
      </w:r>
    </w:p>
    <w:p w14:paraId="0C3F3FDB">
      <w:pPr>
        <w:keepNext w:val="0"/>
        <w:keepLines w:val="0"/>
        <w:widowControl/>
        <w:suppressLineNumbers w:val="0"/>
        <w:jc w:val="left"/>
        <w:rPr>
          <w:rFonts w:hint="default" w:ascii="Times New Roman Bold" w:hAnsi="Times New Roman Bold" w:cs="Times New Roman Bold" w:eastAsiaTheme="minorEastAsia"/>
          <w:b/>
          <w:bCs/>
          <w:kern w:val="2"/>
          <w:sz w:val="21"/>
          <w:szCs w:val="21"/>
          <w:lang w:val="en-US" w:eastAsia="zh-CN" w:bidi="ar-SA"/>
        </w:rPr>
      </w:pPr>
      <w:r>
        <w:rPr>
          <w:rFonts w:hint="default" w:ascii="Times New Roman Bold" w:hAnsi="Times New Roman Bold" w:cs="Times New Roman Bold" w:eastAsiaTheme="minorEastAsia"/>
          <w:b/>
          <w:bCs/>
          <w:kern w:val="2"/>
          <w:sz w:val="21"/>
          <w:szCs w:val="21"/>
          <w:lang w:val="en-US" w:eastAsia="zh-CN" w:bidi="ar-SA"/>
        </w:rPr>
        <w:t>Supplementary Methods:Peer familiarity</w:t>
      </w:r>
    </w:p>
    <w:p w14:paraId="39513FD1">
      <w:pPr>
        <w:keepNext w:val="0"/>
        <w:keepLines w:val="0"/>
        <w:widowControl/>
        <w:suppressLineNumbers w:val="0"/>
        <w:jc w:val="left"/>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eastAsiaTheme="minorEastAsia"/>
          <w:kern w:val="2"/>
          <w:sz w:val="18"/>
          <w:szCs w:val="18"/>
          <w:lang w:val="en-US" w:eastAsia="zh-CN" w:bidi="ar-SA"/>
        </w:rPr>
        <w:t>Peer familiarity was assessed before the experimental session as part of recruitment. Members of each triad attended the same session but completed the task individually at separate terminals and could not communicate during the task. This arrangement supported the cover story that the peer rating shown on each trial had been provided by a co-participant completing the task in the same session.</w:t>
      </w:r>
    </w:p>
    <w:p w14:paraId="2782CEB1">
      <w:pPr>
        <w:pStyle w:val="5"/>
        <w:keepNext w:val="0"/>
        <w:keepLines w:val="0"/>
        <w:widowControl/>
        <w:suppressLineNumbers w:val="0"/>
        <w:ind w:left="0" w:firstLine="0"/>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eastAsiaTheme="minorEastAsia"/>
          <w:kern w:val="2"/>
          <w:sz w:val="18"/>
          <w:szCs w:val="18"/>
          <w:lang w:val="en-US" w:eastAsia="zh-CN" w:bidi="ar-SA"/>
        </w:rPr>
        <w:t>Participants were told that they would see a peer rating and a general social group rating for each face. In fact, both ratings were computer-generated according to predefined condition rules. No post-task manipulation check assessed whether participants believed, trusted, or differentiated the two source labels. No financial or performance-contingent incentives were tied to task responses. After completing the task, all participants were fully debriefed about the computer-generated social feedback.</w:t>
      </w:r>
    </w:p>
    <w:p w14:paraId="38313BB3">
      <w:pPr>
        <w:jc w:val="both"/>
        <w:rPr>
          <w:rFonts w:hint="default"/>
          <w:sz w:val="18"/>
          <w:szCs w:val="18"/>
          <w:lang w:val="en-US"/>
        </w:rPr>
      </w:pPr>
      <w:r>
        <w:rPr>
          <w:rFonts w:hint="default" w:ascii="Times New Roman Bold" w:hAnsi="Times New Roman Bold" w:cs="Times New Roman Bold" w:eastAsiaTheme="minorEastAsia"/>
          <w:b/>
          <w:bCs/>
          <w:kern w:val="2"/>
          <w:sz w:val="21"/>
          <w:szCs w:val="21"/>
          <w:lang w:val="en-US" w:eastAsia="zh-CN" w:bidi="ar-SA"/>
        </w:rPr>
        <w:t>Supplementary Methods: Behavioral indices and sensitivity analyses</w:t>
      </w:r>
    </w:p>
    <w:p w14:paraId="2F293C86">
      <w:pPr>
        <w:pStyle w:val="5"/>
        <w:keepNext w:val="0"/>
        <w:keepLines w:val="0"/>
        <w:widowControl/>
        <w:suppressLineNumbers w:val="0"/>
        <w:ind w:left="0" w:firstLine="0"/>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eastAsiaTheme="minorEastAsia"/>
          <w:kern w:val="2"/>
          <w:sz w:val="18"/>
          <w:szCs w:val="18"/>
          <w:lang w:val="en-US" w:eastAsia="zh-CN" w:bidi="ar-SA"/>
        </w:rPr>
        <w:t xml:space="preserve">To assess sensitivity to the stabilizing constants, the source-directed indices were recomputed from the raw trial ratings using common constants across groups. The pooled specification used </w:t>
      </w:r>
      <m:oMath>
        <m:sSub>
          <m:sSubPr>
            <m:ctrlPr>
              <w:rPr>
                <w:rFonts w:ascii="Cambria Math" w:hAnsi="Cambria Math" w:cs="Times New Roman Regular"/>
                <w:bCs/>
                <w:i/>
                <w:sz w:val="18"/>
                <w:szCs w:val="18"/>
                <w:lang w:bidi="ar"/>
              </w:rPr>
            </m:ctrlPr>
          </m:sSubPr>
          <m:e>
            <m:r>
              <m:rPr/>
              <w:rPr>
                <w:rFonts w:hint="eastAsia" w:ascii="Cambria Math" w:hAnsi="Cambria Math" w:cs="Times New Roman Regular"/>
                <w:sz w:val="18"/>
                <w:szCs w:val="18"/>
                <w:lang w:bidi="ar"/>
              </w:rPr>
              <m:t>σ</m:t>
            </m:r>
            <m:ctrlPr>
              <w:rPr>
                <w:rFonts w:hint="eastAsia" w:ascii="Cambria Math" w:hAnsi="Cambria Math" w:cs="Times New Roman Regular"/>
                <w:bCs/>
                <w:i/>
                <w:sz w:val="18"/>
                <w:szCs w:val="18"/>
                <w:lang w:bidi="ar"/>
              </w:rPr>
            </m:ctrlPr>
          </m:e>
          <m:sub>
            <m:r>
              <m:rPr/>
              <w:rPr>
                <w:rFonts w:hint="eastAsia" w:ascii="Cambria Math" w:hAnsi="Cambria Math" w:cs="Times New Roman Regular"/>
                <w:sz w:val="18"/>
                <w:szCs w:val="18"/>
                <w:lang w:bidi="ar"/>
              </w:rPr>
              <m:t>peer</m:t>
            </m:r>
            <m:ctrlPr>
              <w:rPr>
                <w:rFonts w:ascii="Cambria Math" w:hAnsi="Cambria Math" w:cs="Times New Roman Regular"/>
                <w:bCs/>
                <w:i/>
                <w:sz w:val="18"/>
                <w:szCs w:val="18"/>
                <w:lang w:bidi="ar"/>
              </w:rPr>
            </m:ctrlPr>
          </m:sub>
        </m:sSub>
      </m:oMath>
      <w:r>
        <w:rPr>
          <w:rFonts w:hint="default" w:ascii="Times New Roman Regular" w:hAnsi="Times New Roman Regular" w:cs="Times New Roman Regular" w:eastAsiaTheme="minorEastAsia"/>
          <w:kern w:val="2"/>
          <w:sz w:val="18"/>
          <w:szCs w:val="18"/>
          <w:lang w:val="en-US" w:eastAsia="zh-CN" w:bidi="ar-SA"/>
        </w:rPr>
        <w:t xml:space="preserve"> = 2.13 and </w:t>
      </w:r>
      <m:oMath>
        <m:sSub>
          <m:sSubPr>
            <m:ctrlPr>
              <w:rPr>
                <w:rFonts w:ascii="Cambria Math" w:hAnsi="Cambria Math" w:cs="Times New Roman Regular"/>
                <w:bCs/>
                <w:i/>
                <w:sz w:val="18"/>
                <w:szCs w:val="18"/>
                <w:lang w:bidi="ar"/>
              </w:rPr>
            </m:ctrlPr>
          </m:sSubPr>
          <m:e>
            <m:r>
              <m:rPr/>
              <w:rPr>
                <w:rFonts w:hint="eastAsia" w:ascii="Cambria Math" w:hAnsi="Cambria Math" w:cs="Times New Roman Regular"/>
                <w:sz w:val="18"/>
                <w:szCs w:val="18"/>
                <w:lang w:bidi="ar"/>
              </w:rPr>
              <m:t>σ</m:t>
            </m:r>
            <m:ctrlPr>
              <w:rPr>
                <w:rFonts w:ascii="Cambria Math" w:hAnsi="Cambria Math" w:cs="Times New Roman Regular"/>
                <w:bCs/>
                <w:i/>
                <w:sz w:val="18"/>
                <w:szCs w:val="18"/>
                <w:lang w:bidi="ar"/>
              </w:rPr>
            </m:ctrlPr>
          </m:e>
          <m:sub>
            <m:r>
              <m:rPr/>
              <w:rPr>
                <w:rFonts w:hint="eastAsia" w:ascii="Cambria Math" w:hAnsi="Cambria Math" w:cs="Times New Roman Regular"/>
                <w:sz w:val="18"/>
                <w:szCs w:val="18"/>
                <w:lang w:bidi="ar"/>
              </w:rPr>
              <m:t>societal</m:t>
            </m:r>
            <m:ctrlPr>
              <w:rPr>
                <w:rFonts w:ascii="Cambria Math" w:hAnsi="Cambria Math" w:cs="Times New Roman Regular"/>
                <w:bCs/>
                <w:i/>
                <w:sz w:val="18"/>
                <w:szCs w:val="18"/>
                <w:lang w:bidi="ar"/>
              </w:rPr>
            </m:ctrlPr>
          </m:sub>
        </m:sSub>
      </m:oMath>
      <w:r>
        <w:rPr>
          <w:rFonts w:hint="default" w:ascii="Times New Roman Regular" w:hAnsi="Times New Roman Regular" w:cs="Times New Roman Regular" w:eastAsiaTheme="minorEastAsia"/>
          <w:kern w:val="2"/>
          <w:sz w:val="18"/>
          <w:szCs w:val="18"/>
          <w:lang w:val="en-US" w:eastAsia="zh-CN" w:bidi="ar-SA"/>
        </w:rPr>
        <w:t xml:space="preserve"> = 2.17, derived from all valid trials; fixed-constant specifications set both constants to 1 or 3. The Group × social-cue configuration × cue congruency interaction remained significant for peer-directed updating under pooled constants, F(2, 13100.68) = 38.67, p &lt; 0.001, fixed constants of 1, F(2, 13108.29) = 33.76, p &lt; 0.001, and fixed constants of 3, F(2, 13100.73) = 40.31, p &lt; 0.001. The corresponding societal-directed interactions were also significant under pooled constants, F(2, 13144.33) = 54.34, p &lt; 0.001, fixed constants of 1, F(2, 13148.63) = 64.05, p &lt; 0.001, and fixed constants of 3, F(2, 13140.71) = 49.99, p &lt; 0.001. Across specifications, the same four peer-directed and three societal-directed HC-MUD contrasts survived Holm correction, with unchanged signs; all remaining contrast-specific 95% CIs spanned zero.</w:t>
      </w:r>
    </w:p>
    <w:p w14:paraId="3EAFC480">
      <w:pPr>
        <w:jc w:val="both"/>
        <w:rPr>
          <w:rFonts w:hint="default"/>
          <w:sz w:val="18"/>
          <w:szCs w:val="18"/>
          <w:lang w:val="en-US"/>
        </w:rPr>
      </w:pPr>
      <w:r>
        <w:rPr>
          <w:rFonts w:hint="default" w:ascii="Times New Roman Bold" w:hAnsi="Times New Roman Bold" w:cs="Times New Roman Bold" w:eastAsiaTheme="minorEastAsia"/>
          <w:b/>
          <w:bCs/>
          <w:kern w:val="2"/>
          <w:sz w:val="21"/>
          <w:szCs w:val="21"/>
          <w:lang w:val="en-US" w:eastAsia="zh-CN" w:bidi="ar-SA"/>
        </w:rPr>
        <w:t>Supplementary Methods: Source-directed index coding</w:t>
      </w:r>
    </w:p>
    <w:p w14:paraId="707AE68D">
      <w:pPr>
        <w:pStyle w:val="5"/>
        <w:keepNext w:val="0"/>
        <w:keepLines w:val="0"/>
        <w:widowControl/>
        <w:suppressLineNumbers w:val="0"/>
        <w:ind w:left="0" w:firstLine="0"/>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eastAsiaTheme="minorEastAsia"/>
          <w:kern w:val="2"/>
          <w:sz w:val="18"/>
          <w:szCs w:val="18"/>
          <w:lang w:val="en-US" w:eastAsia="zh-CN" w:bidi="ar-SA"/>
        </w:rPr>
        <w:t>For each source j (peer or societal), let ΔR = final rating − initial rating and d_</w:t>
      </w:r>
      <w:r>
        <w:rPr>
          <w:rFonts w:hint="default" w:ascii="Times New Roman Regular" w:hAnsi="Times New Roman Regular" w:cs="Times New Roman Regular"/>
          <w:kern w:val="2"/>
          <w:sz w:val="18"/>
          <w:szCs w:val="18"/>
          <w:lang w:val="en-US" w:eastAsia="zh-CN" w:bidi="ar-SA"/>
        </w:rPr>
        <w:t>k</w:t>
      </w:r>
      <w:r>
        <w:rPr>
          <w:rFonts w:hint="default" w:ascii="Times New Roman Regular" w:hAnsi="Times New Roman Regular" w:cs="Times New Roman Regular" w:eastAsiaTheme="minorEastAsia"/>
          <w:kern w:val="2"/>
          <w:sz w:val="18"/>
          <w:szCs w:val="18"/>
          <w:lang w:val="en-US" w:eastAsia="zh-CN" w:bidi="ar-SA"/>
        </w:rPr>
        <w:t xml:space="preserve"> = source rating − initial rating. The historical secondary indices were ΔScore_</w:t>
      </w:r>
      <w:r>
        <w:rPr>
          <w:rFonts w:hint="default" w:ascii="Times New Roman Regular" w:hAnsi="Times New Roman Regular" w:cs="Times New Roman Regular"/>
          <w:kern w:val="2"/>
          <w:sz w:val="18"/>
          <w:szCs w:val="18"/>
          <w:lang w:val="en-US" w:eastAsia="zh-CN" w:bidi="ar-SA"/>
        </w:rPr>
        <w:t>k</w:t>
      </w:r>
      <w:r>
        <w:rPr>
          <w:rFonts w:hint="default" w:ascii="Times New Roman Regular" w:hAnsi="Times New Roman Regular" w:cs="Times New Roman Regular" w:eastAsiaTheme="minorEastAsia"/>
          <w:kern w:val="2"/>
          <w:sz w:val="18"/>
          <w:szCs w:val="18"/>
          <w:lang w:val="en-US" w:eastAsia="zh-CN" w:bidi="ar-SA"/>
        </w:rPr>
        <w:t xml:space="preserve"> = |ΔR|/(|d_</w:t>
      </w:r>
      <w:r>
        <w:rPr>
          <w:rFonts w:hint="default" w:ascii="Times New Roman Regular" w:hAnsi="Times New Roman Regular" w:cs="Times New Roman Regular"/>
          <w:kern w:val="2"/>
          <w:sz w:val="18"/>
          <w:szCs w:val="18"/>
          <w:lang w:val="en-US" w:eastAsia="zh-CN" w:bidi="ar-SA"/>
        </w:rPr>
        <w:t>k</w:t>
      </w:r>
      <w:r>
        <w:rPr>
          <w:rFonts w:hint="default" w:ascii="Times New Roman Regular" w:hAnsi="Times New Roman Regular" w:cs="Times New Roman Regular" w:eastAsiaTheme="minorEastAsia"/>
          <w:kern w:val="2"/>
          <w:sz w:val="18"/>
          <w:szCs w:val="18"/>
          <w:lang w:val="en-US" w:eastAsia="zh-CN" w:bidi="ar-SA"/>
        </w:rPr>
        <w:t>| + σ_</w:t>
      </w:r>
      <w:r>
        <w:rPr>
          <w:rFonts w:hint="default" w:ascii="Times New Roman Regular" w:hAnsi="Times New Roman Regular" w:cs="Times New Roman Regular"/>
          <w:kern w:val="2"/>
          <w:sz w:val="18"/>
          <w:szCs w:val="18"/>
          <w:lang w:val="en-US" w:eastAsia="zh-CN" w:bidi="ar-SA"/>
        </w:rPr>
        <w:t>k</w:t>
      </w:r>
      <w:r>
        <w:rPr>
          <w:rFonts w:hint="default" w:ascii="Times New Roman Regular" w:hAnsi="Times New Roman Regular" w:cs="Times New Roman Regular" w:eastAsiaTheme="minorEastAsia"/>
          <w:kern w:val="2"/>
          <w:sz w:val="18"/>
          <w:szCs w:val="18"/>
          <w:lang w:val="en-US" w:eastAsia="zh-CN" w:bidi="ar-SA"/>
        </w:rPr>
        <w:t>) × sign_</w:t>
      </w:r>
      <w:r>
        <w:rPr>
          <w:rFonts w:hint="default" w:ascii="Times New Roman Regular" w:hAnsi="Times New Roman Regular" w:cs="Times New Roman Regular"/>
          <w:kern w:val="2"/>
          <w:sz w:val="18"/>
          <w:szCs w:val="18"/>
          <w:lang w:val="en-US" w:eastAsia="zh-CN" w:bidi="ar-SA"/>
        </w:rPr>
        <w:t>k</w:t>
      </w:r>
      <w:r>
        <w:rPr>
          <w:rFonts w:hint="default" w:ascii="Times New Roman Regular" w:hAnsi="Times New Roman Regular" w:cs="Times New Roman Regular" w:eastAsiaTheme="minorEastAsia"/>
          <w:kern w:val="2"/>
          <w:sz w:val="18"/>
          <w:szCs w:val="18"/>
          <w:lang w:val="en-US" w:eastAsia="zh-CN" w:bidi="ar-SA"/>
        </w:rPr>
        <w:t>, where sign_</w:t>
      </w:r>
      <w:r>
        <w:rPr>
          <w:rFonts w:hint="default" w:ascii="Times New Roman Regular" w:hAnsi="Times New Roman Regular" w:cs="Times New Roman Regular"/>
          <w:kern w:val="2"/>
          <w:sz w:val="18"/>
          <w:szCs w:val="18"/>
          <w:lang w:val="en-US" w:eastAsia="zh-CN" w:bidi="ar-SA"/>
        </w:rPr>
        <w:t>k</w:t>
      </w:r>
      <w:r>
        <w:rPr>
          <w:rFonts w:hint="default" w:ascii="Times New Roman Regular" w:hAnsi="Times New Roman Regular" w:cs="Times New Roman Regular" w:eastAsiaTheme="minorEastAsia"/>
          <w:kern w:val="2"/>
          <w:sz w:val="18"/>
          <w:szCs w:val="18"/>
          <w:lang w:val="en-US" w:eastAsia="zh-CN" w:bidi="ar-SA"/>
        </w:rPr>
        <w:t xml:space="preserve"> = 0 when ΔR = 0, +1 when ΔR × d_</w:t>
      </w:r>
      <w:r>
        <w:rPr>
          <w:rFonts w:hint="default" w:ascii="Times New Roman Regular" w:hAnsi="Times New Roman Regular" w:cs="Times New Roman Regular"/>
          <w:kern w:val="2"/>
          <w:sz w:val="18"/>
          <w:szCs w:val="18"/>
          <w:lang w:val="en-US" w:eastAsia="zh-CN" w:bidi="ar-SA"/>
        </w:rPr>
        <w:t>k</w:t>
      </w:r>
      <w:r>
        <w:rPr>
          <w:rFonts w:hint="default" w:ascii="Times New Roman Regular" w:hAnsi="Times New Roman Regular" w:cs="Times New Roman Regular" w:eastAsiaTheme="minorEastAsia"/>
          <w:kern w:val="2"/>
          <w:sz w:val="18"/>
          <w:szCs w:val="18"/>
          <w:lang w:val="en-US" w:eastAsia="zh-CN" w:bidi="ar-SA"/>
        </w:rPr>
        <w:t xml:space="preserve"> &gt; 0, and −1 otherwise. Thus, a nonzero update when a source equalled the initial rating (d_</w:t>
      </w:r>
      <w:r>
        <w:rPr>
          <w:rFonts w:hint="default" w:ascii="Times New Roman Regular" w:hAnsi="Times New Roman Regular" w:cs="Times New Roman Regular"/>
          <w:kern w:val="2"/>
          <w:sz w:val="18"/>
          <w:szCs w:val="18"/>
          <w:lang w:val="en-US" w:eastAsia="zh-CN" w:bidi="ar-SA"/>
        </w:rPr>
        <w:t>k</w:t>
      </w:r>
      <w:r>
        <w:rPr>
          <w:rFonts w:hint="default" w:ascii="Times New Roman Regular" w:hAnsi="Times New Roman Regular" w:cs="Times New Roman Regular" w:eastAsiaTheme="minorEastAsia"/>
          <w:kern w:val="2"/>
          <w:sz w:val="18"/>
          <w:szCs w:val="18"/>
          <w:lang w:val="en-US" w:eastAsia="zh-CN" w:bidi="ar-SA"/>
        </w:rPr>
        <w:t xml:space="preserve"> = 0) was coded −1 for that source. When the two sources lay on opposite sides of the initial rating, signs were assigned separately for each source, so a single update could be positive for one source and negative for the other. An update that crossed a source rating retained a positive sign for that source when its direction from the initial rating was toward the source; coding did not use final distance from the source. In the pooled- and fixed-constant sensitivity recomputations, the alternative rule sign_</w:t>
      </w:r>
      <w:r>
        <w:rPr>
          <w:rFonts w:hint="default" w:ascii="Times New Roman Regular" w:hAnsi="Times New Roman Regular" w:cs="Times New Roman Regular"/>
          <w:kern w:val="2"/>
          <w:sz w:val="18"/>
          <w:szCs w:val="18"/>
          <w:lang w:val="en-US" w:eastAsia="zh-CN" w:bidi="ar-SA"/>
        </w:rPr>
        <w:t>k</w:t>
      </w:r>
      <w:r>
        <w:rPr>
          <w:rFonts w:hint="default" w:ascii="Times New Roman Regular" w:hAnsi="Times New Roman Regular" w:cs="Times New Roman Regular" w:eastAsiaTheme="minorEastAsia"/>
          <w:kern w:val="2"/>
          <w:sz w:val="18"/>
          <w:szCs w:val="18"/>
          <w:lang w:val="en-US" w:eastAsia="zh-CN" w:bidi="ar-SA"/>
        </w:rPr>
        <w:t xml:space="preserve"> = 0 was used when either ΔR = 0 or d_</w:t>
      </w:r>
      <w:r>
        <w:rPr>
          <w:rFonts w:hint="default" w:ascii="Times New Roman Regular" w:hAnsi="Times New Roman Regular" w:cs="Times New Roman Regular"/>
          <w:kern w:val="2"/>
          <w:sz w:val="18"/>
          <w:szCs w:val="18"/>
          <w:lang w:val="en-US" w:eastAsia="zh-CN" w:bidi="ar-SA"/>
        </w:rPr>
        <w:t>k</w:t>
      </w:r>
      <w:r>
        <w:rPr>
          <w:rFonts w:hint="default" w:ascii="Times New Roman Regular" w:hAnsi="Times New Roman Regular" w:cs="Times New Roman Regular" w:eastAsiaTheme="minorEastAsia"/>
          <w:kern w:val="2"/>
          <w:sz w:val="18"/>
          <w:szCs w:val="18"/>
          <w:lang w:val="en-US" w:eastAsia="zh-CN" w:bidi="ar-SA"/>
        </w:rPr>
        <w:t xml:space="preserve"> = 0; this source-zero convention was not substituted into the historical secondary outcomes.</w:t>
      </w:r>
    </w:p>
    <w:p w14:paraId="5639F145">
      <w:pPr>
        <w:pStyle w:val="5"/>
        <w:keepNext w:val="0"/>
        <w:keepLines w:val="0"/>
        <w:widowControl/>
        <w:suppressLineNumbers w:val="0"/>
        <w:ind w:left="0" w:firstLine="0"/>
        <w:rPr>
          <w:rFonts w:hint="default" w:ascii="Times New Roman Bold" w:hAnsi="Times New Roman Bold" w:cs="Times New Roman Bold" w:eastAsiaTheme="minorEastAsia"/>
          <w:b/>
          <w:bCs/>
          <w:kern w:val="2"/>
          <w:sz w:val="21"/>
          <w:szCs w:val="21"/>
          <w:lang w:val="en-US" w:eastAsia="zh-CN" w:bidi="ar-SA"/>
        </w:rPr>
      </w:pPr>
      <w:r>
        <w:rPr>
          <w:rFonts w:hint="default" w:ascii="Times New Roman Bold" w:hAnsi="Times New Roman Bold" w:cs="Times New Roman Bold" w:eastAsiaTheme="minorEastAsia"/>
          <w:b/>
          <w:bCs/>
          <w:kern w:val="2"/>
          <w:sz w:val="21"/>
          <w:szCs w:val="21"/>
          <w:lang w:val="en-US" w:eastAsia="zh-CN" w:bidi="ar-SA"/>
        </w:rPr>
        <w:t>Supplementary Methods and Results: Primary simultaneous-source model</w:t>
      </w:r>
    </w:p>
    <w:p w14:paraId="2A72625B">
      <w:pPr>
        <w:pStyle w:val="5"/>
        <w:keepNext w:val="0"/>
        <w:keepLines w:val="0"/>
        <w:widowControl/>
        <w:suppressLineNumbers w:val="0"/>
        <w:ind w:left="0" w:firstLine="0"/>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eastAsiaTheme="minorEastAsia"/>
          <w:kern w:val="2"/>
          <w:sz w:val="18"/>
          <w:szCs w:val="18"/>
          <w:lang w:val="en-US" w:eastAsia="zh-CN" w:bidi="ar-SA"/>
        </w:rPr>
        <w:t>The primary model was specified as</w:t>
      </w:r>
    </w:p>
    <w:p w14:paraId="481469DA">
      <w:pPr>
        <w:pStyle w:val="5"/>
        <w:keepNext w:val="0"/>
        <w:keepLines w:val="0"/>
        <w:widowControl/>
        <w:suppressLineNumbers w:val="0"/>
        <w:ind w:left="0" w:firstLine="0"/>
        <w:jc w:val="center"/>
        <w:rPr>
          <w:rFonts w:hint="default" w:ascii="Times New Roman Regular" w:hAnsi="Times New Roman Regular" w:cs="Times New Roman Regular" w:eastAsiaTheme="minorEastAsia"/>
          <w:kern w:val="2"/>
          <w:sz w:val="15"/>
          <w:szCs w:val="15"/>
          <w:lang w:val="en-US" w:eastAsia="zh-CN" w:bidi="ar-SA"/>
        </w:rPr>
      </w:pPr>
      <m:oMath>
        <m:r>
          <m:rPr/>
          <w:rPr>
            <w:rFonts w:ascii="Cambria Math" w:hAnsi="Cambria Math" w:cs="Times New Roman Regular"/>
            <w:sz w:val="15"/>
            <w:szCs w:val="15"/>
          </w:rPr>
          <m:t>Δ</m:t>
        </m:r>
        <m:sSub>
          <m:sSubPr>
            <m:ctrlPr>
              <w:rPr>
                <w:rFonts w:ascii="Cambria Math" w:hAnsi="Cambria Math" w:cs="Times New Roman Regular"/>
                <w:bCs/>
                <w:i/>
                <w:sz w:val="15"/>
                <w:szCs w:val="15"/>
              </w:rPr>
            </m:ctrlPr>
          </m:sSubPr>
          <m:e>
            <m:r>
              <m:rPr/>
              <w:rPr>
                <w:rFonts w:ascii="Cambria Math" w:hAnsi="Cambria Math" w:cs="Times New Roman Regular"/>
                <w:sz w:val="15"/>
                <w:szCs w:val="15"/>
              </w:rPr>
              <m:t>R</m:t>
            </m:r>
            <m:ctrlPr>
              <w:rPr>
                <w:rFonts w:ascii="Cambria Math" w:hAnsi="Cambria Math" w:cs="Times New Roman Regular"/>
                <w:bCs/>
                <w:i/>
                <w:sz w:val="15"/>
                <w:szCs w:val="15"/>
              </w:rPr>
            </m:ctrlPr>
          </m:e>
          <m:sub>
            <m:r>
              <m:rPr/>
              <w:rPr>
                <w:rFonts w:ascii="Cambria Math" w:hAnsi="Cambria Math" w:cs="Times New Roman Regular"/>
                <w:sz w:val="15"/>
                <w:szCs w:val="15"/>
              </w:rPr>
              <m:t>i</m:t>
            </m:r>
            <m:ctrlPr>
              <w:rPr>
                <w:rFonts w:ascii="Cambria Math" w:hAnsi="Cambria Math" w:cs="Times New Roman Regular"/>
                <w:bCs/>
                <w:i/>
                <w:sz w:val="15"/>
                <w:szCs w:val="15"/>
              </w:rPr>
            </m:ctrlPr>
          </m:sub>
        </m:sSub>
        <m:r>
          <m:rPr/>
          <w:rPr>
            <w:rFonts w:ascii="Cambria Math" w:hAnsi="Cambria Math" w:cs="Times New Roman Regular"/>
            <w:sz w:val="15"/>
            <w:szCs w:val="15"/>
          </w:rPr>
          <m:t>~Group×</m:t>
        </m:r>
        <m:d>
          <m:dPr>
            <m:ctrlPr>
              <w:rPr>
                <w:rFonts w:ascii="Cambria Math" w:hAnsi="Cambria Math" w:cs="Times New Roman Regular"/>
                <w:bCs/>
                <w:i/>
                <w:sz w:val="15"/>
                <w:szCs w:val="15"/>
              </w:rPr>
            </m:ctrlPr>
          </m:dPr>
          <m:e>
            <m:r>
              <m:rPr/>
              <w:rPr>
                <w:rFonts w:ascii="Cambria Math" w:hAnsi="Cambria Math" w:cs="Times New Roman Regular"/>
                <w:sz w:val="15"/>
                <w:szCs w:val="15"/>
              </w:rPr>
              <m:t>Δ</m:t>
            </m:r>
            <m:sSub>
              <w:bookmarkStart w:id="0" w:name="OLE_LINK3"/>
              <m:sSubPr>
                <m:ctrlPr>
                  <w:rPr>
                    <w:rFonts w:ascii="Cambria Math" w:hAnsi="Cambria Math" w:cs="Times New Roman Regular"/>
                    <w:bCs/>
                    <w:i/>
                    <w:sz w:val="15"/>
                    <w:szCs w:val="15"/>
                  </w:rPr>
                </m:ctrlPr>
              </m:sSubPr>
              <m:e>
                <m:r>
                  <m:rPr/>
                  <w:rPr>
                    <w:rFonts w:ascii="Cambria Math" w:hAnsi="Cambria Math" w:cs="Times New Roman Regular"/>
                    <w:sz w:val="15"/>
                    <w:szCs w:val="15"/>
                  </w:rPr>
                  <m:t>S</m:t>
                </m:r>
                <m:ctrlPr>
                  <w:rPr>
                    <w:rFonts w:ascii="Cambria Math" w:hAnsi="Cambria Math" w:cs="Times New Roman Regular"/>
                    <w:bCs/>
                    <w:i/>
                    <w:sz w:val="15"/>
                    <w:szCs w:val="15"/>
                  </w:rPr>
                </m:ctrlPr>
              </m:e>
              <m:sub>
                <m:r>
                  <m:rPr/>
                  <w:rPr>
                    <w:rFonts w:ascii="Cambria Math" w:hAnsi="Cambria Math" w:cs="Times New Roman Regular"/>
                    <w:sz w:val="15"/>
                    <w:szCs w:val="15"/>
                  </w:rPr>
                  <m:t>peer</m:t>
                </m:r>
                <w:bookmarkEnd w:id="0"/>
                <m:ctrlPr>
                  <w:rPr>
                    <w:rFonts w:ascii="Cambria Math" w:hAnsi="Cambria Math" w:cs="Times New Roman Regular"/>
                    <w:bCs/>
                    <w:i/>
                    <w:sz w:val="15"/>
                    <w:szCs w:val="15"/>
                  </w:rPr>
                </m:ctrlPr>
              </m:sub>
            </m:sSub>
            <m:r>
              <m:rPr/>
              <w:rPr>
                <w:rFonts w:ascii="Cambria Math" w:hAnsi="Cambria Math" w:cs="Times New Roman Regular"/>
                <w:sz w:val="15"/>
                <w:szCs w:val="15"/>
              </w:rPr>
              <m:t>,i+Δ</m:t>
            </m:r>
            <m:sSub>
              <m:sSubPr>
                <m:ctrlPr>
                  <w:rPr>
                    <w:rFonts w:ascii="Cambria Math" w:hAnsi="Cambria Math" w:cs="Times New Roman Regular"/>
                    <w:bCs/>
                    <w:i/>
                    <w:sz w:val="15"/>
                    <w:szCs w:val="15"/>
                  </w:rPr>
                </m:ctrlPr>
              </m:sSubPr>
              <m:e>
                <m:r>
                  <m:rPr/>
                  <w:rPr>
                    <w:rFonts w:ascii="Cambria Math" w:hAnsi="Cambria Math" w:cs="Times New Roman Regular"/>
                    <w:sz w:val="15"/>
                    <w:szCs w:val="15"/>
                  </w:rPr>
                  <m:t>S</m:t>
                </m:r>
                <m:ctrlPr>
                  <w:rPr>
                    <w:rFonts w:ascii="Cambria Math" w:hAnsi="Cambria Math" w:cs="Times New Roman Regular"/>
                    <w:bCs/>
                    <w:i/>
                    <w:sz w:val="15"/>
                    <w:szCs w:val="15"/>
                  </w:rPr>
                </m:ctrlPr>
              </m:e>
              <m:sub>
                <m:r>
                  <m:rPr/>
                  <w:rPr>
                    <w:rFonts w:ascii="Cambria Math" w:hAnsi="Cambria Math" w:cs="Times New Roman Regular"/>
                    <w:sz w:val="15"/>
                    <w:szCs w:val="15"/>
                  </w:rPr>
                  <m:t>societal</m:t>
                </m:r>
                <m:ctrlPr>
                  <w:rPr>
                    <w:rFonts w:ascii="Cambria Math" w:hAnsi="Cambria Math" w:cs="Times New Roman Regular"/>
                    <w:bCs/>
                    <w:i/>
                    <w:sz w:val="15"/>
                    <w:szCs w:val="15"/>
                  </w:rPr>
                </m:ctrlPr>
              </m:sub>
            </m:sSub>
            <m:r>
              <m:rPr/>
              <w:rPr>
                <w:rFonts w:ascii="Cambria Math" w:hAnsi="Cambria Math" w:cs="Times New Roman Regular"/>
                <w:sz w:val="15"/>
                <w:szCs w:val="15"/>
              </w:rPr>
              <m:t>,i</m:t>
            </m:r>
            <m:ctrlPr>
              <w:rPr>
                <w:rFonts w:ascii="Cambria Math" w:hAnsi="Cambria Math" w:cs="Times New Roman Regular"/>
                <w:bCs/>
                <w:i/>
                <w:sz w:val="15"/>
                <w:szCs w:val="15"/>
              </w:rPr>
            </m:ctrlPr>
          </m:e>
        </m:d>
        <m:r>
          <m:rPr/>
          <w:rPr>
            <w:rFonts w:ascii="Cambria Math" w:hAnsi="Cambria Math" w:cs="Times New Roman Regular"/>
            <w:sz w:val="15"/>
            <w:szCs w:val="15"/>
          </w:rPr>
          <m:t>+</m:t>
        </m:r>
        <m:d>
          <m:dPr>
            <m:ctrlPr>
              <w:rPr>
                <w:rFonts w:ascii="Cambria Math" w:hAnsi="Cambria Math" w:cs="Times New Roman Regular"/>
                <w:bCs/>
                <w:i/>
                <w:sz w:val="15"/>
                <w:szCs w:val="15"/>
              </w:rPr>
            </m:ctrlPr>
          </m:dPr>
          <m:e>
            <m:r>
              <m:rPr/>
              <w:rPr>
                <w:rFonts w:ascii="Cambria Math" w:hAnsi="Cambria Math" w:cs="Times New Roman Regular"/>
                <w:sz w:val="15"/>
                <w:szCs w:val="15"/>
              </w:rPr>
              <m:t>1+Δ</m:t>
            </m:r>
            <m:sSub>
              <m:sSubPr>
                <m:ctrlPr>
                  <w:rPr>
                    <w:rFonts w:ascii="Cambria Math" w:hAnsi="Cambria Math" w:cs="Times New Roman Regular"/>
                    <w:bCs/>
                    <w:i/>
                    <w:sz w:val="15"/>
                    <w:szCs w:val="15"/>
                  </w:rPr>
                </m:ctrlPr>
              </m:sSubPr>
              <m:e>
                <m:r>
                  <m:rPr/>
                  <w:rPr>
                    <w:rFonts w:ascii="Cambria Math" w:hAnsi="Cambria Math" w:cs="Times New Roman Regular"/>
                    <w:sz w:val="15"/>
                    <w:szCs w:val="15"/>
                  </w:rPr>
                  <m:t>S</m:t>
                </m:r>
                <m:ctrlPr>
                  <w:rPr>
                    <w:rFonts w:ascii="Cambria Math" w:hAnsi="Cambria Math" w:cs="Times New Roman Regular"/>
                    <w:bCs/>
                    <w:i/>
                    <w:sz w:val="15"/>
                    <w:szCs w:val="15"/>
                  </w:rPr>
                </m:ctrlPr>
              </m:e>
              <m:sub>
                <m:r>
                  <m:rPr/>
                  <w:rPr>
                    <w:rFonts w:ascii="Cambria Math" w:hAnsi="Cambria Math" w:cs="Times New Roman Regular"/>
                    <w:sz w:val="15"/>
                    <w:szCs w:val="15"/>
                  </w:rPr>
                  <m:t>peer</m:t>
                </m:r>
                <m:ctrlPr>
                  <w:rPr>
                    <w:rFonts w:ascii="Cambria Math" w:hAnsi="Cambria Math" w:cs="Times New Roman Regular"/>
                    <w:bCs/>
                    <w:i/>
                    <w:sz w:val="15"/>
                    <w:szCs w:val="15"/>
                  </w:rPr>
                </m:ctrlPr>
              </m:sub>
            </m:sSub>
            <m:r>
              <m:rPr/>
              <w:rPr>
                <w:rFonts w:ascii="Cambria Math" w:hAnsi="Cambria Math" w:cs="Times New Roman Regular"/>
                <w:sz w:val="15"/>
                <w:szCs w:val="15"/>
              </w:rPr>
              <m:t>,i+Δ</m:t>
            </m:r>
            <m:sSub>
              <m:sSubPr>
                <m:ctrlPr>
                  <w:rPr>
                    <w:rFonts w:ascii="Cambria Math" w:hAnsi="Cambria Math" w:cs="Times New Roman Regular"/>
                    <w:bCs/>
                    <w:i/>
                    <w:sz w:val="15"/>
                    <w:szCs w:val="15"/>
                  </w:rPr>
                </m:ctrlPr>
              </m:sSubPr>
              <m:e>
                <m:r>
                  <m:rPr/>
                  <w:rPr>
                    <w:rFonts w:ascii="Cambria Math" w:hAnsi="Cambria Math" w:cs="Times New Roman Regular"/>
                    <w:sz w:val="15"/>
                    <w:szCs w:val="15"/>
                  </w:rPr>
                  <m:t>S</m:t>
                </m:r>
                <m:ctrlPr>
                  <w:rPr>
                    <w:rFonts w:ascii="Cambria Math" w:hAnsi="Cambria Math" w:cs="Times New Roman Regular"/>
                    <w:bCs/>
                    <w:i/>
                    <w:sz w:val="15"/>
                    <w:szCs w:val="15"/>
                  </w:rPr>
                </m:ctrlPr>
              </m:e>
              <m:sub>
                <m:r>
                  <m:rPr/>
                  <w:rPr>
                    <w:rFonts w:ascii="Cambria Math" w:hAnsi="Cambria Math" w:cs="Times New Roman Regular"/>
                    <w:sz w:val="15"/>
                    <w:szCs w:val="15"/>
                  </w:rPr>
                  <m:t>societal</m:t>
                </m:r>
                <m:ctrlPr>
                  <w:rPr>
                    <w:rFonts w:ascii="Cambria Math" w:hAnsi="Cambria Math" w:cs="Times New Roman Regular"/>
                    <w:bCs/>
                    <w:i/>
                    <w:sz w:val="15"/>
                    <w:szCs w:val="15"/>
                  </w:rPr>
                </m:ctrlPr>
              </m:sub>
            </m:sSub>
            <m:r>
              <m:rPr/>
              <w:rPr>
                <w:rFonts w:ascii="Cambria Math" w:hAnsi="Cambria Math" w:cs="Times New Roman Regular"/>
                <w:sz w:val="15"/>
                <w:szCs w:val="15"/>
              </w:rPr>
              <m:t>,i</m:t>
            </m:r>
            <m:ctrlPr>
              <w:rPr>
                <w:rFonts w:ascii="Cambria Math" w:hAnsi="Cambria Math" w:cs="Times New Roman Regular"/>
                <w:bCs/>
                <w:i/>
                <w:sz w:val="15"/>
                <w:szCs w:val="15"/>
              </w:rPr>
            </m:ctrlPr>
          </m:e>
          <m:e>
            <m:r>
              <m:rPr/>
              <w:rPr>
                <w:rFonts w:ascii="Cambria Math" w:hAnsi="Cambria Math" w:cs="Times New Roman Regular"/>
                <w:sz w:val="15"/>
                <w:szCs w:val="15"/>
              </w:rPr>
              <m:t>participant</m:t>
            </m:r>
            <m:ctrlPr>
              <w:rPr>
                <w:rFonts w:ascii="Cambria Math" w:hAnsi="Cambria Math" w:cs="Times New Roman Regular"/>
                <w:bCs/>
                <w:i/>
                <w:sz w:val="15"/>
                <w:szCs w:val="15"/>
              </w:rPr>
            </m:ctrlPr>
          </m:e>
        </m:d>
        <m:r>
          <m:rPr/>
          <w:rPr>
            <w:rFonts w:ascii="Cambria Math" w:hAnsi="Cambria Math" w:cs="Times New Roman Regular"/>
            <w:sz w:val="15"/>
            <w:szCs w:val="15"/>
          </w:rPr>
          <m:t>+</m:t>
        </m:r>
        <m:d>
          <m:dPr>
            <m:ctrlPr>
              <w:rPr>
                <w:rFonts w:ascii="Cambria Math" w:hAnsi="Cambria Math" w:cs="Times New Roman Regular"/>
                <w:bCs/>
                <w:i/>
                <w:sz w:val="15"/>
                <w:szCs w:val="15"/>
              </w:rPr>
            </m:ctrlPr>
          </m:dPr>
          <m:e>
            <m:r>
              <m:rPr/>
              <w:rPr>
                <w:rFonts w:ascii="Cambria Math" w:hAnsi="Cambria Math" w:cs="Times New Roman Regular"/>
                <w:sz w:val="15"/>
                <w:szCs w:val="15"/>
              </w:rPr>
              <m:t>1</m:t>
            </m:r>
            <m:ctrlPr>
              <w:rPr>
                <w:rFonts w:ascii="Cambria Math" w:hAnsi="Cambria Math" w:cs="Times New Roman Regular"/>
                <w:bCs/>
                <w:i/>
                <w:sz w:val="15"/>
                <w:szCs w:val="15"/>
              </w:rPr>
            </m:ctrlPr>
          </m:e>
          <m:e>
            <m:r>
              <m:rPr/>
              <w:rPr>
                <w:rFonts w:ascii="Cambria Math" w:hAnsi="Cambria Math" w:cs="Times New Roman Regular"/>
                <w:sz w:val="15"/>
                <w:szCs w:val="15"/>
              </w:rPr>
              <m:t>face</m:t>
            </m:r>
            <m:ctrlPr>
              <w:rPr>
                <w:rFonts w:ascii="Cambria Math" w:hAnsi="Cambria Math" w:cs="Times New Roman Regular"/>
                <w:bCs/>
                <w:i/>
                <w:sz w:val="15"/>
                <w:szCs w:val="15"/>
              </w:rPr>
            </m:ctrlPr>
          </m:e>
        </m:d>
      </m:oMath>
      <w:r>
        <w:rPr>
          <w:rFonts w:ascii="Times New Roman Regular" w:hAnsi="Times New Roman Regular" w:cs="Times New Roman Regular"/>
          <w:bCs/>
          <w:sz w:val="15"/>
          <w:szCs w:val="15"/>
        </w:rPr>
        <w:t>.</w:t>
      </w:r>
    </w:p>
    <w:p w14:paraId="6DB3AFDB">
      <w:pPr>
        <w:pStyle w:val="5"/>
        <w:keepNext w:val="0"/>
        <w:keepLines w:val="0"/>
        <w:widowControl/>
        <w:suppressLineNumbers w:val="0"/>
        <w:ind w:left="0" w:firstLine="0"/>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eastAsiaTheme="minorEastAsia"/>
          <w:kern w:val="2"/>
          <w:sz w:val="18"/>
          <w:szCs w:val="18"/>
          <w:lang w:val="en-US" w:eastAsia="zh-CN" w:bidi="ar-SA"/>
        </w:rPr>
        <w:t>Discrepancy predictors were entered in their original rating-scale units without centering or scaling; Group was treatment-coded with HC as the reference level; the model was estimated by maximum likelihood with an unstructured participant-level random-effects covariance. The model included 13,310 valid trials from 87 participants and 153 faces and did not show a singular fit. Complete fixed-effect estimates are reported in Supplementary Table 5. Participant random-effects correlations were 0.19 between the intercept and peer-discrepancy slope, 0.05 between the intercept and societal-discrepancy slope, and 0.52 between the two source slopes. The residual variance was 0.7537 (SD = 0.8682), with the full random-effects and diagnostic summary provided in Supplementary Table 6.</w:t>
      </w:r>
    </w:p>
    <w:p w14:paraId="4A85CD74">
      <w:pPr>
        <w:pStyle w:val="5"/>
        <w:keepNext w:val="0"/>
        <w:keepLines w:val="0"/>
        <w:widowControl/>
        <w:suppressLineNumbers w:val="0"/>
        <w:ind w:left="0" w:firstLine="0"/>
        <w:rPr>
          <w:rFonts w:hint="default" w:ascii="Times New Roman Regular" w:hAnsi="Times New Roman Regular" w:cs="Times New Roman Regular" w:eastAsiaTheme="minorEastAsia"/>
          <w:kern w:val="2"/>
          <w:sz w:val="18"/>
          <w:szCs w:val="18"/>
          <w:lang w:val="en-US" w:eastAsia="zh-CN" w:bidi="ar-SA"/>
        </w:rPr>
      </w:pPr>
      <w:r>
        <w:rPr>
          <w:rFonts w:hint="default" w:ascii="Times New Roman Bold" w:hAnsi="Times New Roman Bold" w:cs="Times New Roman Bold" w:eastAsiaTheme="minorEastAsia"/>
          <w:b/>
          <w:bCs/>
          <w:kern w:val="2"/>
          <w:sz w:val="21"/>
          <w:szCs w:val="21"/>
          <w:lang w:val="en-US" w:eastAsia="zh-CN" w:bidi="ar-SA"/>
        </w:rPr>
        <w:t>Supplementary Methods</w:t>
      </w:r>
      <w:r>
        <w:rPr>
          <w:rFonts w:hint="default" w:ascii="Times New Roman Bold" w:hAnsi="Times New Roman Bold" w:cs="Times New Roman Bold"/>
          <w:b/>
          <w:bCs/>
          <w:kern w:val="2"/>
          <w:sz w:val="21"/>
          <w:szCs w:val="21"/>
          <w:lang w:val="en-US" w:eastAsia="zh-CN" w:bidi="ar-SA"/>
        </w:rPr>
        <w:t>: Secondary model selection</w:t>
      </w:r>
    </w:p>
    <w:p w14:paraId="288F50F5">
      <w:pPr>
        <w:keepNext w:val="0"/>
        <w:keepLines w:val="0"/>
        <w:widowControl/>
        <w:suppressLineNumbers w:val="0"/>
        <w:jc w:val="left"/>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eastAsiaTheme="minorEastAsia"/>
          <w:kern w:val="2"/>
          <w:sz w:val="18"/>
          <w:szCs w:val="18"/>
          <w:lang w:val="en-US" w:eastAsia="zh-CN" w:bidi="ar-SA"/>
        </w:rPr>
        <w:t>Random-effects specifications for the secondary analyses were evaluated from more to less complex structures. The maximal structure,</w:t>
      </w:r>
      <w:r>
        <w:rPr>
          <w:rFonts w:hint="eastAsia" w:ascii="Times New Roman Regular" w:hAnsi="Times New Roman Regular" w:cs="Times New Roman Regular"/>
          <w:kern w:val="2"/>
          <w:sz w:val="18"/>
          <w:szCs w:val="18"/>
          <w:lang w:val="en-US" w:eastAsia="zh-CN" w:bidi="ar-SA"/>
        </w:rPr>
        <w:t xml:space="preserve"> </w:t>
      </w:r>
      <w:r>
        <w:rPr>
          <w:rFonts w:hint="default" w:ascii="Times New Roman Regular" w:hAnsi="Times New Roman Regular" w:cs="Times New Roman Regular" w:eastAsiaTheme="minorEastAsia"/>
          <w:kern w:val="2"/>
          <w:sz w:val="18"/>
          <w:szCs w:val="18"/>
          <w:lang w:val="en-US" w:eastAsia="zh-CN" w:bidi="ar-SA"/>
        </w:rPr>
        <w:t>(1+configuration</w:t>
      </w:r>
      <w:r>
        <w:rPr>
          <w:rFonts w:hint="eastAsia" w:ascii="Times New Roman Regular" w:hAnsi="Times New Roman Regular" w:cs="Times New Roman Regular"/>
          <w:kern w:val="2"/>
          <w:sz w:val="18"/>
          <w:szCs w:val="18"/>
          <w:lang w:val="en-US" w:eastAsia="zh-CN" w:bidi="ar-SA"/>
        </w:rPr>
        <w:t>*</w:t>
      </w:r>
      <w:r>
        <w:rPr>
          <w:rFonts w:hint="default" w:ascii="Times New Roman Regular" w:hAnsi="Times New Roman Regular" w:cs="Times New Roman Regular" w:eastAsiaTheme="minorEastAsia"/>
          <w:kern w:val="2"/>
          <w:sz w:val="18"/>
          <w:szCs w:val="18"/>
          <w:lang w:val="en-US" w:eastAsia="zh-CN" w:bidi="ar-SA"/>
        </w:rPr>
        <w:t>congruenc</w:t>
      </w:r>
      <w:r>
        <w:rPr>
          <w:rFonts w:hint="default" w:ascii="Times New Roman Regular" w:hAnsi="Times New Roman Regular" w:cs="Times New Roman Regular"/>
          <w:kern w:val="2"/>
          <w:sz w:val="18"/>
          <w:szCs w:val="18"/>
          <w:lang w:val="en-US" w:eastAsia="zh-CN" w:bidi="ar-SA"/>
        </w:rPr>
        <w:t xml:space="preserve">y | </w:t>
      </w:r>
      <w:r>
        <w:rPr>
          <w:rFonts w:hint="default" w:ascii="Times New Roman Regular" w:hAnsi="Times New Roman Regular" w:cs="Times New Roman Regular" w:eastAsiaTheme="minorEastAsia"/>
          <w:kern w:val="2"/>
          <w:sz w:val="18"/>
          <w:szCs w:val="18"/>
          <w:lang w:val="en-US" w:eastAsia="zh-CN" w:bidi="ar-SA"/>
        </w:rPr>
        <w:t>participant)+(1</w:t>
      </w:r>
      <w:r>
        <w:rPr>
          <w:rFonts w:hint="default" w:ascii="Times New Roman Regular" w:hAnsi="Times New Roman Regular" w:cs="Times New Roman Regular"/>
          <w:kern w:val="2"/>
          <w:sz w:val="18"/>
          <w:szCs w:val="18"/>
          <w:lang w:val="en-US" w:eastAsia="zh-CN" w:bidi="ar-SA"/>
        </w:rPr>
        <w:t xml:space="preserve">| </w:t>
      </w:r>
      <w:r>
        <w:rPr>
          <w:rFonts w:hint="default" w:ascii="Times New Roman Regular" w:hAnsi="Times New Roman Regular" w:cs="Times New Roman Regular" w:eastAsiaTheme="minorEastAsia"/>
          <w:kern w:val="2"/>
          <w:sz w:val="18"/>
          <w:szCs w:val="18"/>
          <w:lang w:val="en-US" w:eastAsia="zh-CN" w:bidi="ar-SA"/>
        </w:rPr>
        <w:t>face), and the structure omitting only the participant-level configuration-by-congruency slope,</w:t>
      </w:r>
      <w:r>
        <w:rPr>
          <w:rFonts w:hint="eastAsia" w:ascii="Times New Roman Regular" w:hAnsi="Times New Roman Regular" w:cs="Times New Roman Regular"/>
          <w:kern w:val="2"/>
          <w:sz w:val="18"/>
          <w:szCs w:val="18"/>
          <w:lang w:val="en-US" w:eastAsia="zh-CN" w:bidi="ar-SA"/>
        </w:rPr>
        <w:t xml:space="preserve"> </w:t>
      </w:r>
      <w:r>
        <w:rPr>
          <w:rFonts w:hint="default" w:ascii="Times New Roman Regular" w:hAnsi="Times New Roman Regular" w:cs="Times New Roman Regular" w:eastAsiaTheme="minorEastAsia"/>
          <w:kern w:val="2"/>
          <w:sz w:val="18"/>
          <w:szCs w:val="18"/>
          <w:lang w:val="en-US" w:eastAsia="zh-CN" w:bidi="ar-SA"/>
        </w:rPr>
        <w:t>(1+configuration</w:t>
      </w:r>
      <w:r>
        <w:rPr>
          <w:rFonts w:hint="default" w:ascii="Times New Roman Regular" w:hAnsi="Times New Roman Regular" w:cs="Times New Roman Regular"/>
          <w:kern w:val="2"/>
          <w:sz w:val="18"/>
          <w:szCs w:val="18"/>
          <w:lang w:val="en-US" w:eastAsia="zh-CN" w:bidi="ar-SA"/>
        </w:rPr>
        <w:t>+</w:t>
      </w:r>
      <w:r>
        <w:rPr>
          <w:rFonts w:hint="default" w:ascii="Times New Roman Regular" w:hAnsi="Times New Roman Regular" w:cs="Times New Roman Regular" w:eastAsiaTheme="minorEastAsia"/>
          <w:kern w:val="2"/>
          <w:sz w:val="18"/>
          <w:szCs w:val="18"/>
          <w:lang w:val="en-US" w:eastAsia="zh-CN" w:bidi="ar-SA"/>
        </w:rPr>
        <w:t>congruenc</w:t>
      </w:r>
      <w:r>
        <w:rPr>
          <w:rFonts w:hint="default" w:ascii="Times New Roman Regular" w:hAnsi="Times New Roman Regular" w:cs="Times New Roman Regular"/>
          <w:kern w:val="2"/>
          <w:sz w:val="18"/>
          <w:szCs w:val="18"/>
          <w:lang w:val="en-US" w:eastAsia="zh-CN" w:bidi="ar-SA"/>
        </w:rPr>
        <w:t xml:space="preserve">y | </w:t>
      </w:r>
      <w:r>
        <w:rPr>
          <w:rFonts w:hint="default" w:ascii="Times New Roman Regular" w:hAnsi="Times New Roman Regular" w:cs="Times New Roman Regular" w:eastAsiaTheme="minorEastAsia"/>
          <w:kern w:val="2"/>
          <w:sz w:val="18"/>
          <w:szCs w:val="18"/>
          <w:lang w:val="en-US" w:eastAsia="zh-CN" w:bidi="ar-SA"/>
        </w:rPr>
        <w:t>participant)+(1</w:t>
      </w:r>
      <w:r>
        <w:rPr>
          <w:rFonts w:hint="default" w:ascii="Times New Roman Regular" w:hAnsi="Times New Roman Regular" w:cs="Times New Roman Regular"/>
          <w:kern w:val="2"/>
          <w:sz w:val="18"/>
          <w:szCs w:val="18"/>
          <w:lang w:val="en-US" w:eastAsia="zh-CN" w:bidi="ar-SA"/>
        </w:rPr>
        <w:t xml:space="preserve">| </w:t>
      </w:r>
      <w:r>
        <w:rPr>
          <w:rFonts w:hint="default" w:ascii="Times New Roman Regular" w:hAnsi="Times New Roman Regular" w:cs="Times New Roman Regular" w:eastAsiaTheme="minorEastAsia"/>
          <w:kern w:val="2"/>
          <w:sz w:val="18"/>
          <w:szCs w:val="18"/>
          <w:lang w:val="en-US" w:eastAsia="zh-CN" w:bidi="ar-SA"/>
        </w:rPr>
        <w:t xml:space="preserve">face) , converged but produced boundary singular fits for both source-directed outcomes. The configuration-slope structure with a crossed face intercept, </w:t>
      </w:r>
      <w:r>
        <w:rPr>
          <w:rFonts w:hint="eastAsia" w:ascii="Times New Roman Regular" w:hAnsi="Times New Roman Regular" w:cs="Times New Roman Regular"/>
          <w:kern w:val="2"/>
          <w:sz w:val="18"/>
          <w:szCs w:val="18"/>
          <w:lang w:val="en-US" w:eastAsia="zh-CN" w:bidi="ar-SA"/>
        </w:rPr>
        <w:t xml:space="preserve"> </w:t>
      </w:r>
      <w:r>
        <w:rPr>
          <w:rFonts w:hint="default" w:ascii="Times New Roman Regular" w:hAnsi="Times New Roman Regular" w:cs="Times New Roman Regular" w:eastAsiaTheme="minorEastAsia"/>
          <w:kern w:val="2"/>
          <w:sz w:val="18"/>
          <w:szCs w:val="18"/>
          <w:lang w:val="en-US" w:eastAsia="zh-CN" w:bidi="ar-SA"/>
        </w:rPr>
        <w:t>(1+configuration</w:t>
      </w:r>
      <w:r>
        <w:rPr>
          <w:rFonts w:hint="default" w:ascii="Times New Roman Regular" w:hAnsi="Times New Roman Regular" w:cs="Times New Roman Regular"/>
          <w:kern w:val="2"/>
          <w:sz w:val="18"/>
          <w:szCs w:val="18"/>
          <w:lang w:val="en-US" w:eastAsia="zh-CN" w:bidi="ar-SA"/>
        </w:rPr>
        <w:t xml:space="preserve"> | </w:t>
      </w:r>
      <w:r>
        <w:rPr>
          <w:rFonts w:hint="default" w:ascii="Times New Roman Regular" w:hAnsi="Times New Roman Regular" w:cs="Times New Roman Regular" w:eastAsiaTheme="minorEastAsia"/>
          <w:kern w:val="2"/>
          <w:sz w:val="18"/>
          <w:szCs w:val="18"/>
          <w:lang w:val="en-US" w:eastAsia="zh-CN" w:bidi="ar-SA"/>
        </w:rPr>
        <w:t>participant)+(1</w:t>
      </w:r>
      <w:r>
        <w:rPr>
          <w:rFonts w:hint="default" w:ascii="Times New Roman Regular" w:hAnsi="Times New Roman Regular" w:cs="Times New Roman Regular"/>
          <w:kern w:val="2"/>
          <w:sz w:val="18"/>
          <w:szCs w:val="18"/>
          <w:lang w:val="en-US" w:eastAsia="zh-CN" w:bidi="ar-SA"/>
        </w:rPr>
        <w:t xml:space="preserve">| </w:t>
      </w:r>
      <w:r>
        <w:rPr>
          <w:rFonts w:hint="default" w:ascii="Times New Roman Regular" w:hAnsi="Times New Roman Regular" w:cs="Times New Roman Regular" w:eastAsiaTheme="minorEastAsia"/>
          <w:kern w:val="2"/>
          <w:sz w:val="18"/>
          <w:szCs w:val="18"/>
          <w:lang w:val="en-US" w:eastAsia="zh-CN" w:bidi="ar-SA"/>
        </w:rPr>
        <w:t xml:space="preserve">face), was nonsingular for peer-directed updating but remained singular for societal-directed updating. To preserve the same prespecified participant-slope specification across the two secondary outcomes, the models reported in the main text retained </w:t>
      </w:r>
      <w:r>
        <w:rPr>
          <w:rFonts w:hint="eastAsia" w:ascii="Times New Roman Regular" w:hAnsi="Times New Roman Regular" w:cs="Times New Roman Regular"/>
          <w:kern w:val="2"/>
          <w:sz w:val="18"/>
          <w:szCs w:val="18"/>
          <w:lang w:val="en-US" w:eastAsia="zh-CN" w:bidi="ar-SA"/>
        </w:rPr>
        <w:t xml:space="preserve"> </w:t>
      </w:r>
      <w:r>
        <w:rPr>
          <w:rFonts w:hint="default" w:ascii="Times New Roman Regular" w:hAnsi="Times New Roman Regular" w:cs="Times New Roman Regular" w:eastAsiaTheme="minorEastAsia"/>
          <w:kern w:val="2"/>
          <w:sz w:val="18"/>
          <w:szCs w:val="18"/>
          <w:lang w:val="en-US" w:eastAsia="zh-CN" w:bidi="ar-SA"/>
        </w:rPr>
        <w:t>(1+configuration</w:t>
      </w:r>
      <w:r>
        <w:rPr>
          <w:rFonts w:hint="default" w:ascii="Times New Roman Regular" w:hAnsi="Times New Roman Regular" w:cs="Times New Roman Regular"/>
          <w:kern w:val="2"/>
          <w:sz w:val="18"/>
          <w:szCs w:val="18"/>
          <w:lang w:val="en-US" w:eastAsia="zh-CN" w:bidi="ar-SA"/>
        </w:rPr>
        <w:t xml:space="preserve"> | </w:t>
      </w:r>
      <w:r>
        <w:rPr>
          <w:rFonts w:hint="default" w:ascii="Times New Roman Regular" w:hAnsi="Times New Roman Regular" w:cs="Times New Roman Regular" w:eastAsiaTheme="minorEastAsia"/>
          <w:kern w:val="2"/>
          <w:sz w:val="18"/>
          <w:szCs w:val="18"/>
          <w:lang w:val="en-US" w:eastAsia="zh-CN" w:bidi="ar-SA"/>
        </w:rPr>
        <w:t>participant)</w:t>
      </w:r>
      <w:r>
        <w:rPr>
          <w:rFonts w:hint="default" w:ascii="Times New Roman Regular" w:hAnsi="Times New Roman Regular" w:cs="Times New Roman Regular"/>
          <w:kern w:val="2"/>
          <w:sz w:val="18"/>
          <w:szCs w:val="18"/>
          <w:lang w:val="en-US" w:eastAsia="zh-CN" w:bidi="ar-SA"/>
        </w:rPr>
        <w:t xml:space="preserve"> </w:t>
      </w:r>
      <w:r>
        <w:rPr>
          <w:rFonts w:hint="default" w:ascii="Times New Roman Regular" w:hAnsi="Times New Roman Regular" w:cs="Times New Roman Regular" w:eastAsiaTheme="minorEastAsia"/>
          <w:kern w:val="2"/>
          <w:sz w:val="18"/>
          <w:szCs w:val="18"/>
          <w:lang w:val="en-US" w:eastAsia="zh-CN" w:bidi="ar-SA"/>
        </w:rPr>
        <w:t>without a face intercept. This decision was based on structural comparability and convergence diagnostics, not on fixed-effect significance. In the simpler estimable crossed-intercept specification, the key HC–MUD contrasts remained directionally consistent, including -0.090 [95% CI</w:t>
      </w:r>
      <w:r>
        <w:rPr>
          <w:rFonts w:hint="default" w:ascii="Times New Roman Regular" w:hAnsi="Times New Roman Regular" w:cs="Times New Roman Regular"/>
          <w:kern w:val="2"/>
          <w:sz w:val="18"/>
          <w:szCs w:val="18"/>
          <w:lang w:val="en-US" w:eastAsia="zh-CN" w:bidi="ar-SA"/>
        </w:rPr>
        <w:t xml:space="preserve"> </w:t>
      </w:r>
      <w:r>
        <w:rPr>
          <w:rFonts w:hint="default" w:ascii="Times New Roman Regular" w:hAnsi="Times New Roman Regular" w:cs="Times New Roman Regular" w:eastAsiaTheme="minorEastAsia"/>
          <w:kern w:val="2"/>
          <w:sz w:val="18"/>
          <w:szCs w:val="18"/>
          <w:lang w:val="en-US" w:eastAsia="zh-CN" w:bidi="ar-SA"/>
        </w:rPr>
        <w:t>-0.119,-0.062] for peer-directed updating in the peer-aligned congruent condition and</w:t>
      </w:r>
      <w:r>
        <w:rPr>
          <w:rFonts w:hint="default" w:ascii="Times New Roman Regular" w:hAnsi="Times New Roman Regular" w:cs="Times New Roman Regular"/>
          <w:kern w:val="2"/>
          <w:sz w:val="18"/>
          <w:szCs w:val="18"/>
          <w:lang w:val="en-US" w:eastAsia="zh-CN" w:bidi="ar-SA"/>
        </w:rPr>
        <w:t xml:space="preserve"> </w:t>
      </w:r>
      <w:r>
        <w:rPr>
          <w:rFonts w:hint="default" w:ascii="Times New Roman Regular" w:hAnsi="Times New Roman Regular" w:cs="Times New Roman Regular" w:eastAsiaTheme="minorEastAsia"/>
          <w:kern w:val="2"/>
          <w:sz w:val="18"/>
          <w:szCs w:val="18"/>
          <w:lang w:val="en-US" w:eastAsia="zh-CN" w:bidi="ar-SA"/>
        </w:rPr>
        <w:t>-0.164 [-0.194,-0.135] for societal-directed updating in the societal-aligned congruent condition.</w:t>
      </w:r>
    </w:p>
    <w:p w14:paraId="74819030">
      <w:pPr>
        <w:keepNext w:val="0"/>
        <w:keepLines w:val="0"/>
        <w:widowControl/>
        <w:suppressLineNumbers w:val="0"/>
        <w:jc w:val="left"/>
        <w:rPr>
          <w:rFonts w:hint="default" w:ascii="Times New Roman Bold" w:hAnsi="Times New Roman Bold" w:cs="Times New Roman Bold" w:eastAsiaTheme="minorEastAsia"/>
          <w:b/>
          <w:bCs/>
          <w:kern w:val="2"/>
          <w:sz w:val="21"/>
          <w:szCs w:val="21"/>
          <w:lang w:val="en-US" w:eastAsia="zh-CN" w:bidi="ar-SA"/>
        </w:rPr>
      </w:pPr>
    </w:p>
    <w:p w14:paraId="01A2040A">
      <w:pPr>
        <w:keepNext w:val="0"/>
        <w:keepLines w:val="0"/>
        <w:widowControl/>
        <w:suppressLineNumbers w:val="0"/>
        <w:jc w:val="left"/>
        <w:rPr>
          <w:rFonts w:hint="default" w:ascii="Times New Roman Regular" w:hAnsi="Times New Roman Regular" w:cs="Times New Roman Regular" w:eastAsiaTheme="minorEastAsia"/>
          <w:kern w:val="2"/>
          <w:sz w:val="18"/>
          <w:szCs w:val="18"/>
          <w:lang w:val="en-US" w:eastAsia="zh-CN" w:bidi="ar-SA"/>
        </w:rPr>
      </w:pPr>
      <w:r>
        <w:rPr>
          <w:rFonts w:hint="default" w:ascii="Times New Roman Bold" w:hAnsi="Times New Roman Bold" w:cs="Times New Roman Bold" w:eastAsiaTheme="minorEastAsia"/>
          <w:b/>
          <w:bCs/>
          <w:kern w:val="2"/>
          <w:sz w:val="21"/>
          <w:szCs w:val="21"/>
          <w:lang w:val="en-US" w:eastAsia="zh-CN" w:bidi="ar-SA"/>
        </w:rPr>
        <w:t>Supplementary Methods: Leave-one-participant-out prediction</w:t>
      </w:r>
      <w:r>
        <w:rPr>
          <w:rFonts w:hint="default" w:ascii="Times New Roman Regular" w:hAnsi="Times New Roman Regular" w:cs="Times New Roman Regular" w:eastAsiaTheme="minorEastAsia"/>
          <w:kern w:val="2"/>
          <w:sz w:val="18"/>
          <w:szCs w:val="18"/>
          <w:lang w:val="en-US" w:eastAsia="zh-CN" w:bidi="ar-SA"/>
        </w:rPr>
        <w:br w:type="textWrapping"/>
      </w:r>
      <w:r>
        <w:rPr>
          <w:rFonts w:hint="default" w:ascii="Times New Roman Regular" w:hAnsi="Times New Roman Regular" w:cs="Times New Roman Regular" w:eastAsiaTheme="minorEastAsia"/>
          <w:kern w:val="2"/>
          <w:sz w:val="18"/>
          <w:szCs w:val="18"/>
          <w:lang w:val="en-US" w:eastAsia="zh-CN" w:bidi="ar-SA"/>
        </w:rPr>
        <w:t>Leave-one-participant-out prediction was performed separately within each diagnostic group. In each fold, all valid trials from one participant were held out, and the equal-weight composite model was fitted to the remaining participants. The fitted intercept and composite-feedback weight were applied to the held-out participant’s composite discrepancy. The no-update baseline predicted zero rating change, the intercept-only baseline used the training-fold mean rating change, and the source-specific baseline was fitted within the training fold. Relative held-out MSE reduction was defined as 100 × [1 − MSEmodel/MSEno-update], where MSE was aggregated across all held-out trials within a diagnostic group. This quantity is a relative error reduction and is distinct from conventional centered-outcome R². Bootstrap intervals resampled participants within group and retained all trials from each sampled participant. Pearson’s r, RMSE, MAE, relative MSE reductions, and comparisons with the alternative baselines are reported in Supplementary Table 9</w:t>
      </w:r>
      <w:r>
        <w:rPr>
          <w:rFonts w:hint="default" w:ascii="Times New Roman Regular" w:hAnsi="Times New Roman Regular" w:cs="Times New Roman Regular"/>
          <w:kern w:val="2"/>
          <w:sz w:val="18"/>
          <w:szCs w:val="18"/>
          <w:lang w:val="en-US" w:eastAsia="zh-CN" w:bidi="ar-SA"/>
        </w:rPr>
        <w:t>.</w:t>
      </w:r>
    </w:p>
    <w:p w14:paraId="276DDF8D">
      <w:pPr>
        <w:keepNext w:val="0"/>
        <w:keepLines w:val="0"/>
        <w:widowControl/>
        <w:suppressLineNumbers w:val="0"/>
        <w:jc w:val="left"/>
        <w:rPr>
          <w:rFonts w:hint="default" w:ascii="Times New Roman Regular" w:hAnsi="Times New Roman Regular" w:cs="Times New Roman Regular" w:eastAsiaTheme="minorEastAsia"/>
          <w:kern w:val="2"/>
          <w:sz w:val="18"/>
          <w:szCs w:val="18"/>
          <w:lang w:val="en-US" w:eastAsia="zh-CN" w:bidi="ar-SA"/>
        </w:rPr>
      </w:pPr>
    </w:p>
    <w:p w14:paraId="0A7EA2D2">
      <w:pPr>
        <w:pStyle w:val="5"/>
        <w:keepNext w:val="0"/>
        <w:keepLines w:val="0"/>
        <w:widowControl/>
        <w:suppressLineNumbers w:val="0"/>
        <w:ind w:left="0" w:firstLine="0"/>
        <w:rPr>
          <w:rFonts w:hint="default" w:ascii="Times New Roman Regular" w:hAnsi="Times New Roman Regular" w:cs="Times New Roman Regular" w:eastAsiaTheme="minorEastAsia"/>
          <w:b w:val="0"/>
          <w:bCs w:val="0"/>
          <w:kern w:val="2"/>
          <w:sz w:val="18"/>
          <w:szCs w:val="18"/>
          <w:lang w:val="en-US" w:eastAsia="zh-CN" w:bidi="ar-SA"/>
        </w:rPr>
      </w:pPr>
      <w:r>
        <w:rPr>
          <w:rFonts w:hint="default" w:ascii="Times New Roman Bold" w:hAnsi="Times New Roman Bold" w:cs="Times New Roman Bold" w:eastAsiaTheme="minorEastAsia"/>
          <w:b/>
          <w:bCs/>
          <w:kern w:val="2"/>
          <w:sz w:val="21"/>
          <w:szCs w:val="21"/>
          <w:lang w:val="en-US" w:eastAsia="zh-CN" w:bidi="ar-SA"/>
        </w:rPr>
        <w:t>Supplementary Methods: Computational-model fitting and BIC comparison</w:t>
      </w:r>
    </w:p>
    <w:p w14:paraId="4FD28EAA">
      <w:pPr>
        <w:pStyle w:val="5"/>
        <w:keepNext w:val="0"/>
        <w:keepLines w:val="0"/>
        <w:widowControl/>
        <w:suppressLineNumbers w:val="0"/>
        <w:ind w:left="0" w:firstLine="0"/>
        <w:rPr>
          <w:rFonts w:hint="default" w:ascii="Times New Roman Regular" w:hAnsi="Times New Roman Regular" w:cs="Times New Roman Regular"/>
          <w:kern w:val="2"/>
          <w:sz w:val="18"/>
          <w:szCs w:val="18"/>
          <w:lang w:val="en-US" w:eastAsia="zh-CN" w:bidi="ar-SA"/>
        </w:rPr>
      </w:pPr>
      <w:r>
        <w:rPr>
          <w:rFonts w:hint="default" w:ascii="Times New Roman Regular" w:hAnsi="Times New Roman Regular" w:cs="Times New Roman Regular"/>
          <w:kern w:val="2"/>
          <w:sz w:val="18"/>
          <w:szCs w:val="18"/>
          <w:lang w:val="en-US" w:eastAsia="zh-CN" w:bidi="ar-SA"/>
        </w:rPr>
        <w:t>Individual models were optimized by maximum likelihood with SciPy L-BFGS-B. The independent-source and equal-weight composite models used 20 perturbed starts; the convergence-amplification model used 30. OLS fits supplied initial intercept, source-weight, and residual-scale values for the first two models; the convergence-amplification model was initialized from the independent-source fit with γ = 0. Each start added normally distributed perturbations (SD = 0.2 for b0, weights, and γ; SD = 0.1 for logσ), and the solution with the lowest negative log-likelihood was retained. This multistart procedure reduced sensitivity to starting values; no separate threshold-based local-optimum test was implemented. All parameters were unconstrained during optimization except that σ = exp(logσ) was positive by construction. Optimizer status was recorded for every fit and was not used as an exclusion rule. In the observed individual-level fits, 2 of 261 fits (0.8%; both for one MUD participant) returned a non-success flag but finite likelihood and BIC values. In empirical model-recovery refits, 49 of 15,660 fits (0.31%) returned a non-success flag.</w:t>
      </w:r>
    </w:p>
    <w:p w14:paraId="63E53C29">
      <w:pPr>
        <w:pStyle w:val="5"/>
        <w:keepNext w:val="0"/>
        <w:keepLines w:val="0"/>
        <w:widowControl/>
        <w:suppressLineNumbers w:val="0"/>
        <w:ind w:left="0" w:firstLine="0"/>
        <w:rPr>
          <w:rFonts w:ascii="Times New Roman Regular" w:hAnsi="Times New Roman Regular" w:cs="Times New Roman Regular" w:eastAsiaTheme="minorEastAsia"/>
          <w:kern w:val="2"/>
          <w:sz w:val="18"/>
          <w:szCs w:val="18"/>
          <w:lang w:val="en-US" w:eastAsia="zh-CN" w:bidi="ar-SA"/>
        </w:rPr>
      </w:pPr>
      <w:r>
        <w:rPr>
          <w:rFonts w:ascii="Times New Roman Regular" w:hAnsi="Times New Roman Regular" w:cs="Times New Roman Regular"/>
          <w:kern w:val="2"/>
          <w:sz w:val="18"/>
          <w:szCs w:val="18"/>
          <w:lang w:bidi="ar-SA"/>
        </w:rPr>
        <w:t xml:space="preserve">For individual-level model comparison, approximate evidence was calculated as exp(−BIC_m/2), normalized across the three candidate models, and used as the responsibility q_m. A unit Dirichlet prior was updated with the summed responsibilities; 200,000 Dirichlet draws were generated in NumPy 1.26.4 (seed = 42) to obtain expected model frequencies and ordinary exceedance probabilities. </w:t>
      </w:r>
      <w:r>
        <w:rPr>
          <w:rFonts w:ascii="Times New Roman Regular" w:hAnsi="Times New Roman Regular" w:cs="Times New Roman Regular" w:eastAsiaTheme="minorEastAsia"/>
          <w:kern w:val="2"/>
          <w:sz w:val="18"/>
          <w:szCs w:val="18"/>
          <w:lang w:val="en-US" w:eastAsia="zh-CN" w:bidi="ar-SA"/>
        </w:rPr>
        <w:t>The ordinary exceedance probability for the equal-weight composite model was &gt; .999 in the full sample, .988 in controls, and &gt; .999 in participants with MUD. Ordinary exceedance probability summarizes relative expected frequency under this BIC-based Dirichlet approximation; it is not the probability that the model is true and does not resolve overlap among the nested candidate formulations.</w:t>
      </w:r>
    </w:p>
    <w:p w14:paraId="4BD37C64">
      <w:pPr>
        <w:pStyle w:val="5"/>
        <w:keepNext w:val="0"/>
        <w:keepLines w:val="0"/>
        <w:widowControl/>
        <w:suppressLineNumbers w:val="0"/>
        <w:ind w:left="0" w:firstLine="0"/>
        <w:rPr>
          <w:rFonts w:hint="default" w:ascii="Times New Roman Regular" w:hAnsi="Times New Roman Regular" w:cs="Times New Roman Regular" w:eastAsiaTheme="minorEastAsia"/>
          <w:b w:val="0"/>
          <w:bCs w:val="0"/>
          <w:kern w:val="2"/>
          <w:sz w:val="18"/>
          <w:szCs w:val="18"/>
          <w:lang w:val="en-US" w:eastAsia="zh-CN" w:bidi="ar-SA"/>
        </w:rPr>
      </w:pPr>
      <w:r>
        <w:rPr>
          <w:rFonts w:hint="default" w:ascii="Times New Roman Bold" w:hAnsi="Times New Roman Bold" w:cs="Times New Roman Bold" w:eastAsiaTheme="minorEastAsia"/>
          <w:b/>
          <w:bCs/>
          <w:kern w:val="2"/>
          <w:sz w:val="21"/>
          <w:szCs w:val="21"/>
          <w:lang w:val="en-US" w:eastAsia="zh-CN" w:bidi="ar-SA"/>
        </w:rPr>
        <w:t>Supplementary Methods: Model recovery and parameter-space identifiability</w:t>
      </w:r>
    </w:p>
    <w:p w14:paraId="673FAE1F">
      <w:pPr>
        <w:pStyle w:val="5"/>
        <w:keepNext w:val="0"/>
        <w:keepLines w:val="0"/>
        <w:widowControl/>
        <w:suppressLineNumbers w:val="0"/>
        <w:ind w:left="0" w:firstLine="0"/>
        <w:rPr>
          <w:rFonts w:ascii="Times New Roman Regular" w:hAnsi="Times New Roman Regular" w:cs="Times New Roman Regular"/>
          <w:kern w:val="2"/>
          <w:sz w:val="18"/>
          <w:szCs w:val="18"/>
          <w:lang w:bidi="ar-SA"/>
        </w:rPr>
      </w:pPr>
      <w:r>
        <w:rPr>
          <w:rFonts w:ascii="Times New Roman Regular" w:hAnsi="Times New Roman Regular" w:cs="Times New Roman Regular"/>
          <w:kern w:val="2"/>
          <w:sz w:val="18"/>
          <w:szCs w:val="18"/>
          <w:lang w:bidi="ar-SA"/>
        </w:rPr>
        <w:t>These quantities are descriptive BIC-based approximations rather than protected exceedance probabilities or Bayesian omnibus risk. Simulation-based identifiability analysis preserved the empirical trial structures and used Gaussian residual noise. The independent-source, equal-weight composite, and convergence-amplification models had four, three, and five fitted parameters, respectively, including residual variance, and were compared using the lowest BIC. Residual noise was varied at 0.35, 0.70, 1.05, and 1.40 times the standard deviation of the peer–societal mean discrepancy. Signal correlation was 0, 0.25, 0.50, 0.75, or 0.90. Source weights were asymmetric (</w:t>
      </w:r>
      <m:oMath>
        <m:sSub>
          <m:sSubPr>
            <m:ctrlPr>
              <w:rPr>
                <w:rFonts w:ascii="Cambria Math" w:hAnsi="Cambria Math" w:cs="Times New Roman Regular"/>
                <w:bCs/>
                <w:i/>
                <w:sz w:val="18"/>
                <w:szCs w:val="18"/>
              </w:rPr>
            </m:ctrlPr>
          </m:sSubPr>
          <m:e>
            <m:r>
              <m:rPr/>
              <w:rPr>
                <w:rFonts w:ascii="Cambria Math" w:hAnsi="Cambria Math" w:cs="Times New Roman Regular"/>
                <w:sz w:val="18"/>
                <w:szCs w:val="18"/>
              </w:rPr>
              <m:t>ω</m:t>
            </m:r>
            <m:ctrlPr>
              <w:rPr>
                <w:rFonts w:ascii="Cambria Math" w:hAnsi="Cambria Math" w:cs="Times New Roman Regular"/>
                <w:bCs/>
                <w:i/>
                <w:sz w:val="18"/>
                <w:szCs w:val="18"/>
              </w:rPr>
            </m:ctrlPr>
          </m:e>
          <m:sub>
            <m:r>
              <m:rPr/>
              <w:rPr>
                <w:rFonts w:ascii="Cambria Math" w:hAnsi="Cambria Math" w:cs="Times New Roman Regular"/>
                <w:sz w:val="18"/>
                <w:szCs w:val="18"/>
              </w:rPr>
              <m:t>p</m:t>
            </m:r>
            <m:ctrlPr>
              <w:rPr>
                <w:rFonts w:ascii="Cambria Math" w:hAnsi="Cambria Math" w:cs="Times New Roman Regular"/>
                <w:bCs/>
                <w:i/>
                <w:sz w:val="18"/>
                <w:szCs w:val="18"/>
              </w:rPr>
            </m:ctrlPr>
          </m:sub>
        </m:sSub>
      </m:oMath>
      <w:r>
        <w:rPr>
          <w:rFonts w:ascii="Times New Roman Regular" w:hAnsi="Times New Roman Regular" w:cs="Times New Roman Regular"/>
          <w:kern w:val="2"/>
          <w:sz w:val="18"/>
          <w:szCs w:val="18"/>
          <w:lang w:bidi="ar-SA"/>
        </w:rPr>
        <w:t xml:space="preserve">, </w:t>
      </w:r>
      <m:oMath>
        <m:sSub>
          <m:sSubPr>
            <m:ctrlPr>
              <w:rPr>
                <w:rFonts w:ascii="Cambria Math" w:hAnsi="Cambria Math" w:cs="Times New Roman Regular"/>
                <w:bCs/>
                <w:i/>
                <w:sz w:val="18"/>
                <w:szCs w:val="18"/>
              </w:rPr>
            </m:ctrlPr>
          </m:sSubPr>
          <m:e>
            <m:r>
              <m:rPr/>
              <w:rPr>
                <w:rFonts w:ascii="Cambria Math" w:hAnsi="Cambria Math" w:cs="Times New Roman Regular"/>
                <w:sz w:val="18"/>
                <w:szCs w:val="18"/>
              </w:rPr>
              <m:t>ω</m:t>
            </m:r>
            <m:ctrlPr>
              <w:rPr>
                <w:rFonts w:ascii="Cambria Math" w:hAnsi="Cambria Math" w:cs="Times New Roman Regular"/>
                <w:bCs/>
                <w:i/>
                <w:sz w:val="18"/>
                <w:szCs w:val="18"/>
              </w:rPr>
            </m:ctrlPr>
          </m:e>
          <m:sub>
            <m:r>
              <m:rPr/>
              <w:rPr>
                <w:rFonts w:ascii="Cambria Math" w:hAnsi="Cambria Math" w:cs="Times New Roman Regular"/>
                <w:sz w:val="18"/>
                <w:szCs w:val="18"/>
              </w:rPr>
              <m:t>g</m:t>
            </m:r>
            <m:ctrlPr>
              <w:rPr>
                <w:rFonts w:ascii="Cambria Math" w:hAnsi="Cambria Math" w:cs="Times New Roman Regular"/>
                <w:bCs/>
                <w:i/>
                <w:sz w:val="18"/>
                <w:szCs w:val="18"/>
              </w:rPr>
            </m:ctrlPr>
          </m:sub>
        </m:sSub>
      </m:oMath>
      <w:r>
        <w:rPr>
          <w:rFonts w:ascii="Times New Roman Regular" w:hAnsi="Times New Roman Regular" w:cs="Times New Roman Regular"/>
          <w:kern w:val="2"/>
          <w:sz w:val="18"/>
          <w:szCs w:val="18"/>
          <w:lang w:bidi="ar-SA"/>
        </w:rPr>
        <w:t xml:space="preserve"> = 1.05, 0.15), moderate (0.80, 0.45), or near equal (0.65, 0.60), and γ was 0, 0.05, 0.10, 0.25, 0.50, or 1.00. For the equal-weight composite model, </w:t>
      </w:r>
      <m:oMath>
        <m:sSub>
          <m:sSubPr>
            <m:ctrlPr>
              <w:rPr>
                <w:rFonts w:ascii="Cambria Math" w:hAnsi="Cambria Math" w:cs="Times New Roman Regular"/>
                <w:bCs/>
                <w:i/>
                <w:sz w:val="18"/>
                <w:szCs w:val="18"/>
              </w:rPr>
            </m:ctrlPr>
          </m:sSubPr>
          <m:e>
            <m:r>
              <m:rPr/>
              <w:rPr>
                <w:rFonts w:ascii="Cambria Math" w:hAnsi="Cambria Math" w:cs="Times New Roman Regular"/>
                <w:sz w:val="18"/>
                <w:szCs w:val="18"/>
              </w:rPr>
              <m:t>ω</m:t>
            </m:r>
            <m:ctrlPr>
              <w:rPr>
                <w:rFonts w:ascii="Cambria Math" w:hAnsi="Cambria Math" w:cs="Times New Roman Regular"/>
                <w:bCs/>
                <w:i/>
                <w:sz w:val="18"/>
                <w:szCs w:val="18"/>
              </w:rPr>
            </m:ctrlPr>
          </m:e>
          <m:sub>
            <m:r>
              <m:rPr/>
              <w:rPr>
                <w:rFonts w:hint="eastAsia" w:ascii="DejaVu Math TeX Gyre" w:hAnsi="DejaVu Math TeX Gyre" w:cs="Times New Roman Regular"/>
                <w:sz w:val="18"/>
                <w:szCs w:val="18"/>
                <w:lang w:val="en-US" w:eastAsia="zh-CN"/>
              </w:rPr>
              <m:t>s</m:t>
            </m:r>
            <m:ctrlPr>
              <w:rPr>
                <w:rFonts w:ascii="Cambria Math" w:hAnsi="Cambria Math" w:cs="Times New Roman Regular"/>
                <w:bCs/>
                <w:i/>
                <w:sz w:val="18"/>
                <w:szCs w:val="18"/>
              </w:rPr>
            </m:ctrlPr>
          </m:sub>
        </m:sSub>
      </m:oMath>
      <w:r>
        <w:rPr>
          <w:rFonts w:ascii="Times New Roman Regular" w:hAnsi="Times New Roman Regular" w:cs="Times New Roman Regular"/>
          <w:kern w:val="2"/>
          <w:sz w:val="18"/>
          <w:szCs w:val="18"/>
          <w:lang w:bidi="ar-SA"/>
        </w:rPr>
        <w:t xml:space="preserve"> = </w:t>
      </w:r>
      <m:oMath>
        <m:sSub>
          <m:sSubPr>
            <m:ctrlPr>
              <w:rPr>
                <w:rFonts w:ascii="Cambria Math" w:hAnsi="Cambria Math" w:cs="Times New Roman Regular"/>
                <w:bCs/>
                <w:i/>
                <w:sz w:val="18"/>
                <w:szCs w:val="18"/>
              </w:rPr>
            </m:ctrlPr>
          </m:sSubPr>
          <m:e>
            <m:r>
              <m:rPr/>
              <w:rPr>
                <w:rFonts w:ascii="Cambria Math" w:hAnsi="Cambria Math" w:cs="Times New Roman Regular"/>
                <w:sz w:val="18"/>
                <w:szCs w:val="18"/>
              </w:rPr>
              <m:t>ω</m:t>
            </m:r>
            <m:ctrlPr>
              <w:rPr>
                <w:rFonts w:ascii="Cambria Math" w:hAnsi="Cambria Math" w:cs="Times New Roman Regular"/>
                <w:bCs/>
                <w:i/>
                <w:sz w:val="18"/>
                <w:szCs w:val="18"/>
              </w:rPr>
            </m:ctrlPr>
          </m:e>
          <m:sub>
            <m:r>
              <m:rPr/>
              <w:rPr>
                <w:rFonts w:ascii="Cambria Math" w:hAnsi="Cambria Math" w:cs="Times New Roman Regular"/>
                <w:sz w:val="18"/>
                <w:szCs w:val="18"/>
              </w:rPr>
              <m:t>p</m:t>
            </m:r>
            <m:ctrlPr>
              <w:rPr>
                <w:rFonts w:ascii="Cambria Math" w:hAnsi="Cambria Math" w:cs="Times New Roman Regular"/>
                <w:bCs/>
                <w:i/>
                <w:sz w:val="18"/>
                <w:szCs w:val="18"/>
              </w:rPr>
            </m:ctrlPr>
          </m:sub>
        </m:sSub>
      </m:oMath>
      <w:r>
        <w:rPr>
          <w:rFonts w:ascii="Times New Roman Regular" w:hAnsi="Times New Roman Regular" w:cs="Times New Roman Regular"/>
          <w:kern w:val="2"/>
          <w:sz w:val="18"/>
          <w:szCs w:val="18"/>
          <w:lang w:bidi="ar-SA"/>
        </w:rPr>
        <w:t xml:space="preserve"> + </w:t>
      </w:r>
      <m:oMath>
        <m:sSub>
          <m:sSubPr>
            <m:ctrlPr>
              <w:rPr>
                <w:rFonts w:ascii="Cambria Math" w:hAnsi="Cambria Math" w:cs="Times New Roman Regular"/>
                <w:bCs/>
                <w:i/>
                <w:sz w:val="18"/>
                <w:szCs w:val="18"/>
              </w:rPr>
            </m:ctrlPr>
          </m:sSubPr>
          <m:e>
            <m:r>
              <m:rPr/>
              <w:rPr>
                <w:rFonts w:ascii="Cambria Math" w:hAnsi="Cambria Math" w:cs="Times New Roman Regular"/>
                <w:sz w:val="18"/>
                <w:szCs w:val="18"/>
              </w:rPr>
              <m:t>ω</m:t>
            </m:r>
            <m:ctrlPr>
              <w:rPr>
                <w:rFonts w:ascii="Cambria Math" w:hAnsi="Cambria Math" w:cs="Times New Roman Regular"/>
                <w:bCs/>
                <w:i/>
                <w:sz w:val="18"/>
                <w:szCs w:val="18"/>
              </w:rPr>
            </m:ctrlPr>
          </m:e>
          <m:sub>
            <m:r>
              <m:rPr/>
              <w:rPr>
                <w:rFonts w:ascii="Cambria Math" w:hAnsi="Cambria Math" w:cs="Times New Roman Regular"/>
                <w:sz w:val="18"/>
                <w:szCs w:val="18"/>
              </w:rPr>
              <m:t>g</m:t>
            </m:r>
            <m:ctrlPr>
              <w:rPr>
                <w:rFonts w:ascii="Cambria Math" w:hAnsi="Cambria Math" w:cs="Times New Roman Regular"/>
                <w:bCs/>
                <w:i/>
                <w:sz w:val="18"/>
                <w:szCs w:val="18"/>
              </w:rPr>
            </m:ctrlPr>
          </m:sub>
        </m:sSub>
      </m:oMath>
      <w:r>
        <w:rPr>
          <w:rFonts w:ascii="Times New Roman Regular" w:hAnsi="Times New Roman Regular" w:cs="Times New Roman Regular"/>
          <w:kern w:val="2"/>
          <w:sz w:val="18"/>
          <w:szCs w:val="18"/>
          <w:lang w:bidi="ar-SA"/>
        </w:rPr>
        <w:t xml:space="preserve"> because the discrepancy signal was averaged. Each parameter combination used 100 datasets. Supplementary Figure S1A shows empirical recovery based on 20 simulations per participant and generating model; Supplementary Figure S1B–F shows parameter-space recovery and misclassification. Complete records are available with the analysis code.</w:t>
      </w:r>
    </w:p>
    <w:p w14:paraId="5DEA5D6D">
      <w:pPr>
        <w:pStyle w:val="5"/>
        <w:keepNext w:val="0"/>
        <w:keepLines w:val="0"/>
        <w:widowControl/>
        <w:suppressLineNumbers w:val="0"/>
        <w:ind w:left="0" w:firstLine="0"/>
        <w:rPr>
          <w:rFonts w:ascii="Times New Roman Regular" w:hAnsi="Times New Roman Regular" w:cs="Times New Roman Regular"/>
          <w:kern w:val="2"/>
          <w:sz w:val="18"/>
          <w:szCs w:val="18"/>
          <w:lang w:val="en-US" w:eastAsia="zh-CN" w:bidi="ar-SA"/>
        </w:rPr>
      </w:pPr>
      <w:r>
        <w:rPr>
          <w:rFonts w:ascii="Times New Roman Regular" w:hAnsi="Times New Roman Regular" w:cs="Times New Roman Regular"/>
          <w:kern w:val="2"/>
          <w:sz w:val="18"/>
          <w:szCs w:val="18"/>
          <w:lang w:val="en-US" w:eastAsia="zh-CN" w:bidi="ar-SA"/>
        </w:rPr>
        <w:t xml:space="preserve">Exact-overlap and near-overlap conditions were distinguished in the parameter-space analysis. When γ = 0, the convergence-amplification and independent-source models generated identical predictions; model-selection labels at this point therefore do not represent meaningful recovery successes or failures. Likewise, the independent-source and equal-weight composite models are observationally equivalent when </w:t>
      </w:r>
      <m:oMath>
        <m:sSub>
          <m:sSubPr>
            <m:ctrlPr>
              <w:rPr>
                <w:rFonts w:ascii="Cambria Math" w:hAnsi="Cambria Math" w:cs="Times New Roman Regular"/>
                <w:bCs/>
                <w:i/>
                <w:sz w:val="18"/>
                <w:szCs w:val="18"/>
              </w:rPr>
            </m:ctrlPr>
          </m:sSubPr>
          <m:e>
            <m:r>
              <m:rPr/>
              <w:rPr>
                <w:rFonts w:ascii="Cambria Math" w:hAnsi="Cambria Math" w:cs="Times New Roman Regular"/>
                <w:sz w:val="18"/>
                <w:szCs w:val="18"/>
              </w:rPr>
              <m:t>ω</m:t>
            </m:r>
            <m:ctrlPr>
              <w:rPr>
                <w:rFonts w:ascii="Cambria Math" w:hAnsi="Cambria Math" w:cs="Times New Roman Regular"/>
                <w:bCs/>
                <w:i/>
                <w:sz w:val="18"/>
                <w:szCs w:val="18"/>
              </w:rPr>
            </m:ctrlPr>
          </m:e>
          <m:sub>
            <m:r>
              <m:rPr/>
              <w:rPr>
                <w:rFonts w:ascii="Cambria Math" w:hAnsi="Cambria Math" w:cs="Times New Roman Regular"/>
                <w:sz w:val="18"/>
                <w:szCs w:val="18"/>
              </w:rPr>
              <m:t>p</m:t>
            </m:r>
            <m:ctrlPr>
              <w:rPr>
                <w:rFonts w:ascii="Cambria Math" w:hAnsi="Cambria Math" w:cs="Times New Roman Regular"/>
                <w:bCs/>
                <w:i/>
                <w:sz w:val="18"/>
                <w:szCs w:val="18"/>
              </w:rPr>
            </m:ctrlPr>
          </m:sub>
        </m:sSub>
      </m:oMath>
      <w:r>
        <w:rPr>
          <w:rFonts w:ascii="Times New Roman Regular" w:hAnsi="Times New Roman Regular" w:cs="Times New Roman Regular"/>
          <w:kern w:val="2"/>
          <w:sz w:val="18"/>
          <w:szCs w:val="18"/>
          <w:lang w:val="en-US" w:eastAsia="zh-CN" w:bidi="ar-SA"/>
        </w:rPr>
        <w:t>=</w:t>
      </w:r>
      <m:oMath>
        <m:sSub>
          <m:sSubPr>
            <m:ctrlPr>
              <w:rPr>
                <w:rFonts w:ascii="Cambria Math" w:hAnsi="Cambria Math" w:cs="Times New Roman Regular"/>
                <w:bCs/>
                <w:i/>
                <w:sz w:val="18"/>
                <w:szCs w:val="18"/>
              </w:rPr>
            </m:ctrlPr>
          </m:sSubPr>
          <m:e>
            <m:r>
              <m:rPr/>
              <w:rPr>
                <w:rFonts w:ascii="Cambria Math" w:hAnsi="Cambria Math" w:cs="Times New Roman Regular"/>
                <w:sz w:val="18"/>
                <w:szCs w:val="18"/>
              </w:rPr>
              <m:t>ω</m:t>
            </m:r>
            <m:ctrlPr>
              <w:rPr>
                <w:rFonts w:ascii="Cambria Math" w:hAnsi="Cambria Math" w:cs="Times New Roman Regular"/>
                <w:bCs/>
                <w:i/>
                <w:sz w:val="18"/>
                <w:szCs w:val="18"/>
              </w:rPr>
            </m:ctrlPr>
          </m:e>
          <m:sub>
            <m:r>
              <m:rPr/>
              <w:rPr>
                <w:rFonts w:ascii="Cambria Math" w:hAnsi="Cambria Math" w:cs="Times New Roman Regular"/>
                <w:sz w:val="18"/>
                <w:szCs w:val="18"/>
              </w:rPr>
              <m:t>g</m:t>
            </m:r>
            <m:ctrlPr>
              <w:rPr>
                <w:rFonts w:ascii="Cambria Math" w:hAnsi="Cambria Math" w:cs="Times New Roman Regular"/>
                <w:bCs/>
                <w:i/>
                <w:sz w:val="18"/>
                <w:szCs w:val="18"/>
              </w:rPr>
            </m:ctrlPr>
          </m:sub>
        </m:sSub>
      </m:oMath>
      <w:r>
        <w:rPr>
          <w:rFonts w:ascii="Times New Roman Regular" w:hAnsi="Times New Roman Regular" w:cs="Times New Roman Regular"/>
          <w:kern w:val="2"/>
          <w:sz w:val="18"/>
          <w:szCs w:val="18"/>
          <w:lang w:val="en-US" w:eastAsia="zh-CN" w:bidi="ar-SA"/>
        </w:rPr>
        <w:t>=</w:t>
      </w:r>
      <w:r>
        <w:rPr>
          <w:rFonts w:ascii="Times New Roman Regular" w:hAnsi="Times New Roman Regular" w:cs="Times New Roman Regular"/>
          <w:kern w:val="2"/>
          <w:sz w:val="18"/>
          <w:szCs w:val="18"/>
          <w:lang w:bidi="ar-SA"/>
        </w:rPr>
        <w:t xml:space="preserve"> </w:t>
      </w:r>
      <m:oMath>
        <m:sSub>
          <m:sSubPr>
            <m:ctrlPr>
              <w:rPr>
                <w:rFonts w:ascii="Cambria Math" w:hAnsi="Cambria Math" w:cs="Times New Roman Regular"/>
                <w:bCs/>
                <w:i/>
                <w:sz w:val="18"/>
                <w:szCs w:val="18"/>
              </w:rPr>
            </m:ctrlPr>
          </m:sSubPr>
          <m:e>
            <m:r>
              <m:rPr/>
              <w:rPr>
                <w:rFonts w:ascii="Cambria Math" w:hAnsi="Cambria Math" w:cs="Times New Roman Regular"/>
                <w:sz w:val="18"/>
                <w:szCs w:val="18"/>
              </w:rPr>
              <m:t>ω</m:t>
            </m:r>
            <m:ctrlPr>
              <w:rPr>
                <w:rFonts w:ascii="Cambria Math" w:hAnsi="Cambria Math" w:cs="Times New Roman Regular"/>
                <w:bCs/>
                <w:i/>
                <w:sz w:val="18"/>
                <w:szCs w:val="18"/>
              </w:rPr>
            </m:ctrlPr>
          </m:e>
          <m:sub>
            <m:r>
              <m:rPr/>
              <w:rPr>
                <w:rFonts w:hint="eastAsia" w:ascii="DejaVu Math TeX Gyre" w:hAnsi="DejaVu Math TeX Gyre" w:cs="Times New Roman Regular"/>
                <w:sz w:val="18"/>
                <w:szCs w:val="18"/>
                <w:lang w:val="en-US" w:eastAsia="zh-CN"/>
              </w:rPr>
              <m:t>s</m:t>
            </m:r>
            <m:ctrlPr>
              <w:rPr>
                <w:rFonts w:ascii="Cambria Math" w:hAnsi="Cambria Math" w:cs="Times New Roman Regular"/>
                <w:bCs/>
                <w:i/>
                <w:sz w:val="18"/>
                <w:szCs w:val="18"/>
              </w:rPr>
            </m:ctrlPr>
          </m:sub>
        </m:sSub>
      </m:oMath>
      <w:r>
        <w:rPr>
          <w:rFonts w:ascii="Times New Roman Regular" w:hAnsi="Times New Roman Regular" w:cs="Times New Roman Regular"/>
          <w:kern w:val="2"/>
          <w:sz w:val="18"/>
          <w:szCs w:val="18"/>
          <w:lang w:val="en-US" w:eastAsia="zh-CN" w:bidi="ar-SA"/>
        </w:rPr>
        <w:t xml:space="preserve">/2. Near-overlap conditions were analyzed separately because their predictions were nonidentical but closely matched. Under near-equal independent-source weights, 91.7% of datasets were selected as the equal-weight composite model. For convergence-amplification datasets with γ = 0.05–0.10, recovery accuracy was 0.02–0.07, and 51.6–53.6% were selected as the independent-source model. </w:t>
      </w:r>
    </w:p>
    <w:p w14:paraId="1B04532F">
      <w:pPr>
        <w:pStyle w:val="5"/>
        <w:keepNext w:val="0"/>
        <w:keepLines w:val="0"/>
        <w:widowControl/>
        <w:suppressLineNumbers w:val="0"/>
        <w:ind w:left="0" w:firstLine="0"/>
        <w:rPr>
          <w:rFonts w:ascii="Times New Roman Regular" w:hAnsi="Times New Roman Regular" w:cs="Times New Roman Regular"/>
          <w:kern w:val="2"/>
          <w:sz w:val="18"/>
          <w:szCs w:val="18"/>
          <w:lang w:bidi="ar-SA"/>
        </w:rPr>
      </w:pPr>
      <w:r>
        <w:rPr>
          <w:rFonts w:ascii="Times New Roman Regular" w:hAnsi="Times New Roman Regular" w:cs="Times New Roman Regular"/>
          <w:kern w:val="2"/>
          <w:sz w:val="18"/>
          <w:szCs w:val="18"/>
          <w:lang w:bidi="ar-SA"/>
        </w:rPr>
        <w:t xml:space="preserve">Empirical model and parameter recovery used 20 independent simulations per participant and generating model, separately within HCs and participants with MUD. Model-recovery accuracy for the independent-source, equal-weight composite, and convergence-amplification models was 0.373, 0.963, and 0.202 in HCs and 0.178, 0.962, and 0.142 in MUD, respectively. For parameter recovery, trial structures were preserved, generating values were treated as known, and the generating model was refitted. Bias was defined as the recovered value minus the generating value. We report RMSE, the Pearson correlation between generating and recovered values, and empirical coverage of nominal 95% Wald intervals. The equal-weight composite parameter ωs was recovered with low bias and high correlation in both HCs (bias = −0.0028, RMSE = 0.0382, r = 0.973, coverage = 0.948) and participants with MUD (bias = 0.0013, RMSE = 0.0259, r = 0.971, coverage = 0.962). Source weights were also generally well recovered, whereas γ was weakly recovered in HCs (r = 0.366, RMSE = 116.77, coverage = 0.867) and participants with MUD (r = 0.295, RMSE = 165.80, coverage = 0.757). Accordingly, convergence-amplification parameters were used to characterize model-space identifiability rather than for substantive group-level inference. Full group-specific results are reported in Supplementary Table 8. Excluding trials with initial ratings of 1 or 10 yielded similar group-level </w:t>
      </w:r>
      <m:oMath>
        <m:sSub>
          <m:sSubPr>
            <m:ctrlPr>
              <w:rPr>
                <w:rFonts w:ascii="Cambria Math" w:hAnsi="Cambria Math" w:cs="Times New Roman Regular"/>
                <w:bCs/>
                <w:i/>
                <w:sz w:val="18"/>
                <w:szCs w:val="18"/>
              </w:rPr>
            </m:ctrlPr>
          </m:sSubPr>
          <m:e>
            <m:r>
              <m:rPr/>
              <w:rPr>
                <w:rFonts w:ascii="Cambria Math" w:hAnsi="Cambria Math" w:cs="Times New Roman Regular"/>
                <w:sz w:val="18"/>
                <w:szCs w:val="18"/>
              </w:rPr>
              <m:t>ω</m:t>
            </m:r>
            <m:ctrlPr>
              <w:rPr>
                <w:rFonts w:ascii="Cambria Math" w:hAnsi="Cambria Math" w:cs="Times New Roman Regular"/>
                <w:bCs/>
                <w:i/>
                <w:sz w:val="18"/>
                <w:szCs w:val="18"/>
              </w:rPr>
            </m:ctrlPr>
          </m:e>
          <m:sub>
            <m:r>
              <m:rPr/>
              <w:rPr>
                <w:rFonts w:hint="default" w:ascii="DejaVu Math TeX Gyre" w:hAnsi="DejaVu Math TeX Gyre" w:cs="Times New Roman Regular"/>
                <w:sz w:val="18"/>
                <w:szCs w:val="18"/>
                <w:lang w:val="en-US"/>
              </w:rPr>
              <m:t>s</m:t>
            </m:r>
            <m:ctrlPr>
              <w:rPr>
                <w:rFonts w:ascii="Cambria Math" w:hAnsi="Cambria Math" w:cs="Times New Roman Regular"/>
                <w:bCs/>
                <w:i/>
                <w:sz w:val="18"/>
                <w:szCs w:val="18"/>
              </w:rPr>
            </m:ctrlPr>
          </m:sub>
        </m:sSub>
      </m:oMath>
      <w:r>
        <w:rPr>
          <w:rFonts w:ascii="Times New Roman Regular" w:hAnsi="Times New Roman Regular" w:cs="Times New Roman Regular"/>
          <w:kern w:val="2"/>
          <w:sz w:val="18"/>
          <w:szCs w:val="18"/>
          <w:lang w:bidi="ar-SA"/>
        </w:rPr>
        <w:t xml:space="preserve"> estimates to the full analysis (HC = 0.174 vs 0.172; MUD = 0.065 vs 0.067). Ratings were bounded from 1 to 10, so observed ΔR lay between −9 and 9. These diagnostics indicate strong recovery of ωs but weak recovery of γ under the present task structure.</w:t>
      </w:r>
    </w:p>
    <w:p w14:paraId="417A293D">
      <w:pPr>
        <w:pStyle w:val="5"/>
        <w:keepNext w:val="0"/>
        <w:keepLines w:val="0"/>
        <w:widowControl/>
        <w:suppressLineNumbers w:val="0"/>
        <w:ind w:left="0" w:firstLine="0"/>
        <w:rPr>
          <w:rFonts w:hint="default" w:ascii="Times New Roman Regular" w:hAnsi="Times New Roman Regular" w:cs="Times New Roman Regular" w:eastAsiaTheme="minorEastAsia"/>
          <w:b w:val="0"/>
          <w:bCs w:val="0"/>
          <w:kern w:val="2"/>
          <w:sz w:val="18"/>
          <w:szCs w:val="18"/>
          <w:lang w:val="en-US" w:eastAsia="zh-CN" w:bidi="ar-SA"/>
        </w:rPr>
      </w:pPr>
      <w:r>
        <w:rPr>
          <w:rFonts w:hint="default" w:ascii="Times New Roman Bold" w:hAnsi="Times New Roman Bold" w:cs="Times New Roman Bold" w:eastAsiaTheme="minorEastAsia"/>
          <w:b/>
          <w:bCs/>
          <w:kern w:val="2"/>
          <w:sz w:val="21"/>
          <w:szCs w:val="21"/>
          <w:lang w:val="en-US" w:eastAsia="zh-CN" w:bidi="ar-SA"/>
        </w:rPr>
        <w:t>Supplementary Results: Selection-conditioned ωs sensitivity analysis</w:t>
      </w:r>
    </w:p>
    <w:p w14:paraId="372B5AAB">
      <w:pPr>
        <w:keepNext w:val="0"/>
        <w:keepLines w:val="0"/>
        <w:widowControl/>
        <w:suppressLineNumbers w:val="0"/>
        <w:jc w:val="left"/>
        <w:rPr>
          <w:rFonts w:hint="default" w:ascii="Times New Roman Regular" w:hAnsi="Times New Roman Regular" w:cs="Times New Roman Regular"/>
          <w:kern w:val="2"/>
          <w:sz w:val="18"/>
          <w:szCs w:val="18"/>
          <w:lang w:val="en-US" w:eastAsia="zh-CN" w:bidi="ar-SA"/>
        </w:rPr>
      </w:pPr>
      <w:r>
        <w:rPr>
          <w:rFonts w:ascii="Times New Roman Regular" w:hAnsi="Times New Roman Regular" w:cs="Times New Roman Regular" w:eastAsiaTheme="minorEastAsia"/>
          <w:kern w:val="2"/>
          <w:sz w:val="18"/>
          <w:szCs w:val="18"/>
          <w:lang w:val="en-US" w:eastAsia="zh-CN" w:bidi="ar-SA"/>
        </w:rPr>
        <w:t>As a selection-conditioned sensitivity analysis, we restricted the comparison to participants for whom the equal-weight composite model had the lowest individual BIC. This criterion included 31 of 49 HCs and 32 of 38 participants with MUD. The group difference in ωs remained detectable in this restricted sample (Welch’s test, p = 0.016; Mann–Whitney test, p = 0.002). Because this restriction was based on the same model-comparison results, it changed the sample composition and was not treated as an independent or selection-free replication.</w:t>
      </w:r>
    </w:p>
    <w:p w14:paraId="582CE6A7">
      <w:pPr>
        <w:pStyle w:val="5"/>
        <w:keepNext w:val="0"/>
        <w:keepLines w:val="0"/>
        <w:widowControl/>
        <w:suppressLineNumbers w:val="0"/>
        <w:ind w:left="0" w:firstLine="0"/>
        <w:rPr>
          <w:rFonts w:hint="default" w:ascii="Times New Roman Regular" w:hAnsi="Times New Roman Regular" w:cs="Times New Roman Regular"/>
          <w:kern w:val="2"/>
          <w:sz w:val="18"/>
          <w:szCs w:val="18"/>
          <w:lang w:val="en-US" w:eastAsia="zh-CN" w:bidi="ar-SA"/>
        </w:rPr>
      </w:pPr>
    </w:p>
    <w:p w14:paraId="2B80F9EA">
      <w:pPr>
        <w:keepNext/>
        <w:jc w:val="left"/>
        <w:rPr>
          <w:rFonts w:hint="default" w:ascii="Times New Roman Bold" w:hAnsi="Times New Roman Bold" w:cs="Times New Roman Bold"/>
          <w:b/>
          <w:bCs/>
          <w:sz w:val="21"/>
          <w:szCs w:val="21"/>
        </w:rPr>
      </w:pPr>
      <w:r>
        <w:rPr>
          <w:rFonts w:hint="default" w:ascii="Times New Roman Bold" w:hAnsi="Times New Roman Bold" w:cs="Times New Roman Bold"/>
          <w:b/>
          <w:bCs/>
          <w:sz w:val="21"/>
          <w:szCs w:val="21"/>
        </w:rPr>
        <w:t>Supplementary Table 1 | Eight social-information con</w:t>
      </w:r>
      <w:r>
        <w:rPr>
          <w:rFonts w:hint="eastAsia" w:ascii="Times New Roman Bold" w:hAnsi="Times New Roman Bold" w:cs="Times New Roman Bold"/>
          <w:b/>
          <w:bCs/>
          <w:sz w:val="21"/>
          <w:szCs w:val="21"/>
          <w:lang w:val="en-US" w:eastAsia="zh-CN"/>
        </w:rPr>
        <w:t>di</w:t>
      </w:r>
      <w:r>
        <w:rPr>
          <w:rFonts w:hint="default" w:ascii="Times New Roman Bold" w:hAnsi="Times New Roman Bold" w:cs="Times New Roman Bold"/>
          <w:b/>
          <w:bCs/>
          <w:sz w:val="21"/>
          <w:szCs w:val="21"/>
          <w:lang w:val="en-US" w:eastAsia="zh-CN"/>
        </w:rPr>
        <w:t>tion</w:t>
      </w:r>
      <w:r>
        <w:rPr>
          <w:rFonts w:hint="default" w:ascii="Times New Roman Bold" w:hAnsi="Times New Roman Bold" w:cs="Times New Roman Bold"/>
          <w:b/>
          <w:bCs/>
          <w:sz w:val="21"/>
          <w:szCs w:val="21"/>
        </w:rPr>
        <w:t>s in the facial-attractiveness conformity task.</w:t>
      </w:r>
    </w:p>
    <w:p w14:paraId="47AA0327">
      <w:pPr>
        <w:keepNext/>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rPr>
        <w:t>Peer and societal ratings were experimentally generated relative to each participant's initial self-rating. Cue congruency distinguished trials in which the initial self-rating aligned with at least one social rating (congruent; Conditions 1–3) from trials in which it differed from both social ratings (conflict; Conditions 4–8). In conflict configurations, peer and societal ratings could either converge on a common alternative or diverge. Conditions 4–6 were pooled only in the secondary three-level configuration summary; because they represent distinct structures and contribute more trials than the other cells, Supplementary Table 7 reports all eight original conditions separately as a sensitivity analysis.</w:t>
      </w:r>
    </w:p>
    <w:tbl>
      <w:tblPr>
        <w:tblStyle w:val="6"/>
        <w:tblW w:w="0" w:type="auto"/>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4"/>
        <w:gridCol w:w="5763"/>
        <w:gridCol w:w="1047"/>
        <w:gridCol w:w="1196"/>
      </w:tblGrid>
      <w:tr w14:paraId="7B066A5F">
        <w:trPr>
          <w:trHeight w:val="402" w:hRule="atLeast"/>
        </w:trPr>
        <w:tc>
          <w:tcPr>
            <w:tcW w:w="754" w:type="dxa"/>
            <w:tcBorders>
              <w:top w:val="single" w:color="000000" w:sz="8" w:space="0"/>
              <w:left w:val="nil"/>
              <w:bottom w:val="single" w:color="000000" w:sz="8" w:space="0"/>
              <w:right w:val="nil"/>
            </w:tcBorders>
            <w:shd w:val="clear" w:color="auto" w:fill="D9D9D9"/>
            <w:noWrap/>
            <w:vAlign w:val="center"/>
          </w:tcPr>
          <w:p w14:paraId="62281BC4">
            <w:pPr>
              <w:keepNext w:val="0"/>
              <w:keepLines w:val="0"/>
              <w:widowControl/>
              <w:suppressLineNumbers w:val="0"/>
              <w:jc w:val="center"/>
              <w:textAlignment w:val="center"/>
              <w:rPr>
                <w:rFonts w:ascii="Times New Roman Regular" w:hAnsi="Times New Roman Regular" w:eastAsia="Times New Roman Regular" w:cs="Times New Roman Regular"/>
                <w:b/>
                <w:bCs/>
                <w:i w:val="0"/>
                <w:iCs w:val="0"/>
                <w:color w:val="000000"/>
                <w:sz w:val="11"/>
                <w:szCs w:val="11"/>
                <w:u w:val="none"/>
              </w:rPr>
            </w:pPr>
            <w:r>
              <w:rPr>
                <w:rFonts w:hint="default" w:ascii="Times New Roman Regular" w:hAnsi="Times New Roman Regular" w:eastAsia="Times New Roman Regular" w:cs="Times New Roman Regular"/>
                <w:b/>
                <w:bCs/>
                <w:i w:val="0"/>
                <w:iCs w:val="0"/>
                <w:color w:val="000000"/>
                <w:kern w:val="0"/>
                <w:sz w:val="11"/>
                <w:szCs w:val="11"/>
                <w:u w:val="none"/>
                <w:lang w:val="en-US" w:eastAsia="zh-CN" w:bidi="ar"/>
              </w:rPr>
              <w:t>Condition</w:t>
            </w:r>
          </w:p>
        </w:tc>
        <w:tc>
          <w:tcPr>
            <w:tcW w:w="5763" w:type="dxa"/>
            <w:tcBorders>
              <w:top w:val="single" w:color="000000" w:sz="8" w:space="0"/>
              <w:left w:val="nil"/>
              <w:bottom w:val="single" w:color="000000" w:sz="8" w:space="0"/>
              <w:right w:val="nil"/>
            </w:tcBorders>
            <w:shd w:val="clear" w:color="auto" w:fill="D9D9D9"/>
            <w:noWrap/>
            <w:vAlign w:val="center"/>
          </w:tcPr>
          <w:p w14:paraId="07A882FB">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11"/>
                <w:szCs w:val="11"/>
                <w:u w:val="none"/>
              </w:rPr>
            </w:pPr>
            <w:r>
              <w:rPr>
                <w:rFonts w:hint="default" w:ascii="Times New Roman Regular" w:hAnsi="Times New Roman Regular" w:eastAsia="Times New Roman Regular" w:cs="Times New Roman Regular"/>
                <w:b/>
                <w:bCs/>
                <w:i w:val="0"/>
                <w:iCs w:val="0"/>
                <w:color w:val="000000"/>
                <w:kern w:val="0"/>
                <w:sz w:val="11"/>
                <w:szCs w:val="11"/>
                <w:u w:val="none"/>
                <w:lang w:val="en-US" w:eastAsia="zh-CN" w:bidi="ar"/>
              </w:rPr>
              <w:t>Brief description</w:t>
            </w:r>
          </w:p>
        </w:tc>
        <w:tc>
          <w:tcPr>
            <w:tcW w:w="1047" w:type="dxa"/>
            <w:tcBorders>
              <w:top w:val="single" w:color="000000" w:sz="8" w:space="0"/>
              <w:left w:val="nil"/>
              <w:bottom w:val="single" w:color="000000" w:sz="8" w:space="0"/>
              <w:right w:val="nil"/>
            </w:tcBorders>
            <w:shd w:val="clear" w:color="auto" w:fill="D9D9D9"/>
            <w:noWrap/>
            <w:vAlign w:val="center"/>
          </w:tcPr>
          <w:p w14:paraId="5B4FCCEE">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11"/>
                <w:szCs w:val="11"/>
                <w:u w:val="none"/>
              </w:rPr>
            </w:pPr>
            <w:r>
              <w:rPr>
                <w:rFonts w:hint="default" w:ascii="Times New Roman Regular" w:hAnsi="Times New Roman Regular" w:eastAsia="Times New Roman Regular" w:cs="Times New Roman Regular"/>
                <w:b/>
                <w:bCs/>
                <w:i w:val="0"/>
                <w:iCs w:val="0"/>
                <w:color w:val="000000"/>
                <w:kern w:val="0"/>
                <w:sz w:val="11"/>
                <w:szCs w:val="11"/>
                <w:u w:val="none"/>
                <w:lang w:val="en-US" w:eastAsia="zh-CN" w:bidi="ar"/>
              </w:rPr>
              <w:t>Cue configuration</w:t>
            </w:r>
          </w:p>
        </w:tc>
        <w:tc>
          <w:tcPr>
            <w:tcW w:w="1196" w:type="dxa"/>
            <w:tcBorders>
              <w:top w:val="single" w:color="000000" w:sz="8" w:space="0"/>
              <w:left w:val="nil"/>
              <w:bottom w:val="single" w:color="000000" w:sz="8" w:space="0"/>
              <w:right w:val="nil"/>
            </w:tcBorders>
            <w:shd w:val="clear" w:color="auto" w:fill="D9D9D9"/>
            <w:noWrap/>
            <w:vAlign w:val="center"/>
          </w:tcPr>
          <w:p w14:paraId="66FE1994">
            <w:pPr>
              <w:keepNext w:val="0"/>
              <w:keepLines w:val="0"/>
              <w:widowControl/>
              <w:suppressLineNumbers w:val="0"/>
              <w:jc w:val="center"/>
              <w:textAlignment w:val="center"/>
              <w:rPr>
                <w:rFonts w:hint="default" w:ascii="Times New Roman Regular" w:hAnsi="Times New Roman Regular" w:eastAsia="Times New Roman Regular" w:cs="Times New Roman Regular"/>
                <w:b/>
                <w:bCs/>
                <w:i w:val="0"/>
                <w:iCs w:val="0"/>
                <w:color w:val="000000"/>
                <w:sz w:val="11"/>
                <w:szCs w:val="11"/>
                <w:u w:val="none"/>
              </w:rPr>
            </w:pPr>
            <w:r>
              <w:rPr>
                <w:rFonts w:hint="default" w:ascii="Times New Roman Regular" w:hAnsi="Times New Roman Regular" w:eastAsia="Times New Roman Regular" w:cs="Times New Roman Regular"/>
                <w:b/>
                <w:bCs/>
                <w:i w:val="0"/>
                <w:iCs w:val="0"/>
                <w:color w:val="000000"/>
                <w:kern w:val="0"/>
                <w:sz w:val="11"/>
                <w:szCs w:val="11"/>
                <w:u w:val="none"/>
                <w:lang w:val="en-US" w:eastAsia="zh-CN" w:bidi="ar"/>
              </w:rPr>
              <w:t>Structural label</w:t>
            </w:r>
          </w:p>
        </w:tc>
      </w:tr>
      <w:tr w14:paraId="0E30524B">
        <w:trPr>
          <w:trHeight w:val="336" w:hRule="atLeast"/>
        </w:trPr>
        <w:tc>
          <w:tcPr>
            <w:tcW w:w="754" w:type="dxa"/>
            <w:tcBorders>
              <w:top w:val="nil"/>
              <w:left w:val="nil"/>
              <w:bottom w:val="nil"/>
              <w:right w:val="nil"/>
            </w:tcBorders>
            <w:shd w:val="clear" w:color="auto" w:fill="F2F2F2"/>
            <w:noWrap/>
            <w:vAlign w:val="center"/>
          </w:tcPr>
          <w:p w14:paraId="61EDD3FA">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Condition 1</w:t>
            </w:r>
          </w:p>
        </w:tc>
        <w:tc>
          <w:tcPr>
            <w:tcW w:w="5763" w:type="dxa"/>
            <w:tcBorders>
              <w:top w:val="nil"/>
              <w:left w:val="nil"/>
              <w:bottom w:val="nil"/>
              <w:right w:val="nil"/>
            </w:tcBorders>
            <w:shd w:val="clear" w:color="auto" w:fill="F2F2F2"/>
            <w:noWrap/>
            <w:vAlign w:val="center"/>
          </w:tcPr>
          <w:p w14:paraId="31FE51F5">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Self, peer and societal ratings are identical.</w:t>
            </w:r>
          </w:p>
        </w:tc>
        <w:tc>
          <w:tcPr>
            <w:tcW w:w="1047" w:type="dxa"/>
            <w:tcBorders>
              <w:top w:val="nil"/>
              <w:left w:val="nil"/>
              <w:bottom w:val="nil"/>
              <w:right w:val="nil"/>
            </w:tcBorders>
            <w:shd w:val="clear" w:color="auto" w:fill="F2F2F2"/>
            <w:noWrap/>
            <w:vAlign w:val="center"/>
          </w:tcPr>
          <w:p w14:paraId="5511E925">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Congruent</w:t>
            </w:r>
          </w:p>
        </w:tc>
        <w:tc>
          <w:tcPr>
            <w:tcW w:w="1196" w:type="dxa"/>
            <w:tcBorders>
              <w:top w:val="nil"/>
              <w:left w:val="nil"/>
              <w:bottom w:val="nil"/>
              <w:right w:val="nil"/>
            </w:tcBorders>
            <w:shd w:val="clear" w:color="auto" w:fill="F2F2F2"/>
            <w:noWrap/>
            <w:vAlign w:val="center"/>
          </w:tcPr>
          <w:p w14:paraId="43E33460">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Dual-source congruent</w:t>
            </w:r>
          </w:p>
        </w:tc>
      </w:tr>
      <w:tr w14:paraId="139A7F5C">
        <w:trPr>
          <w:trHeight w:val="336" w:hRule="atLeast"/>
        </w:trPr>
        <w:tc>
          <w:tcPr>
            <w:tcW w:w="754" w:type="dxa"/>
            <w:tcBorders>
              <w:top w:val="nil"/>
              <w:left w:val="nil"/>
              <w:bottom w:val="nil"/>
              <w:right w:val="nil"/>
            </w:tcBorders>
            <w:shd w:val="clear" w:color="auto" w:fill="F2F2F2"/>
            <w:noWrap/>
            <w:vAlign w:val="center"/>
          </w:tcPr>
          <w:p w14:paraId="2AC5E92A">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Condition 2</w:t>
            </w:r>
          </w:p>
        </w:tc>
        <w:tc>
          <w:tcPr>
            <w:tcW w:w="5763" w:type="dxa"/>
            <w:tcBorders>
              <w:top w:val="nil"/>
              <w:left w:val="nil"/>
              <w:bottom w:val="nil"/>
              <w:right w:val="nil"/>
            </w:tcBorders>
            <w:shd w:val="clear" w:color="auto" w:fill="F2F2F2"/>
            <w:noWrap/>
            <w:vAlign w:val="center"/>
          </w:tcPr>
          <w:p w14:paraId="1F6B9628">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Peer rating matches the initial self-rating; societal rating differs by at least two points.</w:t>
            </w:r>
          </w:p>
        </w:tc>
        <w:tc>
          <w:tcPr>
            <w:tcW w:w="1047" w:type="dxa"/>
            <w:tcBorders>
              <w:top w:val="nil"/>
              <w:left w:val="nil"/>
              <w:bottom w:val="nil"/>
              <w:right w:val="nil"/>
            </w:tcBorders>
            <w:shd w:val="clear" w:color="auto" w:fill="F2F2F2"/>
            <w:noWrap/>
            <w:vAlign w:val="center"/>
          </w:tcPr>
          <w:p w14:paraId="32083085">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Congruent</w:t>
            </w:r>
          </w:p>
        </w:tc>
        <w:tc>
          <w:tcPr>
            <w:tcW w:w="1196" w:type="dxa"/>
            <w:tcBorders>
              <w:top w:val="nil"/>
              <w:left w:val="nil"/>
              <w:bottom w:val="nil"/>
              <w:right w:val="nil"/>
            </w:tcBorders>
            <w:shd w:val="clear" w:color="auto" w:fill="F2F2F2"/>
            <w:noWrap/>
            <w:vAlign w:val="center"/>
          </w:tcPr>
          <w:p w14:paraId="2DA00FCB">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Peer-aligned</w:t>
            </w:r>
          </w:p>
        </w:tc>
      </w:tr>
      <w:tr w14:paraId="3361D6F6">
        <w:trPr>
          <w:trHeight w:val="336" w:hRule="atLeast"/>
        </w:trPr>
        <w:tc>
          <w:tcPr>
            <w:tcW w:w="754" w:type="dxa"/>
            <w:tcBorders>
              <w:top w:val="nil"/>
              <w:left w:val="nil"/>
              <w:bottom w:val="nil"/>
              <w:right w:val="nil"/>
            </w:tcBorders>
            <w:shd w:val="clear" w:color="auto" w:fill="F2F2F2"/>
            <w:noWrap/>
            <w:vAlign w:val="center"/>
          </w:tcPr>
          <w:p w14:paraId="4095634F">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Condition 3</w:t>
            </w:r>
          </w:p>
        </w:tc>
        <w:tc>
          <w:tcPr>
            <w:tcW w:w="5763" w:type="dxa"/>
            <w:tcBorders>
              <w:top w:val="nil"/>
              <w:left w:val="nil"/>
              <w:bottom w:val="nil"/>
              <w:right w:val="nil"/>
            </w:tcBorders>
            <w:shd w:val="clear" w:color="auto" w:fill="F2F2F2"/>
            <w:noWrap/>
            <w:vAlign w:val="center"/>
          </w:tcPr>
          <w:p w14:paraId="04A410D0">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Societal rating matches the initial self-rating; peer rating differs by at least two points.</w:t>
            </w:r>
          </w:p>
        </w:tc>
        <w:tc>
          <w:tcPr>
            <w:tcW w:w="1047" w:type="dxa"/>
            <w:tcBorders>
              <w:top w:val="nil"/>
              <w:left w:val="nil"/>
              <w:bottom w:val="nil"/>
              <w:right w:val="nil"/>
            </w:tcBorders>
            <w:shd w:val="clear" w:color="auto" w:fill="F2F2F2"/>
            <w:noWrap/>
            <w:vAlign w:val="center"/>
          </w:tcPr>
          <w:p w14:paraId="4EE7472F">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Congruent</w:t>
            </w:r>
          </w:p>
        </w:tc>
        <w:tc>
          <w:tcPr>
            <w:tcW w:w="1196" w:type="dxa"/>
            <w:tcBorders>
              <w:top w:val="nil"/>
              <w:left w:val="nil"/>
              <w:bottom w:val="nil"/>
              <w:right w:val="nil"/>
            </w:tcBorders>
            <w:shd w:val="clear" w:color="auto" w:fill="F2F2F2"/>
            <w:noWrap/>
            <w:vAlign w:val="center"/>
          </w:tcPr>
          <w:p w14:paraId="40D46755">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Societal-aligned</w:t>
            </w:r>
          </w:p>
        </w:tc>
      </w:tr>
      <w:tr w14:paraId="0F2C77F8">
        <w:trPr>
          <w:trHeight w:val="336" w:hRule="atLeast"/>
        </w:trPr>
        <w:tc>
          <w:tcPr>
            <w:tcW w:w="754" w:type="dxa"/>
            <w:tcBorders>
              <w:top w:val="nil"/>
              <w:left w:val="nil"/>
              <w:bottom w:val="nil"/>
              <w:right w:val="nil"/>
            </w:tcBorders>
            <w:shd w:val="clear" w:color="auto" w:fill="F2F2F2"/>
            <w:noWrap/>
            <w:vAlign w:val="center"/>
          </w:tcPr>
          <w:p w14:paraId="47F8FBE5">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Condition 4</w:t>
            </w:r>
          </w:p>
        </w:tc>
        <w:tc>
          <w:tcPr>
            <w:tcW w:w="5763" w:type="dxa"/>
            <w:tcBorders>
              <w:top w:val="nil"/>
              <w:left w:val="nil"/>
              <w:bottom w:val="nil"/>
              <w:right w:val="nil"/>
            </w:tcBorders>
            <w:shd w:val="clear" w:color="auto" w:fill="F2F2F2"/>
            <w:noWrap/>
            <w:vAlign w:val="center"/>
          </w:tcPr>
          <w:p w14:paraId="39480AB4">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Peer and societal ratings are identical and both differ from the initial self-rating by at least two points.</w:t>
            </w:r>
          </w:p>
        </w:tc>
        <w:tc>
          <w:tcPr>
            <w:tcW w:w="1047" w:type="dxa"/>
            <w:tcBorders>
              <w:top w:val="nil"/>
              <w:left w:val="nil"/>
              <w:bottom w:val="nil"/>
              <w:right w:val="nil"/>
            </w:tcBorders>
            <w:shd w:val="clear" w:color="auto" w:fill="F2F2F2"/>
            <w:noWrap/>
            <w:vAlign w:val="center"/>
          </w:tcPr>
          <w:p w14:paraId="11F7E999">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Conflict</w:t>
            </w:r>
          </w:p>
        </w:tc>
        <w:tc>
          <w:tcPr>
            <w:tcW w:w="1196" w:type="dxa"/>
            <w:tcBorders>
              <w:top w:val="nil"/>
              <w:left w:val="nil"/>
              <w:bottom w:val="nil"/>
              <w:right w:val="nil"/>
            </w:tcBorders>
            <w:shd w:val="clear" w:color="auto" w:fill="F2F2F2"/>
            <w:noWrap/>
            <w:vAlign w:val="center"/>
          </w:tcPr>
          <w:p w14:paraId="5BE82561">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Dual-source conflict</w:t>
            </w:r>
          </w:p>
        </w:tc>
      </w:tr>
      <w:tr w14:paraId="3D959812">
        <w:trPr>
          <w:trHeight w:val="336" w:hRule="atLeast"/>
        </w:trPr>
        <w:tc>
          <w:tcPr>
            <w:tcW w:w="754" w:type="dxa"/>
            <w:tcBorders>
              <w:top w:val="nil"/>
              <w:left w:val="nil"/>
              <w:bottom w:val="nil"/>
              <w:right w:val="nil"/>
            </w:tcBorders>
            <w:shd w:val="clear" w:color="auto" w:fill="F2F2F2"/>
            <w:noWrap/>
            <w:vAlign w:val="center"/>
          </w:tcPr>
          <w:p w14:paraId="598BE474">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Condition 5</w:t>
            </w:r>
          </w:p>
        </w:tc>
        <w:tc>
          <w:tcPr>
            <w:tcW w:w="5763" w:type="dxa"/>
            <w:tcBorders>
              <w:top w:val="nil"/>
              <w:left w:val="nil"/>
              <w:bottom w:val="nil"/>
              <w:right w:val="nil"/>
            </w:tcBorders>
            <w:shd w:val="clear" w:color="auto" w:fill="F2F2F2"/>
            <w:noWrap/>
            <w:vAlign w:val="center"/>
          </w:tcPr>
          <w:p w14:paraId="00520579">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Self, peer and societal ratings all differ from one another by at least two points.</w:t>
            </w:r>
          </w:p>
        </w:tc>
        <w:tc>
          <w:tcPr>
            <w:tcW w:w="1047" w:type="dxa"/>
            <w:tcBorders>
              <w:top w:val="nil"/>
              <w:left w:val="nil"/>
              <w:bottom w:val="nil"/>
              <w:right w:val="nil"/>
            </w:tcBorders>
            <w:shd w:val="clear" w:color="auto" w:fill="F2F2F2"/>
            <w:noWrap/>
            <w:vAlign w:val="center"/>
          </w:tcPr>
          <w:p w14:paraId="0CBB896B">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Conflict</w:t>
            </w:r>
          </w:p>
        </w:tc>
        <w:tc>
          <w:tcPr>
            <w:tcW w:w="1196" w:type="dxa"/>
            <w:tcBorders>
              <w:top w:val="nil"/>
              <w:left w:val="nil"/>
              <w:bottom w:val="nil"/>
              <w:right w:val="nil"/>
            </w:tcBorders>
            <w:shd w:val="clear" w:color="auto" w:fill="F2F2F2"/>
            <w:noWrap/>
            <w:vAlign w:val="center"/>
          </w:tcPr>
          <w:p w14:paraId="1685CC38">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Dual-source conflict</w:t>
            </w:r>
          </w:p>
        </w:tc>
      </w:tr>
      <w:tr w14:paraId="204FFFCD">
        <w:trPr>
          <w:trHeight w:val="336" w:hRule="atLeast"/>
        </w:trPr>
        <w:tc>
          <w:tcPr>
            <w:tcW w:w="754" w:type="dxa"/>
            <w:tcBorders>
              <w:top w:val="nil"/>
              <w:left w:val="nil"/>
              <w:bottom w:val="nil"/>
              <w:right w:val="nil"/>
            </w:tcBorders>
            <w:shd w:val="clear" w:color="auto" w:fill="F2F2F2"/>
            <w:noWrap/>
            <w:vAlign w:val="center"/>
          </w:tcPr>
          <w:p w14:paraId="05EF2161">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Condition 6</w:t>
            </w:r>
          </w:p>
        </w:tc>
        <w:tc>
          <w:tcPr>
            <w:tcW w:w="5763" w:type="dxa"/>
            <w:tcBorders>
              <w:top w:val="nil"/>
              <w:left w:val="nil"/>
              <w:bottom w:val="nil"/>
              <w:right w:val="nil"/>
            </w:tcBorders>
            <w:shd w:val="clear" w:color="auto" w:fill="F2F2F2"/>
            <w:noWrap/>
            <w:vAlign w:val="center"/>
          </w:tcPr>
          <w:p w14:paraId="6A69D5D5">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Self, peer and societal ratings all differ; peer and societal ratings are equidistant from the self-rating in opposite directions.</w:t>
            </w:r>
          </w:p>
        </w:tc>
        <w:tc>
          <w:tcPr>
            <w:tcW w:w="1047" w:type="dxa"/>
            <w:tcBorders>
              <w:top w:val="nil"/>
              <w:left w:val="nil"/>
              <w:bottom w:val="nil"/>
              <w:right w:val="nil"/>
            </w:tcBorders>
            <w:shd w:val="clear" w:color="auto" w:fill="F2F2F2"/>
            <w:noWrap/>
            <w:vAlign w:val="center"/>
          </w:tcPr>
          <w:p w14:paraId="0567401D">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Conflict</w:t>
            </w:r>
          </w:p>
        </w:tc>
        <w:tc>
          <w:tcPr>
            <w:tcW w:w="1196" w:type="dxa"/>
            <w:tcBorders>
              <w:top w:val="nil"/>
              <w:left w:val="nil"/>
              <w:bottom w:val="nil"/>
              <w:right w:val="nil"/>
            </w:tcBorders>
            <w:shd w:val="clear" w:color="auto" w:fill="F2F2F2"/>
            <w:noWrap/>
            <w:vAlign w:val="center"/>
          </w:tcPr>
          <w:p w14:paraId="1E76FAC4">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Dual-source conflict</w:t>
            </w:r>
          </w:p>
        </w:tc>
      </w:tr>
      <w:tr w14:paraId="5EB6F1C1">
        <w:trPr>
          <w:trHeight w:val="336" w:hRule="atLeast"/>
        </w:trPr>
        <w:tc>
          <w:tcPr>
            <w:tcW w:w="754" w:type="dxa"/>
            <w:tcBorders>
              <w:top w:val="nil"/>
              <w:left w:val="nil"/>
              <w:bottom w:val="nil"/>
              <w:right w:val="nil"/>
            </w:tcBorders>
            <w:shd w:val="clear" w:color="auto" w:fill="F2F2F2"/>
            <w:noWrap/>
            <w:vAlign w:val="center"/>
          </w:tcPr>
          <w:p w14:paraId="113D69FE">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Condition 7</w:t>
            </w:r>
          </w:p>
        </w:tc>
        <w:tc>
          <w:tcPr>
            <w:tcW w:w="5763" w:type="dxa"/>
            <w:tcBorders>
              <w:top w:val="nil"/>
              <w:left w:val="nil"/>
              <w:bottom w:val="nil"/>
              <w:right w:val="nil"/>
            </w:tcBorders>
            <w:shd w:val="clear" w:color="auto" w:fill="F2F2F2"/>
            <w:noWrap/>
            <w:vAlign w:val="center"/>
          </w:tcPr>
          <w:p w14:paraId="62B56451">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Peer and societal ratings diverge in opposite directions, with the peer rating farther from the initial self-rating.</w:t>
            </w:r>
          </w:p>
        </w:tc>
        <w:tc>
          <w:tcPr>
            <w:tcW w:w="1047" w:type="dxa"/>
            <w:tcBorders>
              <w:top w:val="nil"/>
              <w:left w:val="nil"/>
              <w:bottom w:val="nil"/>
              <w:right w:val="nil"/>
            </w:tcBorders>
            <w:shd w:val="clear" w:color="auto" w:fill="F2F2F2"/>
            <w:noWrap/>
            <w:vAlign w:val="center"/>
          </w:tcPr>
          <w:p w14:paraId="44B5F1B2">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Conflict</w:t>
            </w:r>
          </w:p>
        </w:tc>
        <w:tc>
          <w:tcPr>
            <w:tcW w:w="1196" w:type="dxa"/>
            <w:tcBorders>
              <w:top w:val="nil"/>
              <w:left w:val="nil"/>
              <w:bottom w:val="nil"/>
              <w:right w:val="nil"/>
            </w:tcBorders>
            <w:shd w:val="clear" w:color="auto" w:fill="F2F2F2"/>
            <w:noWrap/>
            <w:vAlign w:val="center"/>
          </w:tcPr>
          <w:p w14:paraId="4AD98AAC">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Peer-dominant</w:t>
            </w:r>
          </w:p>
        </w:tc>
      </w:tr>
      <w:tr w14:paraId="188D99C8">
        <w:trPr>
          <w:trHeight w:val="351" w:hRule="atLeast"/>
        </w:trPr>
        <w:tc>
          <w:tcPr>
            <w:tcW w:w="754" w:type="dxa"/>
            <w:tcBorders>
              <w:top w:val="nil"/>
              <w:left w:val="nil"/>
              <w:bottom w:val="single" w:color="000000" w:sz="8" w:space="0"/>
              <w:right w:val="nil"/>
            </w:tcBorders>
            <w:shd w:val="clear" w:color="auto" w:fill="F2F2F2"/>
            <w:noWrap/>
            <w:vAlign w:val="center"/>
          </w:tcPr>
          <w:p w14:paraId="76639A85">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Condition 8</w:t>
            </w:r>
          </w:p>
        </w:tc>
        <w:tc>
          <w:tcPr>
            <w:tcW w:w="5763" w:type="dxa"/>
            <w:tcBorders>
              <w:top w:val="nil"/>
              <w:left w:val="nil"/>
              <w:bottom w:val="single" w:color="000000" w:sz="8" w:space="0"/>
              <w:right w:val="nil"/>
            </w:tcBorders>
            <w:shd w:val="clear" w:color="auto" w:fill="F2F2F2"/>
            <w:noWrap/>
            <w:vAlign w:val="center"/>
          </w:tcPr>
          <w:p w14:paraId="03A5CBAB">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Peer and societal ratings diverge in opposite directions, with the societal rating farther from the initial self-rating.</w:t>
            </w:r>
          </w:p>
        </w:tc>
        <w:tc>
          <w:tcPr>
            <w:tcW w:w="1047" w:type="dxa"/>
            <w:tcBorders>
              <w:top w:val="nil"/>
              <w:left w:val="nil"/>
              <w:bottom w:val="single" w:color="000000" w:sz="8" w:space="0"/>
              <w:right w:val="nil"/>
            </w:tcBorders>
            <w:shd w:val="clear" w:color="auto" w:fill="F2F2F2"/>
            <w:noWrap/>
            <w:vAlign w:val="center"/>
          </w:tcPr>
          <w:p w14:paraId="3C608CB5">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Conflict</w:t>
            </w:r>
          </w:p>
        </w:tc>
        <w:tc>
          <w:tcPr>
            <w:tcW w:w="1196" w:type="dxa"/>
            <w:tcBorders>
              <w:top w:val="nil"/>
              <w:left w:val="nil"/>
              <w:bottom w:val="single" w:color="000000" w:sz="8" w:space="0"/>
              <w:right w:val="nil"/>
            </w:tcBorders>
            <w:shd w:val="clear" w:color="auto" w:fill="F2F2F2"/>
            <w:noWrap/>
            <w:vAlign w:val="center"/>
          </w:tcPr>
          <w:p w14:paraId="25CC647E">
            <w:pPr>
              <w:keepNext w:val="0"/>
              <w:keepLines w:val="0"/>
              <w:widowControl/>
              <w:suppressLineNumbers w:val="0"/>
              <w:jc w:val="center"/>
              <w:textAlignment w:val="center"/>
              <w:rPr>
                <w:rFonts w:hint="default" w:ascii="Times New Roman Regular" w:hAnsi="Times New Roman Regular" w:eastAsia="Times New Roman Regular" w:cs="Times New Roman Regular"/>
                <w:i w:val="0"/>
                <w:iCs w:val="0"/>
                <w:color w:val="000000"/>
                <w:sz w:val="11"/>
                <w:szCs w:val="11"/>
                <w:u w:val="none"/>
              </w:rPr>
            </w:pPr>
            <w:r>
              <w:rPr>
                <w:rFonts w:hint="default" w:ascii="Times New Roman Regular" w:hAnsi="Times New Roman Regular" w:eastAsia="Times New Roman Regular" w:cs="Times New Roman Regular"/>
                <w:i w:val="0"/>
                <w:iCs w:val="0"/>
                <w:color w:val="000000"/>
                <w:kern w:val="0"/>
                <w:sz w:val="11"/>
                <w:szCs w:val="11"/>
                <w:u w:val="none"/>
                <w:lang w:val="en-US" w:eastAsia="zh-CN" w:bidi="ar"/>
              </w:rPr>
              <w:t>Societal-dominant</w:t>
            </w:r>
          </w:p>
        </w:tc>
      </w:tr>
    </w:tbl>
    <w:p w14:paraId="3276673A">
      <w:pPr>
        <w:jc w:val="left"/>
        <w:rPr>
          <w:rFonts w:hint="default" w:ascii="Times New Roman Bold" w:hAnsi="Times New Roman Bold" w:cs="Times New Roman Bold"/>
          <w:b/>
          <w:bCs/>
          <w:sz w:val="21"/>
          <w:szCs w:val="21"/>
        </w:rPr>
      </w:pPr>
    </w:p>
    <w:p w14:paraId="63A7B8B8">
      <w:pPr>
        <w:jc w:val="left"/>
        <w:rPr>
          <w:rFonts w:hint="default" w:ascii="Times New Roman Bold" w:hAnsi="Times New Roman Bold" w:cs="Times New Roman Bold"/>
          <w:b/>
          <w:bCs/>
          <w:sz w:val="21"/>
          <w:szCs w:val="21"/>
        </w:rPr>
      </w:pPr>
    </w:p>
    <w:p w14:paraId="71F24C44">
      <w:pPr>
        <w:jc w:val="left"/>
        <w:rPr>
          <w:rFonts w:hint="default" w:ascii="Times New Roman Bold" w:hAnsi="Times New Roman Bold" w:cs="Times New Roman Bold"/>
          <w:b/>
          <w:bCs/>
          <w:sz w:val="21"/>
          <w:szCs w:val="21"/>
        </w:rPr>
      </w:pPr>
    </w:p>
    <w:p w14:paraId="1706B17D">
      <w:pPr>
        <w:jc w:val="left"/>
        <w:rPr>
          <w:rFonts w:hint="default" w:ascii="Times New Roman Bold" w:hAnsi="Times New Roman Bold" w:cs="Times New Roman Bold"/>
          <w:b/>
          <w:bCs/>
          <w:sz w:val="21"/>
          <w:szCs w:val="21"/>
        </w:rPr>
      </w:pPr>
    </w:p>
    <w:p w14:paraId="05664DE8">
      <w:pPr>
        <w:jc w:val="left"/>
        <w:rPr>
          <w:rFonts w:hint="default" w:ascii="Times New Roman Bold" w:hAnsi="Times New Roman Bold" w:cs="Times New Roman Bold"/>
          <w:b/>
          <w:bCs/>
          <w:sz w:val="21"/>
          <w:szCs w:val="21"/>
        </w:rPr>
      </w:pPr>
    </w:p>
    <w:p w14:paraId="05C23C2D">
      <w:pPr>
        <w:jc w:val="left"/>
        <w:rPr>
          <w:rFonts w:hint="default" w:ascii="Times New Roman Bold" w:hAnsi="Times New Roman Bold" w:cs="Times New Roman Bold"/>
          <w:b/>
          <w:bCs/>
          <w:sz w:val="21"/>
          <w:szCs w:val="21"/>
        </w:rPr>
      </w:pPr>
    </w:p>
    <w:p w14:paraId="4353F765">
      <w:pPr>
        <w:jc w:val="left"/>
        <w:rPr>
          <w:rFonts w:hint="default" w:ascii="Times New Roman Bold" w:hAnsi="Times New Roman Bold" w:cs="Times New Roman Bold"/>
          <w:b/>
          <w:bCs/>
          <w:sz w:val="21"/>
          <w:szCs w:val="21"/>
        </w:rPr>
      </w:pPr>
    </w:p>
    <w:p w14:paraId="63A87244">
      <w:pPr>
        <w:jc w:val="left"/>
        <w:rPr>
          <w:rFonts w:hint="default" w:ascii="Times New Roman Bold" w:hAnsi="Times New Roman Bold" w:cs="Times New Roman Bold"/>
          <w:b/>
          <w:bCs/>
          <w:sz w:val="21"/>
          <w:szCs w:val="21"/>
        </w:rPr>
      </w:pPr>
    </w:p>
    <w:p w14:paraId="4FE61FE9">
      <w:pPr>
        <w:jc w:val="left"/>
        <w:rPr>
          <w:rFonts w:hint="default" w:ascii="Times New Roman Bold" w:hAnsi="Times New Roman Bold" w:cs="Times New Roman Bold"/>
          <w:b/>
          <w:bCs/>
          <w:sz w:val="21"/>
          <w:szCs w:val="21"/>
        </w:rPr>
      </w:pPr>
    </w:p>
    <w:p w14:paraId="26053BFB">
      <w:pPr>
        <w:jc w:val="left"/>
        <w:rPr>
          <w:rFonts w:hint="default" w:ascii="Times New Roman Bold" w:hAnsi="Times New Roman Bold" w:cs="Times New Roman Bold"/>
          <w:b/>
          <w:bCs/>
          <w:sz w:val="21"/>
          <w:szCs w:val="21"/>
        </w:rPr>
      </w:pPr>
    </w:p>
    <w:p w14:paraId="037FD1EF">
      <w:pPr>
        <w:jc w:val="left"/>
        <w:rPr>
          <w:rFonts w:hint="default" w:ascii="Times New Roman Bold" w:hAnsi="Times New Roman Bold" w:cs="Times New Roman Bold"/>
          <w:b/>
          <w:bCs/>
          <w:sz w:val="21"/>
          <w:szCs w:val="21"/>
        </w:rPr>
      </w:pPr>
    </w:p>
    <w:p w14:paraId="4E2DED9D">
      <w:pPr>
        <w:jc w:val="left"/>
        <w:rPr>
          <w:rFonts w:hint="default" w:ascii="Times New Roman Bold" w:hAnsi="Times New Roman Bold" w:cs="Times New Roman Bold"/>
          <w:b/>
          <w:bCs/>
          <w:sz w:val="21"/>
          <w:szCs w:val="21"/>
        </w:rPr>
      </w:pPr>
    </w:p>
    <w:p w14:paraId="425FFD26">
      <w:pPr>
        <w:jc w:val="left"/>
        <w:rPr>
          <w:rFonts w:hint="default" w:ascii="Times New Roman Bold" w:hAnsi="Times New Roman Bold" w:cs="Times New Roman Bold"/>
          <w:b/>
          <w:bCs/>
          <w:sz w:val="21"/>
          <w:szCs w:val="21"/>
        </w:rPr>
      </w:pPr>
    </w:p>
    <w:p w14:paraId="119A88CE">
      <w:pPr>
        <w:jc w:val="left"/>
        <w:rPr>
          <w:rFonts w:hint="default" w:ascii="Times New Roman Bold" w:hAnsi="Times New Roman Bold" w:cs="Times New Roman Bold"/>
          <w:b/>
          <w:bCs/>
          <w:sz w:val="21"/>
          <w:szCs w:val="21"/>
        </w:rPr>
      </w:pPr>
    </w:p>
    <w:p w14:paraId="446850C4">
      <w:pPr>
        <w:jc w:val="left"/>
        <w:rPr>
          <w:rFonts w:hint="default" w:ascii="Times New Roman Bold" w:hAnsi="Times New Roman Bold" w:cs="Times New Roman Bold"/>
          <w:b/>
          <w:bCs/>
          <w:sz w:val="21"/>
          <w:szCs w:val="21"/>
        </w:rPr>
      </w:pPr>
    </w:p>
    <w:p w14:paraId="4D5A39E8">
      <w:pPr>
        <w:jc w:val="left"/>
        <w:rPr>
          <w:rFonts w:hint="default" w:ascii="Times New Roman Bold" w:hAnsi="Times New Roman Bold" w:cs="Times New Roman Bold"/>
          <w:b/>
          <w:bCs/>
          <w:sz w:val="21"/>
          <w:szCs w:val="21"/>
        </w:rPr>
      </w:pPr>
    </w:p>
    <w:p w14:paraId="0D40478B">
      <w:pPr>
        <w:jc w:val="left"/>
        <w:rPr>
          <w:rFonts w:hint="default" w:ascii="Times New Roman Bold" w:hAnsi="Times New Roman Bold" w:cs="Times New Roman Bold"/>
          <w:b/>
          <w:bCs/>
          <w:sz w:val="21"/>
          <w:szCs w:val="21"/>
        </w:rPr>
      </w:pPr>
    </w:p>
    <w:p w14:paraId="3E883E63">
      <w:pPr>
        <w:jc w:val="left"/>
        <w:rPr>
          <w:rFonts w:hint="default" w:ascii="Times New Roman Bold" w:hAnsi="Times New Roman Bold" w:cs="Times New Roman Bold"/>
          <w:b/>
          <w:bCs/>
          <w:sz w:val="21"/>
          <w:szCs w:val="21"/>
        </w:rPr>
      </w:pPr>
    </w:p>
    <w:p w14:paraId="0F76B696">
      <w:pPr>
        <w:jc w:val="left"/>
        <w:rPr>
          <w:rFonts w:hint="default" w:ascii="Times New Roman Bold" w:hAnsi="Times New Roman Bold" w:cs="Times New Roman Bold"/>
          <w:b/>
          <w:bCs/>
          <w:sz w:val="21"/>
          <w:szCs w:val="21"/>
        </w:rPr>
      </w:pPr>
    </w:p>
    <w:p w14:paraId="4D613FE6">
      <w:pPr>
        <w:jc w:val="left"/>
        <w:rPr>
          <w:rFonts w:hint="default" w:ascii="Times New Roman Bold" w:hAnsi="Times New Roman Bold" w:cs="Times New Roman Bold"/>
          <w:b/>
          <w:bCs/>
          <w:sz w:val="21"/>
          <w:szCs w:val="21"/>
        </w:rPr>
      </w:pPr>
    </w:p>
    <w:p w14:paraId="3E5223B5">
      <w:pPr>
        <w:jc w:val="both"/>
        <w:rPr>
          <w:rFonts w:hint="default"/>
          <w:sz w:val="18"/>
          <w:szCs w:val="18"/>
          <w:lang w:val="en-US"/>
        </w:rPr>
      </w:pPr>
    </w:p>
    <w:p w14:paraId="26A50CDF">
      <w:pPr>
        <w:jc w:val="both"/>
        <w:rPr>
          <w:rFonts w:hint="default"/>
          <w:sz w:val="18"/>
          <w:szCs w:val="18"/>
          <w:lang w:val="en-US"/>
        </w:rPr>
      </w:pPr>
    </w:p>
    <w:p w14:paraId="3587BA1B">
      <w:pPr>
        <w:jc w:val="center"/>
        <w:rPr>
          <w:rFonts w:hint="default"/>
          <w:sz w:val="18"/>
          <w:szCs w:val="18"/>
          <w:lang w:val="en-US"/>
        </w:rPr>
      </w:pPr>
    </w:p>
    <w:p w14:paraId="5DC76542">
      <w:pPr>
        <w:jc w:val="center"/>
        <w:rPr>
          <w:rFonts w:hint="default"/>
          <w:sz w:val="18"/>
          <w:szCs w:val="18"/>
          <w:lang w:val="en-US"/>
        </w:rPr>
      </w:pPr>
    </w:p>
    <w:p w14:paraId="56C0DF32">
      <w:pPr>
        <w:keepNext/>
        <w:jc w:val="left"/>
        <w:rPr>
          <w:rFonts w:hint="default" w:ascii="Times New Roman Bold" w:hAnsi="Times New Roman Bold" w:cs="Times New Roman Bold"/>
          <w:b/>
          <w:bCs/>
          <w:sz w:val="21"/>
          <w:szCs w:val="21"/>
        </w:rPr>
      </w:pPr>
      <w:commentRangeStart w:id="0"/>
      <w:r>
        <w:rPr>
          <w:rFonts w:hint="default" w:ascii="Times New Roman Bold" w:hAnsi="Times New Roman Bold" w:cs="Times New Roman Bold"/>
          <w:b/>
          <w:bCs/>
          <w:sz w:val="21"/>
          <w:szCs w:val="21"/>
          <w:lang w:val="en-US"/>
        </w:rPr>
        <w:t>Supplementary Table 2 | Craving-related moderation of source-directed social updating.</w:t>
      </w:r>
      <w:commentRangeEnd w:id="0"/>
      <w:r>
        <w:commentReference w:id="0"/>
      </w:r>
    </w:p>
    <w:p w14:paraId="170DEFE0">
      <w:pPr>
        <w:keepNext/>
        <w:jc w:val="left"/>
        <w:rPr>
          <w:rFonts w:hint="default" w:ascii="Times New Roman Regular" w:hAnsi="Times New Roman Regular" w:cs="Times New Roman Regular"/>
          <w:sz w:val="18"/>
          <w:szCs w:val="18"/>
          <w:lang w:val="en-US"/>
        </w:rPr>
      </w:pPr>
      <w:r>
        <w:rPr>
          <w:rFonts w:hint="default" w:ascii="Times New Roman Regular" w:hAnsi="Times New Roman Regular" w:cs="Times New Roman Regular"/>
          <w:sz w:val="18"/>
          <w:szCs w:val="18"/>
        </w:rPr>
        <w:t>Methamphetamine craving scores were assessed using the visual analog scale (VAS; 0–100, where 0 indicates the weakest craving and 100 the strongest).Because craving was assessed only in participants with MUD, these exploratory models were fitted within the 38-participant MUD sample. Separate linear mixed-effects models were specified as DeltaScore_source ~ social-cue configuration × cue congruency × craving + (1 + social-cue configuration | participant), once for each source-directed outcome. The table reports Type III F tests for the craving terms. Denominator degrees of freedom were obtained using the Satterthwaite approximation and therefore need not equal n − 1. No listed craving-related effect reached statistical significance.</w:t>
      </w:r>
    </w:p>
    <w:tbl>
      <w:tblPr>
        <w:tblStyle w:val="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00"/>
        <w:gridCol w:w="3861"/>
        <w:gridCol w:w="768"/>
        <w:gridCol w:w="778"/>
        <w:gridCol w:w="768"/>
        <w:gridCol w:w="768"/>
      </w:tblGrid>
      <w:tr w14:paraId="3BB2935C">
        <w:trPr>
          <w:trHeight w:val="23" w:hRule="atLeast"/>
        </w:trPr>
        <w:tc>
          <w:tcPr>
            <w:tcW w:w="839" w:type="pct"/>
            <w:tcBorders>
              <w:top w:val="single" w:color="000000" w:sz="8" w:space="0"/>
              <w:bottom w:val="single" w:color="000000" w:sz="8" w:space="0"/>
            </w:tcBorders>
            <w:shd w:val="clear" w:color="auto" w:fill="BFBFBF"/>
            <w:tcMar>
              <w:top w:w="20" w:type="dxa"/>
              <w:left w:w="20" w:type="dxa"/>
              <w:right w:w="20" w:type="dxa"/>
            </w:tcMar>
            <w:vAlign w:val="center"/>
          </w:tcPr>
          <w:p w14:paraId="13B9B900">
            <w:pPr>
              <w:pStyle w:val="5"/>
              <w:keepNext w:val="0"/>
              <w:keepLines w:val="0"/>
              <w:widowControl/>
              <w:suppressLineNumbers w:val="0"/>
              <w:rPr>
                <w:sz w:val="15"/>
                <w:szCs w:val="15"/>
              </w:rPr>
            </w:pPr>
            <w:r>
              <w:rPr>
                <w:rFonts w:ascii="Arial Regular" w:hAnsi="Arial Regular" w:eastAsia="Arial Regular" w:cs="Arial Regular"/>
                <w:color w:val="000000"/>
                <w:sz w:val="15"/>
                <w:szCs w:val="15"/>
              </w:rPr>
              <w:t>Outcome</w:t>
            </w:r>
          </w:p>
        </w:tc>
        <w:tc>
          <w:tcPr>
            <w:tcW w:w="2313" w:type="pct"/>
            <w:tcBorders>
              <w:top w:val="single" w:color="000000" w:sz="8" w:space="0"/>
              <w:bottom w:val="single" w:color="000000" w:sz="8" w:space="0"/>
            </w:tcBorders>
            <w:shd w:val="clear" w:color="auto" w:fill="BFBFBF"/>
            <w:tcMar>
              <w:top w:w="20" w:type="dxa"/>
              <w:left w:w="20" w:type="dxa"/>
              <w:right w:w="20" w:type="dxa"/>
            </w:tcMar>
            <w:vAlign w:val="center"/>
          </w:tcPr>
          <w:p w14:paraId="6E49F84A">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Effect</w:t>
            </w:r>
          </w:p>
        </w:tc>
        <w:tc>
          <w:tcPr>
            <w:tcW w:w="460" w:type="pct"/>
            <w:tcBorders>
              <w:top w:val="single" w:color="000000" w:sz="8" w:space="0"/>
              <w:bottom w:val="single" w:color="000000" w:sz="8" w:space="0"/>
            </w:tcBorders>
            <w:shd w:val="clear" w:color="auto" w:fill="BFBFBF"/>
            <w:tcMar>
              <w:top w:w="20" w:type="dxa"/>
              <w:left w:w="20" w:type="dxa"/>
              <w:right w:w="20" w:type="dxa"/>
            </w:tcMar>
            <w:vAlign w:val="center"/>
          </w:tcPr>
          <w:p w14:paraId="2E8D5414">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F</w:t>
            </w:r>
          </w:p>
        </w:tc>
        <w:tc>
          <w:tcPr>
            <w:tcW w:w="466" w:type="pct"/>
            <w:tcBorders>
              <w:top w:val="single" w:color="000000" w:sz="8" w:space="0"/>
              <w:bottom w:val="single" w:color="000000" w:sz="8" w:space="0"/>
            </w:tcBorders>
            <w:shd w:val="clear" w:color="auto" w:fill="BFBFBF"/>
            <w:tcMar>
              <w:top w:w="20" w:type="dxa"/>
              <w:left w:w="20" w:type="dxa"/>
              <w:right w:w="20" w:type="dxa"/>
            </w:tcMar>
            <w:vAlign w:val="center"/>
          </w:tcPr>
          <w:p w14:paraId="620C9057">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df1</w:t>
            </w:r>
          </w:p>
        </w:tc>
        <w:tc>
          <w:tcPr>
            <w:tcW w:w="460" w:type="pct"/>
            <w:tcBorders>
              <w:top w:val="single" w:color="000000" w:sz="8" w:space="0"/>
              <w:bottom w:val="single" w:color="000000" w:sz="8" w:space="0"/>
            </w:tcBorders>
            <w:shd w:val="clear" w:color="auto" w:fill="BFBFBF"/>
            <w:tcMar>
              <w:top w:w="20" w:type="dxa"/>
              <w:left w:w="20" w:type="dxa"/>
              <w:right w:w="20" w:type="dxa"/>
            </w:tcMar>
            <w:vAlign w:val="center"/>
          </w:tcPr>
          <w:p w14:paraId="22FDA47F">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df2</w:t>
            </w:r>
          </w:p>
        </w:tc>
        <w:tc>
          <w:tcPr>
            <w:tcW w:w="460" w:type="pct"/>
            <w:tcBorders>
              <w:top w:val="single" w:color="000000" w:sz="8" w:space="0"/>
              <w:bottom w:val="single" w:color="000000" w:sz="8" w:space="0"/>
            </w:tcBorders>
            <w:shd w:val="clear" w:color="auto" w:fill="BFBFBF"/>
            <w:tcMar>
              <w:top w:w="20" w:type="dxa"/>
              <w:left w:w="20" w:type="dxa"/>
              <w:right w:w="20" w:type="dxa"/>
            </w:tcMar>
            <w:vAlign w:val="center"/>
          </w:tcPr>
          <w:p w14:paraId="2C870021">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p</w:t>
            </w:r>
          </w:p>
        </w:tc>
      </w:tr>
      <w:tr w14:paraId="72BD8D58">
        <w:trPr>
          <w:trHeight w:val="23" w:hRule="atLeast"/>
        </w:trPr>
        <w:tc>
          <w:tcPr>
            <w:tcW w:w="839" w:type="pct"/>
            <w:vMerge w:val="restart"/>
            <w:tcBorders>
              <w:top w:val="single" w:color="000000" w:sz="8" w:space="0"/>
            </w:tcBorders>
            <w:shd w:val="clear" w:color="auto" w:fill="BFBFBF"/>
            <w:tcMar>
              <w:top w:w="20" w:type="dxa"/>
              <w:left w:w="20" w:type="dxa"/>
              <w:right w:w="20" w:type="dxa"/>
            </w:tcMar>
            <w:vAlign w:val="center"/>
          </w:tcPr>
          <w:p w14:paraId="65568BE4">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ΔScore_peer </w:t>
            </w:r>
          </w:p>
        </w:tc>
        <w:tc>
          <w:tcPr>
            <w:tcW w:w="2313" w:type="pct"/>
            <w:tcBorders>
              <w:top w:val="single" w:color="000000" w:sz="8" w:space="0"/>
              <w:bottom w:val="single" w:color="000000" w:sz="8" w:space="0"/>
            </w:tcBorders>
            <w:shd w:val="clear" w:color="auto" w:fill="D9D9D9"/>
            <w:tcMar>
              <w:top w:w="20" w:type="dxa"/>
              <w:left w:w="20" w:type="dxa"/>
              <w:right w:w="20" w:type="dxa"/>
            </w:tcMar>
            <w:vAlign w:val="center"/>
          </w:tcPr>
          <w:p w14:paraId="3185F8F4">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Craving</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58249EA8">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0.15</w:t>
            </w:r>
          </w:p>
        </w:tc>
        <w:tc>
          <w:tcPr>
            <w:tcW w:w="466" w:type="pct"/>
            <w:tcBorders>
              <w:top w:val="single" w:color="000000" w:sz="8" w:space="0"/>
              <w:bottom w:val="single" w:color="000000" w:sz="8" w:space="0"/>
            </w:tcBorders>
            <w:shd w:val="clear" w:color="auto" w:fill="D9D9D9"/>
            <w:tcMar>
              <w:top w:w="20" w:type="dxa"/>
              <w:left w:w="20" w:type="dxa"/>
              <w:right w:w="20" w:type="dxa"/>
            </w:tcMar>
            <w:vAlign w:val="center"/>
          </w:tcPr>
          <w:p w14:paraId="328477BC">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1</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18EEB535">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39.7</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3C02551F">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0.702</w:t>
            </w:r>
          </w:p>
        </w:tc>
      </w:tr>
      <w:tr w14:paraId="53AC0A11">
        <w:trPr>
          <w:trHeight w:val="23" w:hRule="atLeast"/>
        </w:trPr>
        <w:tc>
          <w:tcPr>
            <w:tcW w:w="839" w:type="pct"/>
            <w:vMerge w:val="continue"/>
            <w:shd w:val="clear" w:color="auto" w:fill="BFBFBF"/>
            <w:tcMar>
              <w:top w:w="20" w:type="dxa"/>
              <w:left w:w="20" w:type="dxa"/>
              <w:right w:w="20" w:type="dxa"/>
            </w:tcMar>
            <w:vAlign w:val="center"/>
          </w:tcPr>
          <w:p w14:paraId="569C9875">
            <w:pPr>
              <w:rPr>
                <w:rFonts w:hint="eastAsia" w:ascii="宋体"/>
                <w:sz w:val="15"/>
                <w:szCs w:val="15"/>
              </w:rPr>
            </w:pPr>
          </w:p>
        </w:tc>
        <w:tc>
          <w:tcPr>
            <w:tcW w:w="2313" w:type="pct"/>
            <w:tcBorders>
              <w:top w:val="single" w:color="000000" w:sz="8" w:space="0"/>
              <w:bottom w:val="single" w:color="000000" w:sz="8" w:space="0"/>
            </w:tcBorders>
            <w:shd w:val="clear" w:color="auto" w:fill="D9D9D9"/>
            <w:tcMar>
              <w:top w:w="20" w:type="dxa"/>
              <w:left w:w="20" w:type="dxa"/>
              <w:right w:w="20" w:type="dxa"/>
            </w:tcMar>
            <w:vAlign w:val="center"/>
          </w:tcPr>
          <w:p w14:paraId="3C7BF737">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Social-cue configuration × Craving</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11FBEC63">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0.3</w:t>
            </w:r>
          </w:p>
        </w:tc>
        <w:tc>
          <w:tcPr>
            <w:tcW w:w="466" w:type="pct"/>
            <w:tcBorders>
              <w:top w:val="single" w:color="000000" w:sz="8" w:space="0"/>
              <w:bottom w:val="single" w:color="000000" w:sz="8" w:space="0"/>
            </w:tcBorders>
            <w:shd w:val="clear" w:color="auto" w:fill="D9D9D9"/>
            <w:tcMar>
              <w:top w:w="20" w:type="dxa"/>
              <w:left w:w="20" w:type="dxa"/>
              <w:right w:w="20" w:type="dxa"/>
            </w:tcMar>
            <w:vAlign w:val="center"/>
          </w:tcPr>
          <w:p w14:paraId="5EDBB9E4">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2</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7F8B2ABE">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39.6</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1AE3639A">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0.744</w:t>
            </w:r>
          </w:p>
        </w:tc>
      </w:tr>
      <w:tr w14:paraId="3388CBAF">
        <w:trPr>
          <w:trHeight w:val="23" w:hRule="atLeast"/>
        </w:trPr>
        <w:tc>
          <w:tcPr>
            <w:tcW w:w="839" w:type="pct"/>
            <w:vMerge w:val="continue"/>
            <w:shd w:val="clear" w:color="auto" w:fill="BFBFBF"/>
            <w:tcMar>
              <w:top w:w="20" w:type="dxa"/>
              <w:left w:w="20" w:type="dxa"/>
              <w:right w:w="20" w:type="dxa"/>
            </w:tcMar>
            <w:vAlign w:val="center"/>
          </w:tcPr>
          <w:p w14:paraId="4C925EF9">
            <w:pPr>
              <w:rPr>
                <w:rFonts w:hint="eastAsia" w:ascii="宋体"/>
                <w:sz w:val="15"/>
                <w:szCs w:val="15"/>
              </w:rPr>
            </w:pPr>
          </w:p>
        </w:tc>
        <w:tc>
          <w:tcPr>
            <w:tcW w:w="2313" w:type="pct"/>
            <w:tcBorders>
              <w:top w:val="single" w:color="000000" w:sz="8" w:space="0"/>
              <w:bottom w:val="single" w:color="000000" w:sz="8" w:space="0"/>
            </w:tcBorders>
            <w:shd w:val="clear" w:color="auto" w:fill="D9D9D9"/>
            <w:tcMar>
              <w:top w:w="20" w:type="dxa"/>
              <w:left w:w="20" w:type="dxa"/>
              <w:right w:w="20" w:type="dxa"/>
            </w:tcMar>
            <w:vAlign w:val="center"/>
          </w:tcPr>
          <w:p w14:paraId="422BE20E">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Cue congruency × Craving</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625A8602">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0.18</w:t>
            </w:r>
          </w:p>
        </w:tc>
        <w:tc>
          <w:tcPr>
            <w:tcW w:w="466" w:type="pct"/>
            <w:tcBorders>
              <w:top w:val="single" w:color="000000" w:sz="8" w:space="0"/>
              <w:bottom w:val="single" w:color="000000" w:sz="8" w:space="0"/>
            </w:tcBorders>
            <w:shd w:val="clear" w:color="auto" w:fill="D9D9D9"/>
            <w:tcMar>
              <w:top w:w="20" w:type="dxa"/>
              <w:left w:w="20" w:type="dxa"/>
              <w:right w:w="20" w:type="dxa"/>
            </w:tcMar>
            <w:vAlign w:val="center"/>
          </w:tcPr>
          <w:p w14:paraId="686C5D6B">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1</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7EEA2BBC">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5736.1</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2585CF1A">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0.675</w:t>
            </w:r>
          </w:p>
        </w:tc>
      </w:tr>
      <w:tr w14:paraId="4F8B6780">
        <w:trPr>
          <w:trHeight w:val="23" w:hRule="atLeast"/>
        </w:trPr>
        <w:tc>
          <w:tcPr>
            <w:tcW w:w="839" w:type="pct"/>
            <w:vMerge w:val="continue"/>
            <w:tcBorders>
              <w:bottom w:val="single" w:color="000000" w:sz="8" w:space="0"/>
            </w:tcBorders>
            <w:shd w:val="clear" w:color="auto" w:fill="BFBFBF"/>
            <w:tcMar>
              <w:top w:w="20" w:type="dxa"/>
              <w:left w:w="20" w:type="dxa"/>
              <w:right w:w="20" w:type="dxa"/>
            </w:tcMar>
            <w:vAlign w:val="center"/>
          </w:tcPr>
          <w:p w14:paraId="27139D87">
            <w:pPr>
              <w:rPr>
                <w:rFonts w:hint="eastAsia" w:ascii="宋体"/>
                <w:sz w:val="15"/>
                <w:szCs w:val="15"/>
              </w:rPr>
            </w:pPr>
          </w:p>
        </w:tc>
        <w:tc>
          <w:tcPr>
            <w:tcW w:w="2313" w:type="pct"/>
            <w:tcBorders>
              <w:top w:val="single" w:color="000000" w:sz="8" w:space="0"/>
              <w:bottom w:val="single" w:color="000000" w:sz="8" w:space="0"/>
            </w:tcBorders>
            <w:shd w:val="clear" w:color="auto" w:fill="D9D9D9"/>
            <w:tcMar>
              <w:top w:w="20" w:type="dxa"/>
              <w:left w:w="20" w:type="dxa"/>
              <w:right w:w="20" w:type="dxa"/>
            </w:tcMar>
            <w:vAlign w:val="center"/>
          </w:tcPr>
          <w:p w14:paraId="773D8BF4">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Social-cue configuration × Cue congruency × Craving</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6E815088">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0.5</w:t>
            </w:r>
          </w:p>
        </w:tc>
        <w:tc>
          <w:tcPr>
            <w:tcW w:w="466" w:type="pct"/>
            <w:tcBorders>
              <w:top w:val="single" w:color="000000" w:sz="8" w:space="0"/>
              <w:bottom w:val="single" w:color="000000" w:sz="8" w:space="0"/>
            </w:tcBorders>
            <w:shd w:val="clear" w:color="auto" w:fill="D9D9D9"/>
            <w:tcMar>
              <w:top w:w="20" w:type="dxa"/>
              <w:left w:w="20" w:type="dxa"/>
              <w:right w:w="20" w:type="dxa"/>
            </w:tcMar>
            <w:vAlign w:val="center"/>
          </w:tcPr>
          <w:p w14:paraId="46ECD66E">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2</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04E0032E">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5736.5</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427D5D66">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0.605</w:t>
            </w:r>
          </w:p>
        </w:tc>
      </w:tr>
      <w:tr w14:paraId="1EB1CF90">
        <w:trPr>
          <w:trHeight w:val="23" w:hRule="atLeast"/>
        </w:trPr>
        <w:tc>
          <w:tcPr>
            <w:tcW w:w="839" w:type="pct"/>
            <w:vMerge w:val="restart"/>
            <w:tcBorders>
              <w:top w:val="single" w:color="000000" w:sz="8" w:space="0"/>
              <w:bottom w:val="single" w:color="000000" w:sz="8" w:space="0"/>
            </w:tcBorders>
            <w:shd w:val="clear" w:color="auto" w:fill="BFBFBF"/>
            <w:tcMar>
              <w:top w:w="20" w:type="dxa"/>
              <w:left w:w="20" w:type="dxa"/>
              <w:right w:w="20" w:type="dxa"/>
            </w:tcMar>
            <w:vAlign w:val="center"/>
          </w:tcPr>
          <w:p w14:paraId="4FCE29D3">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 ΔScore_societal</w:t>
            </w:r>
          </w:p>
        </w:tc>
        <w:tc>
          <w:tcPr>
            <w:tcW w:w="2313" w:type="pct"/>
            <w:tcBorders>
              <w:top w:val="single" w:color="000000" w:sz="8" w:space="0"/>
              <w:bottom w:val="single" w:color="000000" w:sz="8" w:space="0"/>
            </w:tcBorders>
            <w:shd w:val="clear" w:color="auto" w:fill="D9D9D9"/>
            <w:tcMar>
              <w:top w:w="20" w:type="dxa"/>
              <w:left w:w="20" w:type="dxa"/>
              <w:right w:w="20" w:type="dxa"/>
            </w:tcMar>
            <w:vAlign w:val="center"/>
          </w:tcPr>
          <w:p w14:paraId="5E7267CD">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Craving</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60FA6C70">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0.03</w:t>
            </w:r>
          </w:p>
        </w:tc>
        <w:tc>
          <w:tcPr>
            <w:tcW w:w="466" w:type="pct"/>
            <w:tcBorders>
              <w:top w:val="single" w:color="000000" w:sz="8" w:space="0"/>
              <w:bottom w:val="single" w:color="000000" w:sz="8" w:space="0"/>
            </w:tcBorders>
            <w:shd w:val="clear" w:color="auto" w:fill="D9D9D9"/>
            <w:tcMar>
              <w:top w:w="20" w:type="dxa"/>
              <w:left w:w="20" w:type="dxa"/>
              <w:right w:w="20" w:type="dxa"/>
            </w:tcMar>
            <w:vAlign w:val="center"/>
          </w:tcPr>
          <w:p w14:paraId="4807AE50">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1</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7AEC1DA3">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39.4</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5768AB98">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0.86</w:t>
            </w:r>
          </w:p>
        </w:tc>
      </w:tr>
      <w:tr w14:paraId="1FEEDB72">
        <w:trPr>
          <w:trHeight w:val="23" w:hRule="atLeast"/>
        </w:trPr>
        <w:tc>
          <w:tcPr>
            <w:tcW w:w="839" w:type="pct"/>
            <w:vMerge w:val="continue"/>
            <w:tcBorders>
              <w:top w:val="single" w:color="000000" w:sz="8" w:space="0"/>
              <w:bottom w:val="single" w:color="000000" w:sz="8" w:space="0"/>
            </w:tcBorders>
            <w:shd w:val="clear" w:color="auto" w:fill="BFBFBF"/>
            <w:tcMar>
              <w:top w:w="20" w:type="dxa"/>
              <w:left w:w="20" w:type="dxa"/>
              <w:right w:w="20" w:type="dxa"/>
            </w:tcMar>
            <w:vAlign w:val="center"/>
          </w:tcPr>
          <w:p w14:paraId="2D3B8C5C">
            <w:pPr>
              <w:rPr>
                <w:rFonts w:hint="eastAsia" w:ascii="宋体"/>
                <w:sz w:val="15"/>
                <w:szCs w:val="15"/>
              </w:rPr>
            </w:pPr>
          </w:p>
        </w:tc>
        <w:tc>
          <w:tcPr>
            <w:tcW w:w="2313" w:type="pct"/>
            <w:tcBorders>
              <w:top w:val="single" w:color="000000" w:sz="8" w:space="0"/>
              <w:bottom w:val="single" w:color="000000" w:sz="8" w:space="0"/>
            </w:tcBorders>
            <w:shd w:val="clear" w:color="auto" w:fill="D9D9D9"/>
            <w:tcMar>
              <w:top w:w="20" w:type="dxa"/>
              <w:left w:w="20" w:type="dxa"/>
              <w:right w:w="20" w:type="dxa"/>
            </w:tcMar>
            <w:vAlign w:val="center"/>
          </w:tcPr>
          <w:p w14:paraId="143BDE21">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Social-cue configuration × Craving</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5102E3DA">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1.32</w:t>
            </w:r>
          </w:p>
        </w:tc>
        <w:tc>
          <w:tcPr>
            <w:tcW w:w="466" w:type="pct"/>
            <w:tcBorders>
              <w:top w:val="single" w:color="000000" w:sz="8" w:space="0"/>
              <w:bottom w:val="single" w:color="000000" w:sz="8" w:space="0"/>
            </w:tcBorders>
            <w:shd w:val="clear" w:color="auto" w:fill="D9D9D9"/>
            <w:tcMar>
              <w:top w:w="20" w:type="dxa"/>
              <w:left w:w="20" w:type="dxa"/>
              <w:right w:w="20" w:type="dxa"/>
            </w:tcMar>
            <w:vAlign w:val="center"/>
          </w:tcPr>
          <w:p w14:paraId="6439D66A">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2</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37BD61B4">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53</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34354EE5">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0.276</w:t>
            </w:r>
          </w:p>
        </w:tc>
      </w:tr>
      <w:tr w14:paraId="20F49108">
        <w:trPr>
          <w:trHeight w:val="23" w:hRule="atLeast"/>
        </w:trPr>
        <w:tc>
          <w:tcPr>
            <w:tcW w:w="839" w:type="pct"/>
            <w:vMerge w:val="continue"/>
            <w:tcBorders>
              <w:top w:val="single" w:color="000000" w:sz="8" w:space="0"/>
              <w:bottom w:val="single" w:color="000000" w:sz="8" w:space="0"/>
            </w:tcBorders>
            <w:shd w:val="clear" w:color="auto" w:fill="BFBFBF"/>
            <w:tcMar>
              <w:top w:w="20" w:type="dxa"/>
              <w:left w:w="20" w:type="dxa"/>
              <w:right w:w="20" w:type="dxa"/>
            </w:tcMar>
            <w:vAlign w:val="center"/>
          </w:tcPr>
          <w:p w14:paraId="53D211C5">
            <w:pPr>
              <w:rPr>
                <w:rFonts w:hint="eastAsia" w:ascii="宋体"/>
                <w:sz w:val="15"/>
                <w:szCs w:val="15"/>
              </w:rPr>
            </w:pPr>
          </w:p>
        </w:tc>
        <w:tc>
          <w:tcPr>
            <w:tcW w:w="2313" w:type="pct"/>
            <w:tcBorders>
              <w:top w:val="single" w:color="000000" w:sz="8" w:space="0"/>
              <w:bottom w:val="single" w:color="000000" w:sz="8" w:space="0"/>
            </w:tcBorders>
            <w:shd w:val="clear" w:color="auto" w:fill="D9D9D9"/>
            <w:tcMar>
              <w:top w:w="20" w:type="dxa"/>
              <w:left w:w="20" w:type="dxa"/>
              <w:right w:w="20" w:type="dxa"/>
            </w:tcMar>
            <w:vAlign w:val="center"/>
          </w:tcPr>
          <w:p w14:paraId="1A7379A9">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Cue congruency × Craving</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166283E4">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1.51</w:t>
            </w:r>
          </w:p>
        </w:tc>
        <w:tc>
          <w:tcPr>
            <w:tcW w:w="466" w:type="pct"/>
            <w:tcBorders>
              <w:top w:val="single" w:color="000000" w:sz="8" w:space="0"/>
              <w:bottom w:val="single" w:color="000000" w:sz="8" w:space="0"/>
            </w:tcBorders>
            <w:shd w:val="clear" w:color="auto" w:fill="D9D9D9"/>
            <w:tcMar>
              <w:top w:w="20" w:type="dxa"/>
              <w:left w:w="20" w:type="dxa"/>
              <w:right w:w="20" w:type="dxa"/>
            </w:tcMar>
            <w:vAlign w:val="center"/>
          </w:tcPr>
          <w:p w14:paraId="49D56FA5">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1</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75C367A5">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5741.5</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7F33990B">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0.219</w:t>
            </w:r>
          </w:p>
        </w:tc>
      </w:tr>
      <w:tr w14:paraId="649C0D15">
        <w:trPr>
          <w:trHeight w:val="23" w:hRule="atLeast"/>
        </w:trPr>
        <w:tc>
          <w:tcPr>
            <w:tcW w:w="839" w:type="pct"/>
            <w:vMerge w:val="continue"/>
            <w:tcBorders>
              <w:top w:val="single" w:color="000000" w:sz="8" w:space="0"/>
              <w:bottom w:val="single" w:color="000000" w:sz="8" w:space="0"/>
            </w:tcBorders>
            <w:shd w:val="clear" w:color="auto" w:fill="BFBFBF"/>
            <w:tcMar>
              <w:top w:w="20" w:type="dxa"/>
              <w:left w:w="20" w:type="dxa"/>
              <w:right w:w="20" w:type="dxa"/>
            </w:tcMar>
            <w:vAlign w:val="center"/>
          </w:tcPr>
          <w:p w14:paraId="0E60E3A8">
            <w:pPr>
              <w:rPr>
                <w:rFonts w:hint="eastAsia" w:ascii="宋体"/>
                <w:sz w:val="15"/>
                <w:szCs w:val="15"/>
              </w:rPr>
            </w:pPr>
          </w:p>
        </w:tc>
        <w:tc>
          <w:tcPr>
            <w:tcW w:w="2313" w:type="pct"/>
            <w:tcBorders>
              <w:top w:val="single" w:color="000000" w:sz="8" w:space="0"/>
              <w:bottom w:val="single" w:color="000000" w:sz="8" w:space="0"/>
            </w:tcBorders>
            <w:shd w:val="clear" w:color="auto" w:fill="D9D9D9"/>
            <w:tcMar>
              <w:top w:w="20" w:type="dxa"/>
              <w:left w:w="20" w:type="dxa"/>
              <w:right w:w="20" w:type="dxa"/>
            </w:tcMar>
            <w:vAlign w:val="center"/>
          </w:tcPr>
          <w:p w14:paraId="40B69903">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Social-cue configuration × Cue congruency × Craving</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609A7BDC">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1.27</w:t>
            </w:r>
          </w:p>
        </w:tc>
        <w:tc>
          <w:tcPr>
            <w:tcW w:w="466" w:type="pct"/>
            <w:tcBorders>
              <w:top w:val="single" w:color="000000" w:sz="8" w:space="0"/>
              <w:bottom w:val="single" w:color="000000" w:sz="8" w:space="0"/>
            </w:tcBorders>
            <w:shd w:val="clear" w:color="auto" w:fill="D9D9D9"/>
            <w:tcMar>
              <w:top w:w="20" w:type="dxa"/>
              <w:left w:w="20" w:type="dxa"/>
              <w:right w:w="20" w:type="dxa"/>
            </w:tcMar>
            <w:vAlign w:val="center"/>
          </w:tcPr>
          <w:p w14:paraId="2AF11855">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2</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5CFC0E1F">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5750</w:t>
            </w:r>
          </w:p>
        </w:tc>
        <w:tc>
          <w:tcPr>
            <w:tcW w:w="460" w:type="pct"/>
            <w:tcBorders>
              <w:top w:val="single" w:color="000000" w:sz="8" w:space="0"/>
              <w:bottom w:val="single" w:color="000000" w:sz="8" w:space="0"/>
            </w:tcBorders>
            <w:shd w:val="clear" w:color="auto" w:fill="D9D9D9"/>
            <w:tcMar>
              <w:top w:w="20" w:type="dxa"/>
              <w:left w:w="20" w:type="dxa"/>
              <w:right w:w="20" w:type="dxa"/>
            </w:tcMar>
            <w:vAlign w:val="center"/>
          </w:tcPr>
          <w:p w14:paraId="0B0DDFA2">
            <w:pPr>
              <w:pStyle w:val="5"/>
              <w:keepNext w:val="0"/>
              <w:keepLines w:val="0"/>
              <w:widowControl/>
              <w:suppressLineNumbers w:val="0"/>
              <w:rPr>
                <w:sz w:val="15"/>
                <w:szCs w:val="15"/>
              </w:rPr>
            </w:pPr>
            <w:r>
              <w:rPr>
                <w:rFonts w:hint="default" w:ascii="Arial Regular" w:hAnsi="Arial Regular" w:eastAsia="Arial Regular" w:cs="Arial Regular"/>
                <w:color w:val="000000"/>
                <w:sz w:val="15"/>
                <w:szCs w:val="15"/>
              </w:rPr>
              <w:t>0.28</w:t>
            </w:r>
          </w:p>
        </w:tc>
      </w:tr>
    </w:tbl>
    <w:p w14:paraId="2441DB2B">
      <w:pPr>
        <w:jc w:val="left"/>
        <w:rPr>
          <w:rFonts w:hint="default" w:ascii="Times New Roman Regular" w:hAnsi="Times New Roman Regular" w:cs="Times New Roman Regular"/>
          <w:sz w:val="18"/>
          <w:szCs w:val="18"/>
          <w:lang w:val="en-US"/>
        </w:rPr>
      </w:pPr>
    </w:p>
    <w:p w14:paraId="5439A78C">
      <w:pPr>
        <w:jc w:val="left"/>
        <w:rPr>
          <w:rFonts w:hint="default" w:ascii="Times New Roman Regular" w:hAnsi="Times New Roman Regular" w:cs="Times New Roman Regular"/>
          <w:sz w:val="18"/>
          <w:szCs w:val="18"/>
          <w:lang w:val="en-US"/>
        </w:rPr>
      </w:pPr>
    </w:p>
    <w:p w14:paraId="7B8644E6">
      <w:pPr>
        <w:jc w:val="left"/>
        <w:rPr>
          <w:rFonts w:hint="default" w:ascii="Times New Roman Regular" w:hAnsi="Times New Roman Regular" w:cs="Times New Roman Regular"/>
          <w:sz w:val="18"/>
          <w:szCs w:val="18"/>
          <w:lang w:val="en-US"/>
        </w:rPr>
      </w:pPr>
    </w:p>
    <w:p w14:paraId="23FB5867">
      <w:pPr>
        <w:keepNext/>
        <w:jc w:val="left"/>
        <w:rPr>
          <w:rFonts w:hint="default" w:ascii="Times New Roman Bold" w:hAnsi="Times New Roman Bold" w:cs="Times New Roman Bold"/>
          <w:b/>
          <w:bCs/>
          <w:sz w:val="21"/>
          <w:szCs w:val="21"/>
        </w:rPr>
      </w:pPr>
      <w:r>
        <w:rPr>
          <w:rFonts w:hint="default" w:ascii="Times New Roman Bold" w:hAnsi="Times New Roman Bold" w:cs="Times New Roman Bold"/>
          <w:b/>
          <w:bCs/>
          <w:sz w:val="21"/>
          <w:szCs w:val="21"/>
          <w:lang w:val="en-US"/>
        </w:rPr>
        <w:t>Supplementary Table 3 | Sex-related effects on source-directed social updating.</w:t>
      </w:r>
    </w:p>
    <w:p w14:paraId="048C5F51">
      <w:pPr>
        <w:keepNex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rPr>
        <w:t xml:space="preserve">Exploratory linear mixed-effects models tested associations between sex and source-directed updating, including sex, Group × sex, and cue congruency × sex effects for DeltaScore_peer and DeltaScore_societal. Cue congruency × sex effects were observed for both outcomes, and a Group × sex effect was observed for DeltaScore_societal. </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382"/>
        <w:gridCol w:w="2231"/>
        <w:gridCol w:w="461"/>
        <w:gridCol w:w="475"/>
        <w:gridCol w:w="610"/>
        <w:gridCol w:w="599"/>
      </w:tblGrid>
      <w:tr w14:paraId="438F88B2">
        <w:trPr>
          <w:cantSplit/>
          <w:trHeight w:val="176" w:hRule="atLeast"/>
          <w:jc w:val="center"/>
        </w:trPr>
        <w:tc>
          <w:tcPr>
            <w:tcW w:w="1382" w:type="dxa"/>
            <w:tcBorders>
              <w:top w:val="single" w:color="000000" w:sz="8" w:space="0"/>
              <w:bottom w:val="single" w:color="000000" w:sz="8" w:space="0"/>
            </w:tcBorders>
            <w:shd w:val="clear" w:color="auto" w:fill="BFBFBF"/>
            <w:tcMar>
              <w:top w:w="20" w:type="dxa"/>
              <w:left w:w="20" w:type="dxa"/>
              <w:right w:w="20" w:type="dxa"/>
            </w:tcMar>
            <w:vAlign w:val="center"/>
          </w:tcPr>
          <w:p w14:paraId="7FD678E5">
            <w:pPr>
              <w:pStyle w:val="5"/>
              <w:keepNext w:val="0"/>
              <w:keepLines w:val="0"/>
              <w:widowControl/>
              <w:suppressLineNumbers w:val="0"/>
              <w:rPr>
                <w:sz w:val="13"/>
                <w:szCs w:val="13"/>
              </w:rPr>
            </w:pPr>
            <w:r>
              <w:rPr>
                <w:rFonts w:ascii="Arial Regular" w:hAnsi="Arial Regular" w:eastAsia="Arial Regular" w:cs="Arial Regular"/>
                <w:color w:val="000000"/>
                <w:sz w:val="13"/>
                <w:szCs w:val="13"/>
              </w:rPr>
              <w:t>Outcome</w:t>
            </w:r>
          </w:p>
        </w:tc>
        <w:tc>
          <w:tcPr>
            <w:tcW w:w="2231" w:type="dxa"/>
            <w:tcBorders>
              <w:top w:val="single" w:color="000000" w:sz="8" w:space="0"/>
              <w:bottom w:val="single" w:color="000000" w:sz="8" w:space="0"/>
            </w:tcBorders>
            <w:shd w:val="clear" w:color="auto" w:fill="BFBFBF"/>
            <w:tcMar>
              <w:top w:w="20" w:type="dxa"/>
              <w:left w:w="20" w:type="dxa"/>
              <w:right w:w="20" w:type="dxa"/>
            </w:tcMar>
            <w:vAlign w:val="center"/>
          </w:tcPr>
          <w:p w14:paraId="26412FB4">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Effect</w:t>
            </w:r>
          </w:p>
        </w:tc>
        <w:tc>
          <w:tcPr>
            <w:tcW w:w="461" w:type="dxa"/>
            <w:tcBorders>
              <w:top w:val="single" w:color="000000" w:sz="8" w:space="0"/>
              <w:bottom w:val="single" w:color="000000" w:sz="8" w:space="0"/>
            </w:tcBorders>
            <w:shd w:val="clear" w:color="auto" w:fill="BFBFBF"/>
            <w:tcMar>
              <w:top w:w="20" w:type="dxa"/>
              <w:left w:w="20" w:type="dxa"/>
              <w:right w:w="20" w:type="dxa"/>
            </w:tcMar>
            <w:vAlign w:val="center"/>
          </w:tcPr>
          <w:p w14:paraId="72A33985">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F</w:t>
            </w:r>
          </w:p>
        </w:tc>
        <w:tc>
          <w:tcPr>
            <w:tcW w:w="475" w:type="dxa"/>
            <w:tcBorders>
              <w:top w:val="single" w:color="000000" w:sz="8" w:space="0"/>
              <w:bottom w:val="single" w:color="000000" w:sz="8" w:space="0"/>
            </w:tcBorders>
            <w:shd w:val="clear" w:color="auto" w:fill="BFBFBF"/>
            <w:tcMar>
              <w:top w:w="20" w:type="dxa"/>
              <w:left w:w="20" w:type="dxa"/>
              <w:right w:w="20" w:type="dxa"/>
            </w:tcMar>
            <w:vAlign w:val="center"/>
          </w:tcPr>
          <w:p w14:paraId="643A65FF">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df1</w:t>
            </w:r>
          </w:p>
        </w:tc>
        <w:tc>
          <w:tcPr>
            <w:tcW w:w="610" w:type="dxa"/>
            <w:tcBorders>
              <w:top w:val="single" w:color="000000" w:sz="8" w:space="0"/>
              <w:bottom w:val="single" w:color="000000" w:sz="8" w:space="0"/>
            </w:tcBorders>
            <w:shd w:val="clear" w:color="auto" w:fill="BFBFBF"/>
            <w:tcMar>
              <w:top w:w="20" w:type="dxa"/>
              <w:left w:w="20" w:type="dxa"/>
              <w:right w:w="20" w:type="dxa"/>
            </w:tcMar>
            <w:vAlign w:val="center"/>
          </w:tcPr>
          <w:p w14:paraId="728954F5">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df2</w:t>
            </w:r>
          </w:p>
        </w:tc>
        <w:tc>
          <w:tcPr>
            <w:tcW w:w="599" w:type="dxa"/>
            <w:tcBorders>
              <w:top w:val="single" w:color="000000" w:sz="8" w:space="0"/>
              <w:bottom w:val="single" w:color="000000" w:sz="8" w:space="0"/>
            </w:tcBorders>
            <w:shd w:val="clear" w:color="auto" w:fill="BFBFBF"/>
            <w:tcMar>
              <w:top w:w="20" w:type="dxa"/>
              <w:left w:w="20" w:type="dxa"/>
              <w:right w:w="20" w:type="dxa"/>
            </w:tcMar>
            <w:vAlign w:val="center"/>
          </w:tcPr>
          <w:p w14:paraId="3043BD26">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p</w:t>
            </w:r>
          </w:p>
        </w:tc>
      </w:tr>
      <w:tr w14:paraId="03F5DD14">
        <w:trPr>
          <w:cantSplit/>
          <w:trHeight w:val="176" w:hRule="atLeast"/>
          <w:jc w:val="center"/>
        </w:trPr>
        <w:tc>
          <w:tcPr>
            <w:tcW w:w="1382" w:type="dxa"/>
            <w:vMerge w:val="restart"/>
            <w:tcBorders>
              <w:top w:val="single" w:color="000000" w:sz="8" w:space="0"/>
              <w:bottom w:val="single" w:color="000000" w:sz="8" w:space="0"/>
            </w:tcBorders>
            <w:shd w:val="clear" w:color="auto" w:fill="BFBFBF"/>
            <w:tcMar>
              <w:top w:w="20" w:type="dxa"/>
              <w:left w:w="20" w:type="dxa"/>
              <w:right w:w="20" w:type="dxa"/>
            </w:tcMar>
            <w:vAlign w:val="center"/>
          </w:tcPr>
          <w:p w14:paraId="6EC71AA3">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ΔScore_peer </w:t>
            </w:r>
          </w:p>
        </w:tc>
        <w:tc>
          <w:tcPr>
            <w:tcW w:w="2231" w:type="dxa"/>
            <w:tcBorders>
              <w:top w:val="single" w:color="000000" w:sz="8" w:space="0"/>
              <w:bottom w:val="single" w:color="000000" w:sz="8" w:space="0"/>
            </w:tcBorders>
            <w:shd w:val="clear" w:color="auto" w:fill="D9D9D9"/>
            <w:tcMar>
              <w:top w:w="20" w:type="dxa"/>
              <w:left w:w="20" w:type="dxa"/>
              <w:right w:w="20" w:type="dxa"/>
            </w:tcMar>
            <w:vAlign w:val="center"/>
          </w:tcPr>
          <w:p w14:paraId="39DBDF05">
            <w:pPr>
              <w:pStyle w:val="5"/>
              <w:keepNext w:val="0"/>
              <w:keepLines w:val="0"/>
              <w:widowControl/>
              <w:suppressLineNumbers w:val="0"/>
              <w:rPr>
                <w:rFonts w:hint="default"/>
                <w:sz w:val="13"/>
                <w:szCs w:val="13"/>
                <w:lang w:val="en-US"/>
              </w:rPr>
            </w:pPr>
            <w:r>
              <w:rPr>
                <w:rFonts w:hint="default" w:ascii="Arial Regular" w:hAnsi="Arial Regular" w:eastAsia="Arial Regular" w:cs="Arial Regular"/>
                <w:color w:val="000000"/>
                <w:sz w:val="13"/>
                <w:szCs w:val="13"/>
                <w:lang w:val="en-US"/>
              </w:rPr>
              <w:t>Sex</w:t>
            </w:r>
          </w:p>
        </w:tc>
        <w:tc>
          <w:tcPr>
            <w:tcW w:w="461" w:type="dxa"/>
            <w:tcBorders>
              <w:top w:val="single" w:color="000000" w:sz="8" w:space="0"/>
              <w:bottom w:val="single" w:color="000000" w:sz="8" w:space="0"/>
            </w:tcBorders>
            <w:shd w:val="clear" w:color="auto" w:fill="D9D9D9"/>
            <w:tcMar>
              <w:top w:w="20" w:type="dxa"/>
              <w:left w:w="20" w:type="dxa"/>
              <w:right w:w="20" w:type="dxa"/>
            </w:tcMar>
            <w:vAlign w:val="center"/>
          </w:tcPr>
          <w:p w14:paraId="6FDA4F7F">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1.17</w:t>
            </w:r>
          </w:p>
        </w:tc>
        <w:tc>
          <w:tcPr>
            <w:tcW w:w="475" w:type="dxa"/>
            <w:tcBorders>
              <w:top w:val="single" w:color="000000" w:sz="8" w:space="0"/>
              <w:bottom w:val="single" w:color="000000" w:sz="8" w:space="0"/>
            </w:tcBorders>
            <w:shd w:val="clear" w:color="auto" w:fill="D9D9D9"/>
            <w:tcMar>
              <w:top w:w="20" w:type="dxa"/>
              <w:left w:w="20" w:type="dxa"/>
              <w:right w:w="20" w:type="dxa"/>
            </w:tcMar>
            <w:vAlign w:val="center"/>
          </w:tcPr>
          <w:p w14:paraId="1875FE60">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1</w:t>
            </w:r>
          </w:p>
        </w:tc>
        <w:tc>
          <w:tcPr>
            <w:tcW w:w="610" w:type="dxa"/>
            <w:tcBorders>
              <w:top w:val="single" w:color="000000" w:sz="8" w:space="0"/>
              <w:bottom w:val="single" w:color="000000" w:sz="8" w:space="0"/>
            </w:tcBorders>
            <w:shd w:val="clear" w:color="auto" w:fill="D9D9D9"/>
            <w:tcMar>
              <w:top w:w="20" w:type="dxa"/>
              <w:left w:w="20" w:type="dxa"/>
              <w:right w:w="20" w:type="dxa"/>
            </w:tcMar>
            <w:vAlign w:val="center"/>
          </w:tcPr>
          <w:p w14:paraId="362D2C8A">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202.3</w:t>
            </w:r>
          </w:p>
        </w:tc>
        <w:tc>
          <w:tcPr>
            <w:tcW w:w="599" w:type="dxa"/>
            <w:tcBorders>
              <w:top w:val="single" w:color="000000" w:sz="8" w:space="0"/>
              <w:bottom w:val="single" w:color="000000" w:sz="8" w:space="0"/>
            </w:tcBorders>
            <w:shd w:val="clear" w:color="auto" w:fill="D9D9D9"/>
            <w:tcMar>
              <w:top w:w="20" w:type="dxa"/>
              <w:left w:w="20" w:type="dxa"/>
              <w:right w:w="20" w:type="dxa"/>
            </w:tcMar>
            <w:vAlign w:val="center"/>
          </w:tcPr>
          <w:p w14:paraId="58B50873">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0.281</w:t>
            </w:r>
          </w:p>
        </w:tc>
      </w:tr>
      <w:tr w14:paraId="0033D07C">
        <w:trPr>
          <w:cantSplit/>
          <w:trHeight w:val="176" w:hRule="atLeast"/>
          <w:jc w:val="center"/>
        </w:trPr>
        <w:tc>
          <w:tcPr>
            <w:tcW w:w="1382" w:type="dxa"/>
            <w:vMerge w:val="continue"/>
            <w:tcBorders>
              <w:top w:val="single" w:color="000000" w:sz="8" w:space="0"/>
              <w:bottom w:val="single" w:color="000000" w:sz="8" w:space="0"/>
            </w:tcBorders>
            <w:shd w:val="clear" w:color="auto" w:fill="BFBFBF"/>
            <w:tcMar>
              <w:top w:w="20" w:type="dxa"/>
              <w:left w:w="20" w:type="dxa"/>
              <w:right w:w="20" w:type="dxa"/>
            </w:tcMar>
            <w:vAlign w:val="center"/>
          </w:tcPr>
          <w:p w14:paraId="605C27D9">
            <w:pPr>
              <w:rPr>
                <w:rFonts w:hint="eastAsia" w:ascii="宋体"/>
                <w:sz w:val="13"/>
                <w:szCs w:val="13"/>
              </w:rPr>
            </w:pPr>
          </w:p>
        </w:tc>
        <w:tc>
          <w:tcPr>
            <w:tcW w:w="2231" w:type="dxa"/>
            <w:tcBorders>
              <w:top w:val="single" w:color="000000" w:sz="8" w:space="0"/>
              <w:bottom w:val="single" w:color="000000" w:sz="8" w:space="0"/>
            </w:tcBorders>
            <w:shd w:val="clear" w:color="auto" w:fill="D9D9D9"/>
            <w:tcMar>
              <w:top w:w="20" w:type="dxa"/>
              <w:left w:w="20" w:type="dxa"/>
              <w:right w:w="20" w:type="dxa"/>
            </w:tcMar>
            <w:vAlign w:val="center"/>
          </w:tcPr>
          <w:p w14:paraId="6083AE64">
            <w:pPr>
              <w:pStyle w:val="5"/>
              <w:keepNext w:val="0"/>
              <w:keepLines w:val="0"/>
              <w:widowControl/>
              <w:suppressLineNumbers w:val="0"/>
              <w:rPr>
                <w:rFonts w:hint="default"/>
                <w:sz w:val="13"/>
                <w:szCs w:val="13"/>
                <w:lang w:val="en-US"/>
              </w:rPr>
            </w:pPr>
            <w:r>
              <w:rPr>
                <w:rFonts w:hint="default" w:ascii="Arial Regular" w:hAnsi="Arial Regular" w:eastAsia="Arial Regular" w:cs="Arial Regular"/>
                <w:color w:val="000000"/>
                <w:sz w:val="13"/>
                <w:szCs w:val="13"/>
              </w:rPr>
              <w:t>Group × </w:t>
            </w:r>
            <w:r>
              <w:rPr>
                <w:rFonts w:hint="default" w:ascii="Arial Regular" w:hAnsi="Arial Regular" w:eastAsia="Arial Regular" w:cs="Arial Regular"/>
                <w:color w:val="000000"/>
                <w:sz w:val="13"/>
                <w:szCs w:val="13"/>
                <w:lang w:val="en-US"/>
              </w:rPr>
              <w:t>Sex</w:t>
            </w:r>
          </w:p>
        </w:tc>
        <w:tc>
          <w:tcPr>
            <w:tcW w:w="461" w:type="dxa"/>
            <w:tcBorders>
              <w:top w:val="single" w:color="000000" w:sz="8" w:space="0"/>
              <w:bottom w:val="single" w:color="000000" w:sz="8" w:space="0"/>
            </w:tcBorders>
            <w:shd w:val="clear" w:color="auto" w:fill="D9D9D9"/>
            <w:tcMar>
              <w:top w:w="20" w:type="dxa"/>
              <w:left w:w="20" w:type="dxa"/>
              <w:right w:w="20" w:type="dxa"/>
            </w:tcMar>
            <w:vAlign w:val="center"/>
          </w:tcPr>
          <w:p w14:paraId="0D2E66A3">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0.01</w:t>
            </w:r>
          </w:p>
        </w:tc>
        <w:tc>
          <w:tcPr>
            <w:tcW w:w="475" w:type="dxa"/>
            <w:tcBorders>
              <w:top w:val="single" w:color="000000" w:sz="8" w:space="0"/>
              <w:bottom w:val="single" w:color="000000" w:sz="8" w:space="0"/>
            </w:tcBorders>
            <w:shd w:val="clear" w:color="auto" w:fill="D9D9D9"/>
            <w:tcMar>
              <w:top w:w="20" w:type="dxa"/>
              <w:left w:w="20" w:type="dxa"/>
              <w:right w:w="20" w:type="dxa"/>
            </w:tcMar>
            <w:vAlign w:val="center"/>
          </w:tcPr>
          <w:p w14:paraId="2AF7AE3F">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1</w:t>
            </w:r>
          </w:p>
        </w:tc>
        <w:tc>
          <w:tcPr>
            <w:tcW w:w="610" w:type="dxa"/>
            <w:tcBorders>
              <w:top w:val="single" w:color="000000" w:sz="8" w:space="0"/>
              <w:bottom w:val="single" w:color="000000" w:sz="8" w:space="0"/>
            </w:tcBorders>
            <w:shd w:val="clear" w:color="auto" w:fill="D9D9D9"/>
            <w:tcMar>
              <w:top w:w="20" w:type="dxa"/>
              <w:left w:w="20" w:type="dxa"/>
              <w:right w:w="20" w:type="dxa"/>
            </w:tcMar>
            <w:vAlign w:val="center"/>
          </w:tcPr>
          <w:p w14:paraId="67583494">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1346.2</w:t>
            </w:r>
          </w:p>
        </w:tc>
        <w:tc>
          <w:tcPr>
            <w:tcW w:w="599" w:type="dxa"/>
            <w:tcBorders>
              <w:top w:val="single" w:color="000000" w:sz="8" w:space="0"/>
              <w:bottom w:val="single" w:color="000000" w:sz="8" w:space="0"/>
            </w:tcBorders>
            <w:shd w:val="clear" w:color="auto" w:fill="D9D9D9"/>
            <w:tcMar>
              <w:top w:w="20" w:type="dxa"/>
              <w:left w:w="20" w:type="dxa"/>
              <w:right w:w="20" w:type="dxa"/>
            </w:tcMar>
            <w:vAlign w:val="center"/>
          </w:tcPr>
          <w:p w14:paraId="41347C66">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0.913</w:t>
            </w:r>
          </w:p>
        </w:tc>
      </w:tr>
      <w:tr w14:paraId="7B1DE658">
        <w:trPr>
          <w:cantSplit/>
          <w:trHeight w:val="176" w:hRule="atLeast"/>
          <w:jc w:val="center"/>
        </w:trPr>
        <w:tc>
          <w:tcPr>
            <w:tcW w:w="1382" w:type="dxa"/>
            <w:vMerge w:val="continue"/>
            <w:tcBorders>
              <w:top w:val="single" w:color="000000" w:sz="8" w:space="0"/>
              <w:bottom w:val="single" w:color="000000" w:sz="8" w:space="0"/>
            </w:tcBorders>
            <w:shd w:val="clear" w:color="auto" w:fill="BFBFBF"/>
            <w:tcMar>
              <w:top w:w="20" w:type="dxa"/>
              <w:left w:w="20" w:type="dxa"/>
              <w:right w:w="20" w:type="dxa"/>
            </w:tcMar>
            <w:vAlign w:val="center"/>
          </w:tcPr>
          <w:p w14:paraId="287BA93C">
            <w:pPr>
              <w:rPr>
                <w:rFonts w:hint="eastAsia" w:ascii="宋体"/>
                <w:sz w:val="13"/>
                <w:szCs w:val="13"/>
              </w:rPr>
            </w:pPr>
          </w:p>
        </w:tc>
        <w:tc>
          <w:tcPr>
            <w:tcW w:w="2231" w:type="dxa"/>
            <w:tcBorders>
              <w:top w:val="single" w:color="000000" w:sz="8" w:space="0"/>
              <w:bottom w:val="single" w:color="000000" w:sz="8" w:space="0"/>
            </w:tcBorders>
            <w:shd w:val="clear" w:color="auto" w:fill="D9D9D9"/>
            <w:tcMar>
              <w:top w:w="20" w:type="dxa"/>
              <w:left w:w="20" w:type="dxa"/>
              <w:right w:w="20" w:type="dxa"/>
            </w:tcMar>
            <w:vAlign w:val="center"/>
          </w:tcPr>
          <w:p w14:paraId="4A6D6BA7">
            <w:pPr>
              <w:pStyle w:val="5"/>
              <w:keepNext w:val="0"/>
              <w:keepLines w:val="0"/>
              <w:widowControl/>
              <w:suppressLineNumbers w:val="0"/>
              <w:rPr>
                <w:rFonts w:hint="default"/>
                <w:sz w:val="13"/>
                <w:szCs w:val="13"/>
                <w:lang w:val="en-US"/>
              </w:rPr>
            </w:pPr>
            <w:r>
              <w:rPr>
                <w:rFonts w:hint="default" w:ascii="Arial Regular" w:hAnsi="Arial Regular" w:eastAsia="Arial Regular" w:cs="Arial Regular"/>
                <w:color w:val="000000"/>
                <w:sz w:val="13"/>
                <w:szCs w:val="13"/>
              </w:rPr>
              <w:t>Cue congruency × </w:t>
            </w:r>
            <w:r>
              <w:rPr>
                <w:rFonts w:hint="default" w:ascii="Arial Regular" w:hAnsi="Arial Regular" w:eastAsia="Arial Regular" w:cs="Arial Regular"/>
                <w:color w:val="000000"/>
                <w:sz w:val="13"/>
                <w:szCs w:val="13"/>
                <w:lang w:val="en-US"/>
              </w:rPr>
              <w:t>Sex</w:t>
            </w:r>
          </w:p>
        </w:tc>
        <w:tc>
          <w:tcPr>
            <w:tcW w:w="461" w:type="dxa"/>
            <w:tcBorders>
              <w:top w:val="single" w:color="000000" w:sz="8" w:space="0"/>
              <w:bottom w:val="single" w:color="000000" w:sz="8" w:space="0"/>
            </w:tcBorders>
            <w:shd w:val="clear" w:color="auto" w:fill="D9D9D9"/>
            <w:tcMar>
              <w:top w:w="20" w:type="dxa"/>
              <w:left w:w="20" w:type="dxa"/>
              <w:right w:w="20" w:type="dxa"/>
            </w:tcMar>
            <w:vAlign w:val="center"/>
          </w:tcPr>
          <w:p w14:paraId="12170B42">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16.76</w:t>
            </w:r>
          </w:p>
        </w:tc>
        <w:tc>
          <w:tcPr>
            <w:tcW w:w="475" w:type="dxa"/>
            <w:tcBorders>
              <w:top w:val="single" w:color="000000" w:sz="8" w:space="0"/>
              <w:bottom w:val="single" w:color="000000" w:sz="8" w:space="0"/>
            </w:tcBorders>
            <w:shd w:val="clear" w:color="auto" w:fill="D9D9D9"/>
            <w:tcMar>
              <w:top w:w="20" w:type="dxa"/>
              <w:left w:w="20" w:type="dxa"/>
              <w:right w:w="20" w:type="dxa"/>
            </w:tcMar>
            <w:vAlign w:val="center"/>
          </w:tcPr>
          <w:p w14:paraId="2184DDCA">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1</w:t>
            </w:r>
          </w:p>
        </w:tc>
        <w:tc>
          <w:tcPr>
            <w:tcW w:w="610" w:type="dxa"/>
            <w:tcBorders>
              <w:top w:val="single" w:color="000000" w:sz="8" w:space="0"/>
              <w:bottom w:val="single" w:color="000000" w:sz="8" w:space="0"/>
            </w:tcBorders>
            <w:shd w:val="clear" w:color="auto" w:fill="D9D9D9"/>
            <w:tcMar>
              <w:top w:w="20" w:type="dxa"/>
              <w:left w:w="20" w:type="dxa"/>
              <w:right w:w="20" w:type="dxa"/>
            </w:tcMar>
            <w:vAlign w:val="center"/>
          </w:tcPr>
          <w:p w14:paraId="619BAC5A">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12031.1</w:t>
            </w:r>
          </w:p>
        </w:tc>
        <w:tc>
          <w:tcPr>
            <w:tcW w:w="599" w:type="dxa"/>
            <w:tcBorders>
              <w:top w:val="single" w:color="000000" w:sz="8" w:space="0"/>
              <w:bottom w:val="single" w:color="000000" w:sz="8" w:space="0"/>
            </w:tcBorders>
            <w:shd w:val="clear" w:color="auto" w:fill="D9D9D9"/>
            <w:tcMar>
              <w:top w:w="20" w:type="dxa"/>
              <w:left w:w="20" w:type="dxa"/>
              <w:right w:w="20" w:type="dxa"/>
            </w:tcMar>
            <w:vAlign w:val="center"/>
          </w:tcPr>
          <w:p w14:paraId="67E684B4">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&lt; .001 </w:t>
            </w:r>
          </w:p>
        </w:tc>
      </w:tr>
      <w:tr w14:paraId="297970FD">
        <w:trPr>
          <w:cantSplit/>
          <w:trHeight w:val="176" w:hRule="atLeast"/>
          <w:jc w:val="center"/>
        </w:trPr>
        <w:tc>
          <w:tcPr>
            <w:tcW w:w="1382" w:type="dxa"/>
            <w:vMerge w:val="restart"/>
            <w:tcBorders>
              <w:top w:val="single" w:color="000000" w:sz="8" w:space="0"/>
              <w:bottom w:val="single" w:color="000000" w:sz="8" w:space="0"/>
            </w:tcBorders>
            <w:shd w:val="clear" w:color="auto" w:fill="BFBFBF"/>
            <w:tcMar>
              <w:top w:w="20" w:type="dxa"/>
              <w:left w:w="20" w:type="dxa"/>
              <w:right w:w="20" w:type="dxa"/>
            </w:tcMar>
            <w:vAlign w:val="center"/>
          </w:tcPr>
          <w:p w14:paraId="30425A6D">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 ΔScore_societal</w:t>
            </w:r>
          </w:p>
        </w:tc>
        <w:tc>
          <w:tcPr>
            <w:tcW w:w="2231" w:type="dxa"/>
            <w:tcBorders>
              <w:top w:val="single" w:color="000000" w:sz="8" w:space="0"/>
              <w:bottom w:val="single" w:color="000000" w:sz="8" w:space="0"/>
            </w:tcBorders>
            <w:shd w:val="clear" w:color="auto" w:fill="D9D9D9"/>
            <w:tcMar>
              <w:top w:w="20" w:type="dxa"/>
              <w:left w:w="20" w:type="dxa"/>
              <w:right w:w="20" w:type="dxa"/>
            </w:tcMar>
            <w:vAlign w:val="center"/>
          </w:tcPr>
          <w:p w14:paraId="727CBA8A">
            <w:pPr>
              <w:pStyle w:val="5"/>
              <w:keepNext w:val="0"/>
              <w:keepLines w:val="0"/>
              <w:widowControl/>
              <w:suppressLineNumbers w:val="0"/>
              <w:rPr>
                <w:rFonts w:hint="default"/>
                <w:sz w:val="13"/>
                <w:szCs w:val="13"/>
                <w:lang w:val="en-US"/>
              </w:rPr>
            </w:pPr>
            <w:r>
              <w:rPr>
                <w:rFonts w:hint="default" w:ascii="Arial Regular" w:hAnsi="Arial Regular" w:eastAsia="Arial Regular" w:cs="Arial Regular"/>
                <w:color w:val="000000"/>
                <w:sz w:val="13"/>
                <w:szCs w:val="13"/>
                <w:lang w:val="en-US"/>
              </w:rPr>
              <w:t>Sex</w:t>
            </w:r>
          </w:p>
        </w:tc>
        <w:tc>
          <w:tcPr>
            <w:tcW w:w="461" w:type="dxa"/>
            <w:tcBorders>
              <w:top w:val="single" w:color="000000" w:sz="8" w:space="0"/>
              <w:bottom w:val="single" w:color="000000" w:sz="8" w:space="0"/>
            </w:tcBorders>
            <w:shd w:val="clear" w:color="auto" w:fill="D9D9D9"/>
            <w:tcMar>
              <w:top w:w="20" w:type="dxa"/>
              <w:left w:w="20" w:type="dxa"/>
              <w:right w:w="20" w:type="dxa"/>
            </w:tcMar>
            <w:vAlign w:val="center"/>
          </w:tcPr>
          <w:p w14:paraId="731DDB24">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2.13</w:t>
            </w:r>
          </w:p>
        </w:tc>
        <w:tc>
          <w:tcPr>
            <w:tcW w:w="475" w:type="dxa"/>
            <w:tcBorders>
              <w:top w:val="single" w:color="000000" w:sz="8" w:space="0"/>
              <w:bottom w:val="single" w:color="000000" w:sz="8" w:space="0"/>
            </w:tcBorders>
            <w:shd w:val="clear" w:color="auto" w:fill="D9D9D9"/>
            <w:tcMar>
              <w:top w:w="20" w:type="dxa"/>
              <w:left w:w="20" w:type="dxa"/>
              <w:right w:w="20" w:type="dxa"/>
            </w:tcMar>
            <w:vAlign w:val="center"/>
          </w:tcPr>
          <w:p w14:paraId="6885F229">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1</w:t>
            </w:r>
          </w:p>
        </w:tc>
        <w:tc>
          <w:tcPr>
            <w:tcW w:w="610" w:type="dxa"/>
            <w:tcBorders>
              <w:top w:val="single" w:color="000000" w:sz="8" w:space="0"/>
              <w:bottom w:val="single" w:color="000000" w:sz="8" w:space="0"/>
            </w:tcBorders>
            <w:shd w:val="clear" w:color="auto" w:fill="D9D9D9"/>
            <w:tcMar>
              <w:top w:w="20" w:type="dxa"/>
              <w:left w:w="20" w:type="dxa"/>
              <w:right w:w="20" w:type="dxa"/>
            </w:tcMar>
            <w:vAlign w:val="center"/>
          </w:tcPr>
          <w:p w14:paraId="347CE472">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204.8</w:t>
            </w:r>
          </w:p>
        </w:tc>
        <w:tc>
          <w:tcPr>
            <w:tcW w:w="599" w:type="dxa"/>
            <w:tcBorders>
              <w:top w:val="single" w:color="000000" w:sz="8" w:space="0"/>
              <w:bottom w:val="single" w:color="000000" w:sz="8" w:space="0"/>
            </w:tcBorders>
            <w:shd w:val="clear" w:color="auto" w:fill="D9D9D9"/>
            <w:tcMar>
              <w:top w:w="20" w:type="dxa"/>
              <w:left w:w="20" w:type="dxa"/>
              <w:right w:w="20" w:type="dxa"/>
            </w:tcMar>
            <w:vAlign w:val="center"/>
          </w:tcPr>
          <w:p w14:paraId="655BB64E">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0.146</w:t>
            </w:r>
          </w:p>
        </w:tc>
      </w:tr>
      <w:tr w14:paraId="577863EB">
        <w:trPr>
          <w:cantSplit/>
          <w:trHeight w:val="176" w:hRule="atLeast"/>
          <w:jc w:val="center"/>
        </w:trPr>
        <w:tc>
          <w:tcPr>
            <w:tcW w:w="1382" w:type="dxa"/>
            <w:vMerge w:val="continue"/>
            <w:tcBorders>
              <w:top w:val="single" w:color="000000" w:sz="8" w:space="0"/>
              <w:bottom w:val="single" w:color="000000" w:sz="8" w:space="0"/>
            </w:tcBorders>
            <w:shd w:val="clear" w:color="auto" w:fill="BFBFBF"/>
            <w:tcMar>
              <w:top w:w="20" w:type="dxa"/>
              <w:left w:w="20" w:type="dxa"/>
              <w:right w:w="20" w:type="dxa"/>
            </w:tcMar>
            <w:vAlign w:val="center"/>
          </w:tcPr>
          <w:p w14:paraId="6BC71306">
            <w:pPr>
              <w:rPr>
                <w:rFonts w:hint="eastAsia" w:ascii="宋体"/>
                <w:sz w:val="13"/>
                <w:szCs w:val="13"/>
              </w:rPr>
            </w:pPr>
          </w:p>
        </w:tc>
        <w:tc>
          <w:tcPr>
            <w:tcW w:w="2231" w:type="dxa"/>
            <w:tcBorders>
              <w:top w:val="single" w:color="000000" w:sz="8" w:space="0"/>
              <w:bottom w:val="single" w:color="000000" w:sz="8" w:space="0"/>
            </w:tcBorders>
            <w:shd w:val="clear" w:color="auto" w:fill="D9D9D9"/>
            <w:tcMar>
              <w:top w:w="20" w:type="dxa"/>
              <w:left w:w="20" w:type="dxa"/>
              <w:right w:w="20" w:type="dxa"/>
            </w:tcMar>
            <w:vAlign w:val="center"/>
          </w:tcPr>
          <w:p w14:paraId="132D5516">
            <w:pPr>
              <w:pStyle w:val="5"/>
              <w:keepNext w:val="0"/>
              <w:keepLines w:val="0"/>
              <w:widowControl/>
              <w:suppressLineNumbers w:val="0"/>
              <w:rPr>
                <w:rFonts w:hint="default"/>
                <w:sz w:val="13"/>
                <w:szCs w:val="13"/>
                <w:lang w:val="en-US"/>
              </w:rPr>
            </w:pPr>
            <w:r>
              <w:rPr>
                <w:rFonts w:hint="default" w:ascii="Arial Regular" w:hAnsi="Arial Regular" w:eastAsia="Arial Regular" w:cs="Arial Regular"/>
                <w:color w:val="000000"/>
                <w:sz w:val="13"/>
                <w:szCs w:val="13"/>
              </w:rPr>
              <w:t>Group × </w:t>
            </w:r>
            <w:r>
              <w:rPr>
                <w:rFonts w:hint="default" w:ascii="Arial Regular" w:hAnsi="Arial Regular" w:eastAsia="Arial Regular" w:cs="Arial Regular"/>
                <w:color w:val="000000"/>
                <w:sz w:val="13"/>
                <w:szCs w:val="13"/>
                <w:lang w:val="en-US"/>
              </w:rPr>
              <w:t>Sex</w:t>
            </w:r>
          </w:p>
        </w:tc>
        <w:tc>
          <w:tcPr>
            <w:tcW w:w="461" w:type="dxa"/>
            <w:tcBorders>
              <w:top w:val="single" w:color="000000" w:sz="8" w:space="0"/>
              <w:bottom w:val="single" w:color="000000" w:sz="8" w:space="0"/>
            </w:tcBorders>
            <w:shd w:val="clear" w:color="auto" w:fill="D9D9D9"/>
            <w:tcMar>
              <w:top w:w="20" w:type="dxa"/>
              <w:left w:w="20" w:type="dxa"/>
              <w:right w:w="20" w:type="dxa"/>
            </w:tcMar>
            <w:vAlign w:val="center"/>
          </w:tcPr>
          <w:p w14:paraId="34B64464">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43.2</w:t>
            </w:r>
          </w:p>
        </w:tc>
        <w:tc>
          <w:tcPr>
            <w:tcW w:w="475" w:type="dxa"/>
            <w:tcBorders>
              <w:top w:val="single" w:color="000000" w:sz="8" w:space="0"/>
              <w:bottom w:val="single" w:color="000000" w:sz="8" w:space="0"/>
            </w:tcBorders>
            <w:shd w:val="clear" w:color="auto" w:fill="D9D9D9"/>
            <w:tcMar>
              <w:top w:w="20" w:type="dxa"/>
              <w:left w:w="20" w:type="dxa"/>
              <w:right w:w="20" w:type="dxa"/>
            </w:tcMar>
            <w:vAlign w:val="center"/>
          </w:tcPr>
          <w:p w14:paraId="31459805">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1</w:t>
            </w:r>
          </w:p>
        </w:tc>
        <w:tc>
          <w:tcPr>
            <w:tcW w:w="610" w:type="dxa"/>
            <w:tcBorders>
              <w:top w:val="single" w:color="000000" w:sz="8" w:space="0"/>
              <w:bottom w:val="single" w:color="000000" w:sz="8" w:space="0"/>
            </w:tcBorders>
            <w:shd w:val="clear" w:color="auto" w:fill="D9D9D9"/>
            <w:tcMar>
              <w:top w:w="20" w:type="dxa"/>
              <w:left w:w="20" w:type="dxa"/>
              <w:right w:w="20" w:type="dxa"/>
            </w:tcMar>
            <w:vAlign w:val="center"/>
          </w:tcPr>
          <w:p w14:paraId="39379E5A">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1282.9</w:t>
            </w:r>
          </w:p>
        </w:tc>
        <w:tc>
          <w:tcPr>
            <w:tcW w:w="599" w:type="dxa"/>
            <w:tcBorders>
              <w:top w:val="single" w:color="000000" w:sz="8" w:space="0"/>
              <w:bottom w:val="single" w:color="000000" w:sz="8" w:space="0"/>
            </w:tcBorders>
            <w:shd w:val="clear" w:color="auto" w:fill="D9D9D9"/>
            <w:tcMar>
              <w:top w:w="20" w:type="dxa"/>
              <w:left w:w="20" w:type="dxa"/>
              <w:right w:w="20" w:type="dxa"/>
            </w:tcMar>
            <w:vAlign w:val="center"/>
          </w:tcPr>
          <w:p w14:paraId="5259F55C">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&lt; .001 </w:t>
            </w:r>
          </w:p>
        </w:tc>
      </w:tr>
      <w:tr w14:paraId="11065AE5">
        <w:trPr>
          <w:cantSplit/>
          <w:trHeight w:val="176" w:hRule="atLeast"/>
          <w:jc w:val="center"/>
        </w:trPr>
        <w:tc>
          <w:tcPr>
            <w:tcW w:w="1382" w:type="dxa"/>
            <w:vMerge w:val="continue"/>
            <w:tcBorders>
              <w:top w:val="single" w:color="000000" w:sz="8" w:space="0"/>
              <w:bottom w:val="single" w:color="000000" w:sz="8" w:space="0"/>
            </w:tcBorders>
            <w:shd w:val="clear" w:color="auto" w:fill="BFBFBF"/>
            <w:tcMar>
              <w:top w:w="20" w:type="dxa"/>
              <w:left w:w="20" w:type="dxa"/>
              <w:right w:w="20" w:type="dxa"/>
            </w:tcMar>
            <w:vAlign w:val="center"/>
          </w:tcPr>
          <w:p w14:paraId="1FB8A91A">
            <w:pPr>
              <w:rPr>
                <w:rFonts w:hint="eastAsia" w:ascii="宋体"/>
                <w:sz w:val="13"/>
                <w:szCs w:val="13"/>
              </w:rPr>
            </w:pPr>
          </w:p>
        </w:tc>
        <w:tc>
          <w:tcPr>
            <w:tcW w:w="2231" w:type="dxa"/>
            <w:tcBorders>
              <w:top w:val="single" w:color="000000" w:sz="8" w:space="0"/>
              <w:bottom w:val="single" w:color="000000" w:sz="8" w:space="0"/>
            </w:tcBorders>
            <w:shd w:val="clear" w:color="auto" w:fill="D9D9D9"/>
            <w:tcMar>
              <w:top w:w="20" w:type="dxa"/>
              <w:left w:w="20" w:type="dxa"/>
              <w:right w:w="20" w:type="dxa"/>
            </w:tcMar>
            <w:vAlign w:val="center"/>
          </w:tcPr>
          <w:p w14:paraId="302B9E87">
            <w:pPr>
              <w:pStyle w:val="5"/>
              <w:keepNext w:val="0"/>
              <w:keepLines w:val="0"/>
              <w:widowControl/>
              <w:suppressLineNumbers w:val="0"/>
              <w:rPr>
                <w:rFonts w:hint="default"/>
                <w:sz w:val="13"/>
                <w:szCs w:val="13"/>
                <w:lang w:val="en-US"/>
              </w:rPr>
            </w:pPr>
            <w:r>
              <w:rPr>
                <w:rFonts w:hint="default" w:ascii="Arial Regular" w:hAnsi="Arial Regular" w:eastAsia="Arial Regular" w:cs="Arial Regular"/>
                <w:color w:val="000000"/>
                <w:sz w:val="13"/>
                <w:szCs w:val="13"/>
              </w:rPr>
              <w:t>Cue congruency × </w:t>
            </w:r>
            <w:r>
              <w:rPr>
                <w:rFonts w:hint="default" w:ascii="Arial Regular" w:hAnsi="Arial Regular" w:eastAsia="Arial Regular" w:cs="Arial Regular"/>
                <w:color w:val="000000"/>
                <w:sz w:val="13"/>
                <w:szCs w:val="13"/>
                <w:lang w:val="en-US"/>
              </w:rPr>
              <w:t>Sex</w:t>
            </w:r>
          </w:p>
        </w:tc>
        <w:tc>
          <w:tcPr>
            <w:tcW w:w="461" w:type="dxa"/>
            <w:tcBorders>
              <w:top w:val="single" w:color="000000" w:sz="8" w:space="0"/>
              <w:bottom w:val="single" w:color="000000" w:sz="8" w:space="0"/>
            </w:tcBorders>
            <w:shd w:val="clear" w:color="auto" w:fill="D9D9D9"/>
            <w:tcMar>
              <w:top w:w="20" w:type="dxa"/>
              <w:left w:w="20" w:type="dxa"/>
              <w:right w:w="20" w:type="dxa"/>
            </w:tcMar>
            <w:vAlign w:val="center"/>
          </w:tcPr>
          <w:p w14:paraId="0407C702">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11.29</w:t>
            </w:r>
          </w:p>
        </w:tc>
        <w:tc>
          <w:tcPr>
            <w:tcW w:w="475" w:type="dxa"/>
            <w:tcBorders>
              <w:top w:val="single" w:color="000000" w:sz="8" w:space="0"/>
              <w:bottom w:val="single" w:color="000000" w:sz="8" w:space="0"/>
            </w:tcBorders>
            <w:shd w:val="clear" w:color="auto" w:fill="D9D9D9"/>
            <w:tcMar>
              <w:top w:w="20" w:type="dxa"/>
              <w:left w:w="20" w:type="dxa"/>
              <w:right w:w="20" w:type="dxa"/>
            </w:tcMar>
            <w:vAlign w:val="center"/>
          </w:tcPr>
          <w:p w14:paraId="49BD6D78">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1</w:t>
            </w:r>
          </w:p>
        </w:tc>
        <w:tc>
          <w:tcPr>
            <w:tcW w:w="610" w:type="dxa"/>
            <w:tcBorders>
              <w:top w:val="single" w:color="000000" w:sz="8" w:space="0"/>
              <w:bottom w:val="single" w:color="000000" w:sz="8" w:space="0"/>
            </w:tcBorders>
            <w:shd w:val="clear" w:color="auto" w:fill="D9D9D9"/>
            <w:tcMar>
              <w:top w:w="20" w:type="dxa"/>
              <w:left w:w="20" w:type="dxa"/>
              <w:right w:w="20" w:type="dxa"/>
            </w:tcMar>
            <w:vAlign w:val="center"/>
          </w:tcPr>
          <w:p w14:paraId="06F9225B">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10358</w:t>
            </w:r>
          </w:p>
        </w:tc>
        <w:tc>
          <w:tcPr>
            <w:tcW w:w="599" w:type="dxa"/>
            <w:tcBorders>
              <w:top w:val="single" w:color="000000" w:sz="8" w:space="0"/>
              <w:bottom w:val="single" w:color="000000" w:sz="8" w:space="0"/>
            </w:tcBorders>
            <w:shd w:val="clear" w:color="auto" w:fill="D9D9D9"/>
            <w:tcMar>
              <w:top w:w="20" w:type="dxa"/>
              <w:left w:w="20" w:type="dxa"/>
              <w:right w:w="20" w:type="dxa"/>
            </w:tcMar>
            <w:vAlign w:val="center"/>
          </w:tcPr>
          <w:p w14:paraId="163486C3">
            <w:pPr>
              <w:pStyle w:val="5"/>
              <w:keepNext w:val="0"/>
              <w:keepLines w:val="0"/>
              <w:widowControl/>
              <w:suppressLineNumbers w:val="0"/>
              <w:rPr>
                <w:sz w:val="13"/>
                <w:szCs w:val="13"/>
              </w:rPr>
            </w:pPr>
            <w:r>
              <w:rPr>
                <w:rFonts w:hint="default" w:ascii="Arial Regular" w:hAnsi="Arial Regular" w:eastAsia="Arial Regular" w:cs="Arial Regular"/>
                <w:color w:val="000000"/>
                <w:sz w:val="13"/>
                <w:szCs w:val="13"/>
              </w:rPr>
              <w:t>&lt; .001 </w:t>
            </w:r>
          </w:p>
        </w:tc>
      </w:tr>
    </w:tbl>
    <w:p w14:paraId="2E181E19">
      <w:pPr>
        <w:rPr>
          <w:rFonts w:hint="default" w:ascii="Times New Roman Regular" w:hAnsi="Times New Roman Regular" w:cs="Times New Roman Regular"/>
          <w:sz w:val="18"/>
          <w:szCs w:val="18"/>
        </w:rPr>
      </w:pPr>
    </w:p>
    <w:p w14:paraId="4107D79F">
      <w:pPr>
        <w:rPr>
          <w:rFonts w:hint="default" w:ascii="Times New Roman Regular" w:hAnsi="Times New Roman Regular" w:cs="Times New Roman Regular"/>
          <w:sz w:val="18"/>
          <w:szCs w:val="18"/>
        </w:rPr>
      </w:pPr>
    </w:p>
    <w:p w14:paraId="516B5C18">
      <w:pPr>
        <w:jc w:val="both"/>
      </w:pPr>
    </w:p>
    <w:p w14:paraId="3982397A">
      <w:pPr>
        <w:keepNext/>
        <w:spacing w:after="120" w:line="360" w:lineRule="auto"/>
      </w:pPr>
      <w:r>
        <w:rPr>
          <w:rFonts w:ascii="Times New Roman" w:hAnsi="Times New Roman"/>
          <w:b/>
          <w:sz w:val="20"/>
          <w:szCs w:val="20"/>
        </w:rPr>
        <w:t>Supplementary Table 4 | Condition-specific group contrasts for societal- and peer-directed judgment updating.</w:t>
      </w:r>
    </w:p>
    <w:p w14:paraId="1A252449">
      <w:pPr>
        <w:keepNext/>
        <w:spacing w:after="0" w:line="240" w:lineRule="auto"/>
        <w:rPr>
          <w:rFonts w:ascii="Times New Roman Regular" w:hAnsi="Times New Roman Regular" w:cs="Times New Roman Regular"/>
          <w:sz w:val="18"/>
          <w:szCs w:val="18"/>
        </w:rPr>
      </w:pPr>
      <w:r>
        <w:rPr>
          <w:rFonts w:ascii="Times New Roman Regular" w:hAnsi="Times New Roman Regular" w:cs="Times New Roman Regular"/>
          <w:sz w:val="18"/>
          <w:szCs w:val="18"/>
        </w:rPr>
        <w:t>Estimated marginal means (EMMs) and standard errors (SEs) were obtained from trial-wise linear mixed-effects models. Differences contrast healthy controls minus participants with MUD; positive values therefore indicate higher values in healthy controls and negative values indicate lower values in healthy controls. Two-sided P values were Holm-adjusted across the six prespecified condition-specific group contrasts within each outcome. Cohen’s d was calculated from participant-level condition means, with 95% confidence intervals obtained by inversion of the noncentral t distribution. Effect-size confidence intervals are descriptive and were not multiplicity-adjusted.</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980"/>
        <w:gridCol w:w="1240"/>
        <w:gridCol w:w="861"/>
        <w:gridCol w:w="1017"/>
        <w:gridCol w:w="907"/>
        <w:gridCol w:w="824"/>
        <w:gridCol w:w="385"/>
        <w:gridCol w:w="904"/>
        <w:gridCol w:w="1039"/>
      </w:tblGrid>
      <w:tr w14:paraId="187243CE">
        <w:tc>
          <w:tcPr>
            <w:tcW w:w="0" w:type="auto"/>
            <w:tcMar>
              <w:top w:w="50" w:type="dxa"/>
              <w:left w:w="50" w:type="dxa"/>
              <w:bottom w:w="50" w:type="dxa"/>
              <w:right w:w="50" w:type="dxa"/>
            </w:tcMar>
          </w:tcPr>
          <w:p w14:paraId="3E4763E9">
            <w:pPr>
              <w:jc w:val="center"/>
              <w:rPr>
                <w:sz w:val="18"/>
                <w:szCs w:val="21"/>
              </w:rPr>
            </w:pPr>
            <w:r>
              <w:rPr>
                <w:rFonts w:ascii="Times New Roman" w:hAnsi="Times New Roman"/>
                <w:b/>
                <w:sz w:val="11"/>
                <w:szCs w:val="11"/>
              </w:rPr>
              <w:t>Outcome</w:t>
            </w:r>
          </w:p>
        </w:tc>
        <w:tc>
          <w:tcPr>
            <w:tcW w:w="0" w:type="auto"/>
            <w:tcMar>
              <w:top w:w="50" w:type="dxa"/>
              <w:left w:w="50" w:type="dxa"/>
              <w:bottom w:w="50" w:type="dxa"/>
              <w:right w:w="50" w:type="dxa"/>
            </w:tcMar>
          </w:tcPr>
          <w:p w14:paraId="346F8C46">
            <w:pPr>
              <w:jc w:val="center"/>
              <w:rPr>
                <w:sz w:val="18"/>
                <w:szCs w:val="21"/>
              </w:rPr>
            </w:pPr>
            <w:r>
              <w:rPr>
                <w:rFonts w:ascii="Times New Roman" w:hAnsi="Times New Roman"/>
                <w:b/>
                <w:sz w:val="11"/>
                <w:szCs w:val="11"/>
              </w:rPr>
              <w:t>Social-cue configuration</w:t>
            </w:r>
          </w:p>
        </w:tc>
        <w:tc>
          <w:tcPr>
            <w:tcW w:w="0" w:type="auto"/>
            <w:tcMar>
              <w:top w:w="50" w:type="dxa"/>
              <w:left w:w="50" w:type="dxa"/>
              <w:bottom w:w="50" w:type="dxa"/>
              <w:right w:w="50" w:type="dxa"/>
            </w:tcMar>
          </w:tcPr>
          <w:p w14:paraId="7ADFBC99">
            <w:pPr>
              <w:jc w:val="center"/>
              <w:rPr>
                <w:sz w:val="18"/>
                <w:szCs w:val="21"/>
              </w:rPr>
            </w:pPr>
            <w:r>
              <w:rPr>
                <w:rFonts w:ascii="Times New Roman" w:hAnsi="Times New Roman"/>
                <w:b/>
                <w:sz w:val="11"/>
                <w:szCs w:val="11"/>
              </w:rPr>
              <w:t>Cue congruency</w:t>
            </w:r>
          </w:p>
        </w:tc>
        <w:tc>
          <w:tcPr>
            <w:tcW w:w="0" w:type="auto"/>
            <w:tcMar>
              <w:top w:w="50" w:type="dxa"/>
              <w:left w:w="50" w:type="dxa"/>
              <w:bottom w:w="50" w:type="dxa"/>
              <w:right w:w="50" w:type="dxa"/>
            </w:tcMar>
            <w:vAlign w:val="top"/>
          </w:tcPr>
          <w:p w14:paraId="048F4BBA">
            <w:pPr>
              <w:jc w:val="center"/>
              <w:rPr>
                <w:sz w:val="18"/>
                <w:szCs w:val="21"/>
              </w:rPr>
            </w:pPr>
            <w:r>
              <w:rPr>
                <w:rFonts w:ascii="Times New Roman" w:hAnsi="Times New Roman"/>
                <w:b/>
                <w:sz w:val="11"/>
                <w:szCs w:val="11"/>
              </w:rPr>
              <w:t>Healthy EMM (SE)</w:t>
            </w:r>
          </w:p>
        </w:tc>
        <w:tc>
          <w:tcPr>
            <w:tcW w:w="0" w:type="auto"/>
            <w:tcMar>
              <w:top w:w="50" w:type="dxa"/>
              <w:left w:w="50" w:type="dxa"/>
              <w:bottom w:w="50" w:type="dxa"/>
              <w:right w:w="50" w:type="dxa"/>
            </w:tcMar>
            <w:vAlign w:val="top"/>
          </w:tcPr>
          <w:p w14:paraId="3183F9FD">
            <w:pPr>
              <w:jc w:val="center"/>
              <w:rPr>
                <w:sz w:val="18"/>
                <w:szCs w:val="21"/>
              </w:rPr>
            </w:pPr>
            <w:r>
              <w:rPr>
                <w:rFonts w:ascii="Times New Roman" w:hAnsi="Times New Roman"/>
                <w:b/>
                <w:sz w:val="11"/>
                <w:szCs w:val="11"/>
              </w:rPr>
              <w:t>MUD EMM (SE)</w:t>
            </w:r>
          </w:p>
        </w:tc>
        <w:tc>
          <w:tcPr>
            <w:tcW w:w="0" w:type="auto"/>
            <w:tcMar>
              <w:top w:w="50" w:type="dxa"/>
              <w:left w:w="50" w:type="dxa"/>
              <w:bottom w:w="50" w:type="dxa"/>
              <w:right w:w="50" w:type="dxa"/>
            </w:tcMar>
            <w:vAlign w:val="top"/>
          </w:tcPr>
          <w:p w14:paraId="3CE1188A">
            <w:pPr>
              <w:jc w:val="center"/>
              <w:rPr>
                <w:sz w:val="18"/>
                <w:szCs w:val="21"/>
              </w:rPr>
            </w:pPr>
            <w:r>
              <w:rPr>
                <w:rFonts w:ascii="Times New Roman" w:hAnsi="Times New Roman"/>
                <w:b/>
                <w:sz w:val="11"/>
                <w:szCs w:val="11"/>
              </w:rPr>
              <w:t>Difference (SE)</w:t>
            </w:r>
          </w:p>
        </w:tc>
        <w:tc>
          <w:tcPr>
            <w:tcW w:w="0" w:type="auto"/>
            <w:tcMar>
              <w:top w:w="50" w:type="dxa"/>
              <w:left w:w="50" w:type="dxa"/>
              <w:bottom w:w="50" w:type="dxa"/>
              <w:right w:w="50" w:type="dxa"/>
            </w:tcMar>
          </w:tcPr>
          <w:p w14:paraId="47F9C51A">
            <w:pPr>
              <w:jc w:val="center"/>
              <w:rPr>
                <w:sz w:val="18"/>
                <w:szCs w:val="21"/>
              </w:rPr>
            </w:pPr>
            <w:r>
              <w:rPr>
                <w:rFonts w:ascii="Times New Roman" w:hAnsi="Times New Roman"/>
                <w:b/>
                <w:sz w:val="11"/>
                <w:szCs w:val="11"/>
              </w:rPr>
              <w:t>z</w:t>
            </w:r>
          </w:p>
        </w:tc>
        <w:tc>
          <w:tcPr>
            <w:tcW w:w="0" w:type="auto"/>
            <w:tcMar>
              <w:top w:w="50" w:type="dxa"/>
              <w:left w:w="50" w:type="dxa"/>
              <w:bottom w:w="50" w:type="dxa"/>
              <w:right w:w="50" w:type="dxa"/>
            </w:tcMar>
          </w:tcPr>
          <w:p w14:paraId="266C7399">
            <w:pPr>
              <w:jc w:val="center"/>
              <w:rPr>
                <w:sz w:val="18"/>
                <w:szCs w:val="21"/>
              </w:rPr>
            </w:pPr>
            <w:r>
              <w:rPr>
                <w:rFonts w:hint="default" w:ascii="Times New Roman" w:hAnsi="Times New Roman"/>
                <w:b/>
                <w:sz w:val="11"/>
                <w:szCs w:val="11"/>
                <w:lang w:val="en-US"/>
              </w:rPr>
              <w:t>Exact</w:t>
            </w:r>
            <w:r>
              <w:rPr>
                <w:rFonts w:ascii="Times New Roman" w:hAnsi="Times New Roman"/>
                <w:b/>
                <w:sz w:val="11"/>
                <w:szCs w:val="11"/>
              </w:rPr>
              <w:t>-adjusted P</w:t>
            </w:r>
          </w:p>
        </w:tc>
        <w:tc>
          <w:tcPr>
            <w:tcW w:w="0" w:type="auto"/>
            <w:tcMar>
              <w:top w:w="50" w:type="dxa"/>
              <w:left w:w="50" w:type="dxa"/>
              <w:bottom w:w="50" w:type="dxa"/>
              <w:right w:w="50" w:type="dxa"/>
            </w:tcMar>
          </w:tcPr>
          <w:p w14:paraId="52113EE1">
            <w:pPr>
              <w:jc w:val="center"/>
              <w:rPr>
                <w:sz w:val="18"/>
                <w:szCs w:val="21"/>
              </w:rPr>
            </w:pPr>
            <w:r>
              <w:rPr>
                <w:rFonts w:ascii="Times New Roman" w:hAnsi="Times New Roman"/>
                <w:b/>
                <w:sz w:val="11"/>
                <w:szCs w:val="11"/>
              </w:rPr>
              <w:t>Cohen's d [95% CI]</w:t>
            </w:r>
          </w:p>
        </w:tc>
      </w:tr>
      <w:tr w14:paraId="5BE234E4">
        <w:tc>
          <w:tcPr>
            <w:tcW w:w="0" w:type="auto"/>
            <w:tcMar>
              <w:top w:w="50" w:type="dxa"/>
              <w:left w:w="50" w:type="dxa"/>
              <w:bottom w:w="50" w:type="dxa"/>
              <w:right w:w="50" w:type="dxa"/>
            </w:tcMar>
          </w:tcPr>
          <w:p w14:paraId="210C2DC2">
            <w:pPr>
              <w:jc w:val="center"/>
              <w:rPr>
                <w:sz w:val="18"/>
                <w:szCs w:val="21"/>
              </w:rPr>
            </w:pPr>
            <w:r>
              <w:rPr>
                <w:rFonts w:ascii="Times New Roman" w:hAnsi="Times New Roman"/>
                <w:sz w:val="11"/>
                <w:szCs w:val="11"/>
              </w:rPr>
              <w:t>DeltaScore_societal</w:t>
            </w:r>
          </w:p>
        </w:tc>
        <w:tc>
          <w:tcPr>
            <w:tcW w:w="0" w:type="auto"/>
            <w:tcMar>
              <w:top w:w="50" w:type="dxa"/>
              <w:left w:w="50" w:type="dxa"/>
              <w:bottom w:w="50" w:type="dxa"/>
              <w:right w:w="50" w:type="dxa"/>
            </w:tcMar>
          </w:tcPr>
          <w:p w14:paraId="0E5C9C2E">
            <w:pPr>
              <w:jc w:val="center"/>
              <w:rPr>
                <w:rFonts w:hint="default"/>
                <w:sz w:val="18"/>
                <w:szCs w:val="21"/>
                <w:lang w:val="en-US"/>
              </w:rPr>
            </w:pPr>
            <w:r>
              <w:rPr>
                <w:rFonts w:ascii="Times New Roman" w:hAnsi="Times New Roman"/>
                <w:sz w:val="11"/>
                <w:szCs w:val="11"/>
              </w:rPr>
              <w:t>Peer-</w:t>
            </w:r>
            <w:r>
              <w:rPr>
                <w:rFonts w:hint="default" w:ascii="Times New Roman" w:hAnsi="Times New Roman"/>
                <w:sz w:val="11"/>
                <w:szCs w:val="11"/>
                <w:lang w:val="en-US"/>
              </w:rPr>
              <w:t>aligned</w:t>
            </w:r>
          </w:p>
        </w:tc>
        <w:tc>
          <w:tcPr>
            <w:tcW w:w="0" w:type="auto"/>
            <w:tcMar>
              <w:top w:w="50" w:type="dxa"/>
              <w:left w:w="50" w:type="dxa"/>
              <w:bottom w:w="50" w:type="dxa"/>
              <w:right w:w="50" w:type="dxa"/>
            </w:tcMar>
          </w:tcPr>
          <w:p w14:paraId="464B4C5D">
            <w:pPr>
              <w:jc w:val="center"/>
              <w:rPr>
                <w:sz w:val="18"/>
                <w:szCs w:val="21"/>
              </w:rPr>
            </w:pPr>
            <w:r>
              <w:rPr>
                <w:rFonts w:ascii="Times New Roman" w:hAnsi="Times New Roman"/>
                <w:sz w:val="11"/>
                <w:szCs w:val="11"/>
              </w:rPr>
              <w:t>Congruent</w:t>
            </w:r>
          </w:p>
        </w:tc>
        <w:tc>
          <w:tcPr>
            <w:tcW w:w="0" w:type="auto"/>
            <w:tcMar>
              <w:top w:w="50" w:type="dxa"/>
              <w:left w:w="50" w:type="dxa"/>
              <w:bottom w:w="50" w:type="dxa"/>
              <w:right w:w="50" w:type="dxa"/>
            </w:tcMar>
            <w:vAlign w:val="top"/>
          </w:tcPr>
          <w:p w14:paraId="02F2B9EF">
            <w:pPr>
              <w:jc w:val="center"/>
              <w:rPr>
                <w:sz w:val="18"/>
                <w:szCs w:val="21"/>
              </w:rPr>
            </w:pPr>
            <w:r>
              <w:rPr>
                <w:rFonts w:ascii="Times New Roman" w:hAnsi="Times New Roman"/>
                <w:sz w:val="11"/>
                <w:szCs w:val="11"/>
              </w:rPr>
              <w:t>0.034 (0.0076)</w:t>
            </w:r>
          </w:p>
        </w:tc>
        <w:tc>
          <w:tcPr>
            <w:tcW w:w="0" w:type="auto"/>
            <w:tcMar>
              <w:top w:w="50" w:type="dxa"/>
              <w:left w:w="50" w:type="dxa"/>
              <w:bottom w:w="50" w:type="dxa"/>
              <w:right w:w="50" w:type="dxa"/>
            </w:tcMar>
            <w:vAlign w:val="top"/>
          </w:tcPr>
          <w:p w14:paraId="5911E3D3">
            <w:pPr>
              <w:jc w:val="center"/>
              <w:rPr>
                <w:sz w:val="18"/>
                <w:szCs w:val="21"/>
              </w:rPr>
            </w:pPr>
            <w:r>
              <w:rPr>
                <w:rFonts w:ascii="Times New Roman" w:hAnsi="Times New Roman"/>
                <w:sz w:val="11"/>
                <w:szCs w:val="11"/>
              </w:rPr>
              <w:t>0.012 (0.0085)</w:t>
            </w:r>
          </w:p>
        </w:tc>
        <w:tc>
          <w:tcPr>
            <w:tcW w:w="0" w:type="auto"/>
            <w:tcMar>
              <w:top w:w="50" w:type="dxa"/>
              <w:left w:w="50" w:type="dxa"/>
              <w:bottom w:w="50" w:type="dxa"/>
              <w:right w:w="50" w:type="dxa"/>
            </w:tcMar>
            <w:vAlign w:val="top"/>
          </w:tcPr>
          <w:p w14:paraId="5371D7CB">
            <w:pPr>
              <w:jc w:val="center"/>
              <w:rPr>
                <w:sz w:val="18"/>
                <w:szCs w:val="21"/>
              </w:rPr>
            </w:pPr>
            <w:r>
              <w:rPr>
                <w:rFonts w:ascii="Times New Roman" w:hAnsi="Times New Roman"/>
                <w:sz w:val="11"/>
                <w:szCs w:val="11"/>
              </w:rPr>
              <w:t>0.022 (0.0108)</w:t>
            </w:r>
          </w:p>
        </w:tc>
        <w:tc>
          <w:tcPr>
            <w:tcW w:w="0" w:type="auto"/>
            <w:tcMar>
              <w:top w:w="50" w:type="dxa"/>
              <w:left w:w="50" w:type="dxa"/>
              <w:bottom w:w="50" w:type="dxa"/>
              <w:right w:w="50" w:type="dxa"/>
            </w:tcMar>
          </w:tcPr>
          <w:p w14:paraId="77F92DFB">
            <w:pPr>
              <w:jc w:val="center"/>
              <w:rPr>
                <w:sz w:val="18"/>
                <w:szCs w:val="21"/>
              </w:rPr>
            </w:pPr>
            <w:r>
              <w:rPr>
                <w:rFonts w:ascii="Times New Roman" w:hAnsi="Times New Roman"/>
                <w:sz w:val="11"/>
                <w:szCs w:val="11"/>
              </w:rPr>
              <w:t>1.99</w:t>
            </w:r>
          </w:p>
        </w:tc>
        <w:tc>
          <w:tcPr>
            <w:tcW w:w="0" w:type="auto"/>
            <w:tcMar>
              <w:top w:w="50" w:type="dxa"/>
              <w:left w:w="50" w:type="dxa"/>
              <w:bottom w:w="50" w:type="dxa"/>
              <w:right w:w="50" w:type="dxa"/>
            </w:tcMar>
          </w:tcPr>
          <w:p w14:paraId="22D946EB">
            <w:pPr>
              <w:jc w:val="center"/>
              <w:rPr>
                <w:sz w:val="18"/>
                <w:szCs w:val="21"/>
              </w:rPr>
            </w:pPr>
            <w:r>
              <w:rPr>
                <w:rFonts w:ascii="Times New Roman" w:hAnsi="Times New Roman"/>
                <w:sz w:val="11"/>
                <w:szCs w:val="11"/>
              </w:rPr>
              <w:t>0.094</w:t>
            </w:r>
          </w:p>
        </w:tc>
        <w:tc>
          <w:tcPr>
            <w:tcW w:w="0" w:type="auto"/>
            <w:tcMar>
              <w:top w:w="50" w:type="dxa"/>
              <w:left w:w="50" w:type="dxa"/>
              <w:bottom w:w="50" w:type="dxa"/>
              <w:right w:w="50" w:type="dxa"/>
            </w:tcMar>
          </w:tcPr>
          <w:p w14:paraId="5F39083F">
            <w:pPr>
              <w:jc w:val="center"/>
              <w:rPr>
                <w:sz w:val="18"/>
                <w:szCs w:val="21"/>
              </w:rPr>
            </w:pPr>
            <w:r>
              <w:rPr>
                <w:rFonts w:ascii="Times New Roman" w:hAnsi="Times New Roman"/>
                <w:sz w:val="11"/>
                <w:szCs w:val="11"/>
              </w:rPr>
              <w:t>0.43 [0.0</w:t>
            </w:r>
            <w:r>
              <w:rPr>
                <w:rFonts w:hint="default" w:ascii="Times New Roman" w:hAnsi="Times New Roman"/>
                <w:sz w:val="11"/>
                <w:szCs w:val="11"/>
                <w:lang w:val="en-US"/>
              </w:rPr>
              <w:t>1</w:t>
            </w:r>
            <w:r>
              <w:rPr>
                <w:rFonts w:ascii="Times New Roman" w:hAnsi="Times New Roman"/>
                <w:sz w:val="11"/>
                <w:szCs w:val="11"/>
              </w:rPr>
              <w:t>, 0.86]</w:t>
            </w:r>
          </w:p>
        </w:tc>
      </w:tr>
      <w:tr w14:paraId="3176DFEA">
        <w:tc>
          <w:tcPr>
            <w:tcW w:w="0" w:type="auto"/>
            <w:tcMar>
              <w:top w:w="50" w:type="dxa"/>
              <w:left w:w="50" w:type="dxa"/>
              <w:bottom w:w="50" w:type="dxa"/>
              <w:right w:w="50" w:type="dxa"/>
            </w:tcMar>
          </w:tcPr>
          <w:p w14:paraId="2D40A844">
            <w:pPr>
              <w:jc w:val="center"/>
              <w:rPr>
                <w:sz w:val="18"/>
                <w:szCs w:val="21"/>
              </w:rPr>
            </w:pPr>
            <w:r>
              <w:rPr>
                <w:rFonts w:ascii="Times New Roman" w:hAnsi="Times New Roman"/>
                <w:sz w:val="11"/>
                <w:szCs w:val="11"/>
              </w:rPr>
              <w:t>DeltaScore_societal</w:t>
            </w:r>
          </w:p>
        </w:tc>
        <w:tc>
          <w:tcPr>
            <w:tcW w:w="0" w:type="auto"/>
            <w:tcMar>
              <w:top w:w="50" w:type="dxa"/>
              <w:left w:w="50" w:type="dxa"/>
              <w:bottom w:w="50" w:type="dxa"/>
              <w:right w:w="50" w:type="dxa"/>
            </w:tcMar>
          </w:tcPr>
          <w:p w14:paraId="31AEF00A">
            <w:pPr>
              <w:jc w:val="center"/>
              <w:rPr>
                <w:rFonts w:hint="default"/>
                <w:sz w:val="18"/>
                <w:szCs w:val="21"/>
                <w:lang w:val="en-US"/>
              </w:rPr>
            </w:pPr>
            <w:r>
              <w:rPr>
                <w:rFonts w:ascii="Times New Roman" w:hAnsi="Times New Roman"/>
                <w:sz w:val="11"/>
                <w:szCs w:val="11"/>
              </w:rPr>
              <w:t>Societal-</w:t>
            </w:r>
            <w:r>
              <w:rPr>
                <w:rFonts w:hint="default" w:ascii="Times New Roman" w:hAnsi="Times New Roman"/>
                <w:sz w:val="11"/>
                <w:szCs w:val="11"/>
                <w:lang w:val="en-US"/>
              </w:rPr>
              <w:t>aligned</w:t>
            </w:r>
          </w:p>
        </w:tc>
        <w:tc>
          <w:tcPr>
            <w:tcW w:w="0" w:type="auto"/>
            <w:tcMar>
              <w:top w:w="50" w:type="dxa"/>
              <w:left w:w="50" w:type="dxa"/>
              <w:bottom w:w="50" w:type="dxa"/>
              <w:right w:w="50" w:type="dxa"/>
            </w:tcMar>
          </w:tcPr>
          <w:p w14:paraId="73137035">
            <w:pPr>
              <w:jc w:val="center"/>
              <w:rPr>
                <w:sz w:val="18"/>
                <w:szCs w:val="21"/>
              </w:rPr>
            </w:pPr>
            <w:r>
              <w:rPr>
                <w:rFonts w:ascii="Times New Roman" w:hAnsi="Times New Roman"/>
                <w:sz w:val="11"/>
                <w:szCs w:val="11"/>
              </w:rPr>
              <w:t>Congruent</w:t>
            </w:r>
          </w:p>
        </w:tc>
        <w:tc>
          <w:tcPr>
            <w:tcW w:w="0" w:type="auto"/>
            <w:tcMar>
              <w:top w:w="50" w:type="dxa"/>
              <w:left w:w="50" w:type="dxa"/>
              <w:bottom w:w="50" w:type="dxa"/>
              <w:right w:w="50" w:type="dxa"/>
            </w:tcMar>
            <w:vAlign w:val="top"/>
          </w:tcPr>
          <w:p w14:paraId="6E3EB38A">
            <w:pPr>
              <w:jc w:val="center"/>
              <w:rPr>
                <w:sz w:val="18"/>
                <w:szCs w:val="21"/>
              </w:rPr>
            </w:pPr>
            <w:r>
              <w:rPr>
                <w:rFonts w:ascii="Times New Roman" w:hAnsi="Times New Roman"/>
                <w:sz w:val="11"/>
                <w:szCs w:val="11"/>
              </w:rPr>
              <w:t>-0.261 (0.0134)</w:t>
            </w:r>
          </w:p>
        </w:tc>
        <w:tc>
          <w:tcPr>
            <w:tcW w:w="0" w:type="auto"/>
            <w:tcMar>
              <w:top w:w="50" w:type="dxa"/>
              <w:left w:w="50" w:type="dxa"/>
              <w:bottom w:w="50" w:type="dxa"/>
              <w:right w:w="50" w:type="dxa"/>
            </w:tcMar>
            <w:vAlign w:val="top"/>
          </w:tcPr>
          <w:p w14:paraId="64391F7A">
            <w:pPr>
              <w:jc w:val="center"/>
              <w:rPr>
                <w:sz w:val="18"/>
                <w:szCs w:val="21"/>
              </w:rPr>
            </w:pPr>
            <w:r>
              <w:rPr>
                <w:rFonts w:ascii="Times New Roman" w:hAnsi="Times New Roman"/>
                <w:sz w:val="11"/>
                <w:szCs w:val="11"/>
              </w:rPr>
              <w:t>-0.109 (0.0141)</w:t>
            </w:r>
          </w:p>
        </w:tc>
        <w:tc>
          <w:tcPr>
            <w:tcW w:w="0" w:type="auto"/>
            <w:tcMar>
              <w:top w:w="50" w:type="dxa"/>
              <w:left w:w="50" w:type="dxa"/>
              <w:bottom w:w="50" w:type="dxa"/>
              <w:right w:w="50" w:type="dxa"/>
            </w:tcMar>
            <w:vAlign w:val="top"/>
          </w:tcPr>
          <w:p w14:paraId="7E097115">
            <w:pPr>
              <w:jc w:val="center"/>
              <w:rPr>
                <w:sz w:val="18"/>
                <w:szCs w:val="21"/>
              </w:rPr>
            </w:pPr>
            <w:r>
              <w:rPr>
                <w:rFonts w:ascii="Times New Roman" w:hAnsi="Times New Roman"/>
                <w:sz w:val="11"/>
                <w:szCs w:val="11"/>
              </w:rPr>
              <w:t>-0.152 (0.0114)</w:t>
            </w:r>
          </w:p>
        </w:tc>
        <w:tc>
          <w:tcPr>
            <w:tcW w:w="0" w:type="auto"/>
            <w:tcMar>
              <w:top w:w="50" w:type="dxa"/>
              <w:left w:w="50" w:type="dxa"/>
              <w:bottom w:w="50" w:type="dxa"/>
              <w:right w:w="50" w:type="dxa"/>
            </w:tcMar>
          </w:tcPr>
          <w:p w14:paraId="57053061">
            <w:pPr>
              <w:jc w:val="center"/>
              <w:rPr>
                <w:sz w:val="18"/>
                <w:szCs w:val="21"/>
              </w:rPr>
            </w:pPr>
            <w:r>
              <w:rPr>
                <w:rFonts w:ascii="Times New Roman" w:hAnsi="Times New Roman"/>
                <w:sz w:val="11"/>
                <w:szCs w:val="11"/>
              </w:rPr>
              <w:t>-13.34</w:t>
            </w:r>
          </w:p>
        </w:tc>
        <w:tc>
          <w:tcPr>
            <w:tcW w:w="0" w:type="auto"/>
            <w:tcMar>
              <w:top w:w="50" w:type="dxa"/>
              <w:left w:w="50" w:type="dxa"/>
              <w:bottom w:w="50" w:type="dxa"/>
              <w:right w:w="50" w:type="dxa"/>
            </w:tcMar>
          </w:tcPr>
          <w:p w14:paraId="5BBD15EC">
            <w:pPr>
              <w:jc w:val="center"/>
              <w:rPr>
                <w:sz w:val="18"/>
                <w:szCs w:val="21"/>
              </w:rPr>
            </w:pPr>
            <w:r>
              <w:rPr>
                <w:rFonts w:ascii="Times New Roman" w:hAnsi="Times New Roman"/>
                <w:sz w:val="11"/>
                <w:szCs w:val="11"/>
              </w:rPr>
              <w:t>&lt;0.001</w:t>
            </w:r>
          </w:p>
        </w:tc>
        <w:tc>
          <w:tcPr>
            <w:tcW w:w="0" w:type="auto"/>
            <w:tcMar>
              <w:top w:w="50" w:type="dxa"/>
              <w:left w:w="50" w:type="dxa"/>
              <w:bottom w:w="50" w:type="dxa"/>
              <w:right w:w="50" w:type="dxa"/>
            </w:tcMar>
          </w:tcPr>
          <w:p w14:paraId="2C9E0688">
            <w:pPr>
              <w:jc w:val="center"/>
              <w:rPr>
                <w:sz w:val="18"/>
                <w:szCs w:val="21"/>
              </w:rPr>
            </w:pPr>
            <w:r>
              <w:rPr>
                <w:rFonts w:ascii="Times New Roman" w:hAnsi="Times New Roman"/>
                <w:sz w:val="11"/>
                <w:szCs w:val="11"/>
              </w:rPr>
              <w:t>-0.76 [-1.</w:t>
            </w:r>
            <w:r>
              <w:rPr>
                <w:rFonts w:hint="default" w:ascii="Times New Roman" w:hAnsi="Times New Roman"/>
                <w:sz w:val="11"/>
                <w:szCs w:val="11"/>
                <w:lang w:val="en-US"/>
              </w:rPr>
              <w:t>20</w:t>
            </w:r>
            <w:r>
              <w:rPr>
                <w:rFonts w:ascii="Times New Roman" w:hAnsi="Times New Roman"/>
                <w:sz w:val="11"/>
                <w:szCs w:val="11"/>
              </w:rPr>
              <w:t>, -0.3</w:t>
            </w:r>
            <w:r>
              <w:rPr>
                <w:rFonts w:hint="default" w:ascii="Times New Roman" w:hAnsi="Times New Roman"/>
                <w:sz w:val="11"/>
                <w:szCs w:val="11"/>
                <w:lang w:val="en-US"/>
              </w:rPr>
              <w:t>2</w:t>
            </w:r>
            <w:r>
              <w:rPr>
                <w:rFonts w:ascii="Times New Roman" w:hAnsi="Times New Roman"/>
                <w:sz w:val="11"/>
                <w:szCs w:val="11"/>
              </w:rPr>
              <w:t>]</w:t>
            </w:r>
          </w:p>
        </w:tc>
      </w:tr>
      <w:tr w14:paraId="3145DDF6">
        <w:tc>
          <w:tcPr>
            <w:tcW w:w="0" w:type="auto"/>
            <w:tcMar>
              <w:top w:w="50" w:type="dxa"/>
              <w:left w:w="50" w:type="dxa"/>
              <w:bottom w:w="50" w:type="dxa"/>
              <w:right w:w="50" w:type="dxa"/>
            </w:tcMar>
          </w:tcPr>
          <w:p w14:paraId="60AB60E7">
            <w:pPr>
              <w:jc w:val="center"/>
              <w:rPr>
                <w:sz w:val="18"/>
                <w:szCs w:val="21"/>
              </w:rPr>
            </w:pPr>
            <w:r>
              <w:rPr>
                <w:rFonts w:ascii="Times New Roman" w:hAnsi="Times New Roman"/>
                <w:sz w:val="11"/>
                <w:szCs w:val="11"/>
              </w:rPr>
              <w:t>DeltaScore_societal</w:t>
            </w:r>
          </w:p>
        </w:tc>
        <w:tc>
          <w:tcPr>
            <w:tcW w:w="0" w:type="auto"/>
            <w:tcMar>
              <w:top w:w="50" w:type="dxa"/>
              <w:left w:w="50" w:type="dxa"/>
              <w:bottom w:w="50" w:type="dxa"/>
              <w:right w:w="50" w:type="dxa"/>
            </w:tcMar>
          </w:tcPr>
          <w:p w14:paraId="08724CED">
            <w:pPr>
              <w:jc w:val="center"/>
              <w:rPr>
                <w:sz w:val="18"/>
                <w:szCs w:val="21"/>
              </w:rPr>
            </w:pPr>
            <w:r>
              <w:rPr>
                <w:rFonts w:ascii="Times New Roman" w:hAnsi="Times New Roman"/>
                <w:sz w:val="11"/>
                <w:szCs w:val="11"/>
              </w:rPr>
              <w:t>Dual-source</w:t>
            </w:r>
          </w:p>
        </w:tc>
        <w:tc>
          <w:tcPr>
            <w:tcW w:w="0" w:type="auto"/>
            <w:tcMar>
              <w:top w:w="50" w:type="dxa"/>
              <w:left w:w="50" w:type="dxa"/>
              <w:bottom w:w="50" w:type="dxa"/>
              <w:right w:w="50" w:type="dxa"/>
            </w:tcMar>
          </w:tcPr>
          <w:p w14:paraId="490F5943">
            <w:pPr>
              <w:jc w:val="center"/>
              <w:rPr>
                <w:sz w:val="18"/>
                <w:szCs w:val="21"/>
              </w:rPr>
            </w:pPr>
            <w:r>
              <w:rPr>
                <w:rFonts w:ascii="Times New Roman" w:hAnsi="Times New Roman"/>
                <w:sz w:val="11"/>
                <w:szCs w:val="11"/>
              </w:rPr>
              <w:t>Congruent</w:t>
            </w:r>
          </w:p>
        </w:tc>
        <w:tc>
          <w:tcPr>
            <w:tcW w:w="0" w:type="auto"/>
            <w:tcMar>
              <w:top w:w="50" w:type="dxa"/>
              <w:left w:w="50" w:type="dxa"/>
              <w:bottom w:w="50" w:type="dxa"/>
              <w:right w:w="50" w:type="dxa"/>
            </w:tcMar>
            <w:vAlign w:val="top"/>
          </w:tcPr>
          <w:p w14:paraId="59443BB8">
            <w:pPr>
              <w:jc w:val="center"/>
              <w:rPr>
                <w:sz w:val="18"/>
                <w:szCs w:val="21"/>
              </w:rPr>
            </w:pPr>
            <w:r>
              <w:rPr>
                <w:rFonts w:ascii="Times New Roman" w:hAnsi="Times New Roman"/>
                <w:sz w:val="11"/>
                <w:szCs w:val="11"/>
              </w:rPr>
              <w:t>-0.119 (0.0093)</w:t>
            </w:r>
          </w:p>
        </w:tc>
        <w:tc>
          <w:tcPr>
            <w:tcW w:w="0" w:type="auto"/>
            <w:tcMar>
              <w:top w:w="50" w:type="dxa"/>
              <w:left w:w="50" w:type="dxa"/>
              <w:bottom w:w="50" w:type="dxa"/>
              <w:right w:w="50" w:type="dxa"/>
            </w:tcMar>
            <w:vAlign w:val="top"/>
          </w:tcPr>
          <w:p w14:paraId="22D7CF57">
            <w:pPr>
              <w:jc w:val="center"/>
              <w:rPr>
                <w:sz w:val="18"/>
                <w:szCs w:val="21"/>
              </w:rPr>
            </w:pPr>
            <w:r>
              <w:rPr>
                <w:rFonts w:ascii="Times New Roman" w:hAnsi="Times New Roman"/>
                <w:sz w:val="11"/>
                <w:szCs w:val="11"/>
              </w:rPr>
              <w:t>-0.074 (0.0102)</w:t>
            </w:r>
          </w:p>
        </w:tc>
        <w:tc>
          <w:tcPr>
            <w:tcW w:w="0" w:type="auto"/>
            <w:tcMar>
              <w:top w:w="50" w:type="dxa"/>
              <w:left w:w="50" w:type="dxa"/>
              <w:bottom w:w="50" w:type="dxa"/>
              <w:right w:w="50" w:type="dxa"/>
            </w:tcMar>
            <w:vAlign w:val="top"/>
          </w:tcPr>
          <w:p w14:paraId="4BA78811">
            <w:pPr>
              <w:jc w:val="center"/>
              <w:rPr>
                <w:sz w:val="18"/>
                <w:szCs w:val="21"/>
              </w:rPr>
            </w:pPr>
            <w:r>
              <w:rPr>
                <w:rFonts w:ascii="Times New Roman" w:hAnsi="Times New Roman"/>
                <w:sz w:val="11"/>
                <w:szCs w:val="11"/>
              </w:rPr>
              <w:t>-0.045 (0.0115)</w:t>
            </w:r>
          </w:p>
        </w:tc>
        <w:tc>
          <w:tcPr>
            <w:tcW w:w="0" w:type="auto"/>
            <w:tcMar>
              <w:top w:w="50" w:type="dxa"/>
              <w:left w:w="50" w:type="dxa"/>
              <w:bottom w:w="50" w:type="dxa"/>
              <w:right w:w="50" w:type="dxa"/>
            </w:tcMar>
          </w:tcPr>
          <w:p w14:paraId="3FDA9587">
            <w:pPr>
              <w:jc w:val="center"/>
              <w:rPr>
                <w:sz w:val="18"/>
                <w:szCs w:val="21"/>
              </w:rPr>
            </w:pPr>
            <w:r>
              <w:rPr>
                <w:rFonts w:ascii="Times New Roman" w:hAnsi="Times New Roman"/>
                <w:sz w:val="11"/>
                <w:szCs w:val="11"/>
              </w:rPr>
              <w:t>-3.93</w:t>
            </w:r>
          </w:p>
        </w:tc>
        <w:tc>
          <w:tcPr>
            <w:tcW w:w="0" w:type="auto"/>
            <w:tcMar>
              <w:top w:w="50" w:type="dxa"/>
              <w:left w:w="50" w:type="dxa"/>
              <w:bottom w:w="50" w:type="dxa"/>
              <w:right w:w="50" w:type="dxa"/>
            </w:tcMar>
          </w:tcPr>
          <w:p w14:paraId="16261B7D">
            <w:pPr>
              <w:jc w:val="center"/>
              <w:rPr>
                <w:sz w:val="18"/>
                <w:szCs w:val="21"/>
              </w:rPr>
            </w:pPr>
            <w:r>
              <w:rPr>
                <w:rFonts w:ascii="Times New Roman" w:hAnsi="Times New Roman"/>
                <w:sz w:val="11"/>
                <w:szCs w:val="11"/>
              </w:rPr>
              <w:t>&lt;0.001</w:t>
            </w:r>
          </w:p>
        </w:tc>
        <w:tc>
          <w:tcPr>
            <w:tcW w:w="0" w:type="auto"/>
            <w:tcMar>
              <w:top w:w="50" w:type="dxa"/>
              <w:left w:w="50" w:type="dxa"/>
              <w:bottom w:w="50" w:type="dxa"/>
              <w:right w:w="50" w:type="dxa"/>
            </w:tcMar>
          </w:tcPr>
          <w:p w14:paraId="3A3AEB65">
            <w:pPr>
              <w:jc w:val="center"/>
              <w:rPr>
                <w:sz w:val="18"/>
                <w:szCs w:val="21"/>
              </w:rPr>
            </w:pPr>
            <w:r>
              <w:rPr>
                <w:rFonts w:ascii="Times New Roman" w:hAnsi="Times New Roman"/>
                <w:sz w:val="11"/>
                <w:szCs w:val="11"/>
              </w:rPr>
              <w:t>-0.36 [-0.7</w:t>
            </w:r>
            <w:r>
              <w:rPr>
                <w:rFonts w:hint="default" w:ascii="Times New Roman" w:hAnsi="Times New Roman"/>
                <w:sz w:val="11"/>
                <w:szCs w:val="11"/>
                <w:lang w:val="en-US"/>
              </w:rPr>
              <w:t>9</w:t>
            </w:r>
            <w:r>
              <w:rPr>
                <w:rFonts w:ascii="Times New Roman" w:hAnsi="Times New Roman"/>
                <w:sz w:val="11"/>
                <w:szCs w:val="11"/>
              </w:rPr>
              <w:t>, 0.0</w:t>
            </w:r>
            <w:r>
              <w:rPr>
                <w:rFonts w:hint="default" w:ascii="Times New Roman" w:hAnsi="Times New Roman"/>
                <w:sz w:val="11"/>
                <w:szCs w:val="11"/>
                <w:lang w:val="en-US"/>
              </w:rPr>
              <w:t>7</w:t>
            </w:r>
            <w:r>
              <w:rPr>
                <w:rFonts w:ascii="Times New Roman" w:hAnsi="Times New Roman"/>
                <w:sz w:val="11"/>
                <w:szCs w:val="11"/>
              </w:rPr>
              <w:t>]</w:t>
            </w:r>
          </w:p>
        </w:tc>
      </w:tr>
      <w:tr w14:paraId="00035A96">
        <w:tc>
          <w:tcPr>
            <w:tcW w:w="0" w:type="auto"/>
            <w:tcMar>
              <w:top w:w="50" w:type="dxa"/>
              <w:left w:w="50" w:type="dxa"/>
              <w:bottom w:w="50" w:type="dxa"/>
              <w:right w:w="50" w:type="dxa"/>
            </w:tcMar>
          </w:tcPr>
          <w:p w14:paraId="5B5475C2">
            <w:pPr>
              <w:jc w:val="center"/>
              <w:rPr>
                <w:sz w:val="18"/>
                <w:szCs w:val="21"/>
              </w:rPr>
            </w:pPr>
            <w:r>
              <w:rPr>
                <w:rFonts w:ascii="Times New Roman" w:hAnsi="Times New Roman"/>
                <w:sz w:val="11"/>
                <w:szCs w:val="11"/>
              </w:rPr>
              <w:t>DeltaScore_societal</w:t>
            </w:r>
          </w:p>
        </w:tc>
        <w:tc>
          <w:tcPr>
            <w:tcW w:w="0" w:type="auto"/>
            <w:tcMar>
              <w:top w:w="50" w:type="dxa"/>
              <w:left w:w="50" w:type="dxa"/>
              <w:bottom w:w="50" w:type="dxa"/>
              <w:right w:w="50" w:type="dxa"/>
            </w:tcMar>
          </w:tcPr>
          <w:p w14:paraId="6A7648F6">
            <w:pPr>
              <w:jc w:val="center"/>
              <w:rPr>
                <w:sz w:val="18"/>
                <w:szCs w:val="21"/>
              </w:rPr>
            </w:pPr>
            <w:r>
              <w:rPr>
                <w:rFonts w:ascii="Times New Roman" w:hAnsi="Times New Roman"/>
                <w:sz w:val="11"/>
                <w:szCs w:val="11"/>
              </w:rPr>
              <w:t>Peer-dominant</w:t>
            </w:r>
          </w:p>
        </w:tc>
        <w:tc>
          <w:tcPr>
            <w:tcW w:w="0" w:type="auto"/>
            <w:tcMar>
              <w:top w:w="50" w:type="dxa"/>
              <w:left w:w="50" w:type="dxa"/>
              <w:bottom w:w="50" w:type="dxa"/>
              <w:right w:w="50" w:type="dxa"/>
            </w:tcMar>
          </w:tcPr>
          <w:p w14:paraId="0E29C781">
            <w:pPr>
              <w:jc w:val="center"/>
              <w:rPr>
                <w:sz w:val="18"/>
                <w:szCs w:val="21"/>
              </w:rPr>
            </w:pPr>
            <w:r>
              <w:rPr>
                <w:rFonts w:ascii="Times New Roman" w:hAnsi="Times New Roman"/>
                <w:sz w:val="11"/>
                <w:szCs w:val="11"/>
              </w:rPr>
              <w:t>Conflict</w:t>
            </w:r>
          </w:p>
        </w:tc>
        <w:tc>
          <w:tcPr>
            <w:tcW w:w="0" w:type="auto"/>
            <w:tcMar>
              <w:top w:w="50" w:type="dxa"/>
              <w:left w:w="50" w:type="dxa"/>
              <w:bottom w:w="50" w:type="dxa"/>
              <w:right w:w="50" w:type="dxa"/>
            </w:tcMar>
            <w:vAlign w:val="top"/>
          </w:tcPr>
          <w:p w14:paraId="64B09E89">
            <w:pPr>
              <w:jc w:val="center"/>
              <w:rPr>
                <w:sz w:val="18"/>
                <w:szCs w:val="21"/>
              </w:rPr>
            </w:pPr>
            <w:r>
              <w:rPr>
                <w:rFonts w:ascii="Times New Roman" w:hAnsi="Times New Roman"/>
                <w:sz w:val="11"/>
                <w:szCs w:val="11"/>
              </w:rPr>
              <w:t>-0.068 (0.0089)</w:t>
            </w:r>
          </w:p>
        </w:tc>
        <w:tc>
          <w:tcPr>
            <w:tcW w:w="0" w:type="auto"/>
            <w:tcMar>
              <w:top w:w="50" w:type="dxa"/>
              <w:left w:w="50" w:type="dxa"/>
              <w:bottom w:w="50" w:type="dxa"/>
              <w:right w:w="50" w:type="dxa"/>
            </w:tcMar>
            <w:vAlign w:val="top"/>
          </w:tcPr>
          <w:p w14:paraId="3A45A23D">
            <w:pPr>
              <w:jc w:val="center"/>
              <w:rPr>
                <w:sz w:val="18"/>
                <w:szCs w:val="21"/>
              </w:rPr>
            </w:pPr>
            <w:r>
              <w:rPr>
                <w:rFonts w:ascii="Times New Roman" w:hAnsi="Times New Roman"/>
                <w:sz w:val="11"/>
                <w:szCs w:val="11"/>
              </w:rPr>
              <w:t>-0.014 (0.0103)</w:t>
            </w:r>
          </w:p>
        </w:tc>
        <w:tc>
          <w:tcPr>
            <w:tcW w:w="0" w:type="auto"/>
            <w:tcMar>
              <w:top w:w="50" w:type="dxa"/>
              <w:left w:w="50" w:type="dxa"/>
              <w:bottom w:w="50" w:type="dxa"/>
              <w:right w:w="50" w:type="dxa"/>
            </w:tcMar>
            <w:vAlign w:val="top"/>
          </w:tcPr>
          <w:p w14:paraId="1AF5BE33">
            <w:pPr>
              <w:jc w:val="center"/>
              <w:rPr>
                <w:sz w:val="18"/>
                <w:szCs w:val="21"/>
              </w:rPr>
            </w:pPr>
            <w:r>
              <w:rPr>
                <w:rFonts w:ascii="Times New Roman" w:hAnsi="Times New Roman"/>
                <w:sz w:val="11"/>
                <w:szCs w:val="11"/>
              </w:rPr>
              <w:t>-0.055 (0.0131)</w:t>
            </w:r>
          </w:p>
        </w:tc>
        <w:tc>
          <w:tcPr>
            <w:tcW w:w="0" w:type="auto"/>
            <w:tcMar>
              <w:top w:w="50" w:type="dxa"/>
              <w:left w:w="50" w:type="dxa"/>
              <w:bottom w:w="50" w:type="dxa"/>
              <w:right w:w="50" w:type="dxa"/>
            </w:tcMar>
          </w:tcPr>
          <w:p w14:paraId="404734BD">
            <w:pPr>
              <w:jc w:val="center"/>
              <w:rPr>
                <w:sz w:val="18"/>
                <w:szCs w:val="21"/>
              </w:rPr>
            </w:pPr>
            <w:r>
              <w:rPr>
                <w:rFonts w:ascii="Times New Roman" w:hAnsi="Times New Roman"/>
                <w:sz w:val="11"/>
                <w:szCs w:val="11"/>
              </w:rPr>
              <w:t>-4.17</w:t>
            </w:r>
          </w:p>
        </w:tc>
        <w:tc>
          <w:tcPr>
            <w:tcW w:w="0" w:type="auto"/>
            <w:tcMar>
              <w:top w:w="50" w:type="dxa"/>
              <w:left w:w="50" w:type="dxa"/>
              <w:bottom w:w="50" w:type="dxa"/>
              <w:right w:w="50" w:type="dxa"/>
            </w:tcMar>
          </w:tcPr>
          <w:p w14:paraId="4A1E2F35">
            <w:pPr>
              <w:jc w:val="center"/>
              <w:rPr>
                <w:sz w:val="18"/>
                <w:szCs w:val="21"/>
              </w:rPr>
            </w:pPr>
            <w:r>
              <w:rPr>
                <w:rFonts w:ascii="Times New Roman" w:hAnsi="Times New Roman"/>
                <w:sz w:val="11"/>
                <w:szCs w:val="11"/>
              </w:rPr>
              <w:t>&lt;0.001</w:t>
            </w:r>
          </w:p>
        </w:tc>
        <w:tc>
          <w:tcPr>
            <w:tcW w:w="0" w:type="auto"/>
            <w:tcMar>
              <w:top w:w="50" w:type="dxa"/>
              <w:left w:w="50" w:type="dxa"/>
              <w:bottom w:w="50" w:type="dxa"/>
              <w:right w:w="50" w:type="dxa"/>
            </w:tcMar>
          </w:tcPr>
          <w:p w14:paraId="7CE66D78">
            <w:pPr>
              <w:jc w:val="center"/>
              <w:rPr>
                <w:sz w:val="18"/>
                <w:szCs w:val="21"/>
              </w:rPr>
            </w:pPr>
            <w:r>
              <w:rPr>
                <w:rFonts w:ascii="Times New Roman" w:hAnsi="Times New Roman"/>
                <w:sz w:val="11"/>
                <w:szCs w:val="11"/>
              </w:rPr>
              <w:t>-0.60 [-1.03, -0.1</w:t>
            </w:r>
            <w:r>
              <w:rPr>
                <w:rFonts w:hint="default" w:ascii="Times New Roman" w:hAnsi="Times New Roman"/>
                <w:sz w:val="11"/>
                <w:szCs w:val="11"/>
                <w:lang w:val="en-US"/>
              </w:rPr>
              <w:t>7</w:t>
            </w:r>
            <w:r>
              <w:rPr>
                <w:rFonts w:ascii="Times New Roman" w:hAnsi="Times New Roman"/>
                <w:sz w:val="11"/>
                <w:szCs w:val="11"/>
              </w:rPr>
              <w:t>]</w:t>
            </w:r>
          </w:p>
        </w:tc>
      </w:tr>
      <w:tr w14:paraId="3CFF5F49">
        <w:tc>
          <w:tcPr>
            <w:tcW w:w="0" w:type="auto"/>
            <w:tcMar>
              <w:top w:w="50" w:type="dxa"/>
              <w:left w:w="50" w:type="dxa"/>
              <w:bottom w:w="50" w:type="dxa"/>
              <w:right w:w="50" w:type="dxa"/>
            </w:tcMar>
          </w:tcPr>
          <w:p w14:paraId="24D0C434">
            <w:pPr>
              <w:jc w:val="center"/>
              <w:rPr>
                <w:sz w:val="18"/>
                <w:szCs w:val="21"/>
              </w:rPr>
            </w:pPr>
            <w:r>
              <w:rPr>
                <w:rFonts w:ascii="Times New Roman" w:hAnsi="Times New Roman"/>
                <w:sz w:val="11"/>
                <w:szCs w:val="11"/>
              </w:rPr>
              <w:t>DeltaScore_societal</w:t>
            </w:r>
          </w:p>
        </w:tc>
        <w:tc>
          <w:tcPr>
            <w:tcW w:w="0" w:type="auto"/>
            <w:tcMar>
              <w:top w:w="50" w:type="dxa"/>
              <w:left w:w="50" w:type="dxa"/>
              <w:bottom w:w="50" w:type="dxa"/>
              <w:right w:w="50" w:type="dxa"/>
            </w:tcMar>
          </w:tcPr>
          <w:p w14:paraId="233770B2">
            <w:pPr>
              <w:jc w:val="center"/>
              <w:rPr>
                <w:sz w:val="18"/>
                <w:szCs w:val="21"/>
              </w:rPr>
            </w:pPr>
            <w:r>
              <w:rPr>
                <w:rFonts w:ascii="Times New Roman" w:hAnsi="Times New Roman"/>
                <w:sz w:val="11"/>
                <w:szCs w:val="11"/>
              </w:rPr>
              <w:t>Societal-dominant</w:t>
            </w:r>
          </w:p>
        </w:tc>
        <w:tc>
          <w:tcPr>
            <w:tcW w:w="0" w:type="auto"/>
            <w:tcMar>
              <w:top w:w="50" w:type="dxa"/>
              <w:left w:w="50" w:type="dxa"/>
              <w:bottom w:w="50" w:type="dxa"/>
              <w:right w:w="50" w:type="dxa"/>
            </w:tcMar>
          </w:tcPr>
          <w:p w14:paraId="199ABEF8">
            <w:pPr>
              <w:jc w:val="center"/>
              <w:rPr>
                <w:sz w:val="18"/>
                <w:szCs w:val="21"/>
              </w:rPr>
            </w:pPr>
            <w:r>
              <w:rPr>
                <w:rFonts w:ascii="Times New Roman" w:hAnsi="Times New Roman"/>
                <w:sz w:val="11"/>
                <w:szCs w:val="11"/>
              </w:rPr>
              <w:t>Conflict</w:t>
            </w:r>
          </w:p>
        </w:tc>
        <w:tc>
          <w:tcPr>
            <w:tcW w:w="0" w:type="auto"/>
            <w:tcMar>
              <w:top w:w="50" w:type="dxa"/>
              <w:left w:w="50" w:type="dxa"/>
              <w:bottom w:w="50" w:type="dxa"/>
              <w:right w:w="50" w:type="dxa"/>
            </w:tcMar>
            <w:vAlign w:val="top"/>
          </w:tcPr>
          <w:p w14:paraId="1847EA24">
            <w:pPr>
              <w:jc w:val="center"/>
              <w:rPr>
                <w:sz w:val="18"/>
                <w:szCs w:val="21"/>
              </w:rPr>
            </w:pPr>
            <w:r>
              <w:rPr>
                <w:rFonts w:ascii="Times New Roman" w:hAnsi="Times New Roman"/>
                <w:sz w:val="11"/>
                <w:szCs w:val="11"/>
              </w:rPr>
              <w:t>0.011 (0.0133)</w:t>
            </w:r>
          </w:p>
        </w:tc>
        <w:tc>
          <w:tcPr>
            <w:tcW w:w="0" w:type="auto"/>
            <w:tcMar>
              <w:top w:w="50" w:type="dxa"/>
              <w:left w:w="50" w:type="dxa"/>
              <w:bottom w:w="50" w:type="dxa"/>
              <w:right w:w="50" w:type="dxa"/>
            </w:tcMar>
            <w:vAlign w:val="top"/>
          </w:tcPr>
          <w:p w14:paraId="2E7EBEE9">
            <w:pPr>
              <w:jc w:val="center"/>
              <w:rPr>
                <w:sz w:val="18"/>
                <w:szCs w:val="21"/>
              </w:rPr>
            </w:pPr>
            <w:r>
              <w:rPr>
                <w:rFonts w:ascii="Times New Roman" w:hAnsi="Times New Roman"/>
                <w:sz w:val="11"/>
                <w:szCs w:val="11"/>
              </w:rPr>
              <w:t>-0.003 (0.0142)</w:t>
            </w:r>
          </w:p>
        </w:tc>
        <w:tc>
          <w:tcPr>
            <w:tcW w:w="0" w:type="auto"/>
            <w:tcMar>
              <w:top w:w="50" w:type="dxa"/>
              <w:left w:w="50" w:type="dxa"/>
              <w:bottom w:w="50" w:type="dxa"/>
              <w:right w:w="50" w:type="dxa"/>
            </w:tcMar>
            <w:vAlign w:val="top"/>
          </w:tcPr>
          <w:p w14:paraId="7B2239EB">
            <w:pPr>
              <w:jc w:val="center"/>
              <w:rPr>
                <w:sz w:val="18"/>
                <w:szCs w:val="21"/>
              </w:rPr>
            </w:pPr>
            <w:r>
              <w:rPr>
                <w:rFonts w:ascii="Times New Roman" w:hAnsi="Times New Roman"/>
                <w:sz w:val="11"/>
                <w:szCs w:val="11"/>
              </w:rPr>
              <w:t>0.013 (0.0114)</w:t>
            </w:r>
          </w:p>
        </w:tc>
        <w:tc>
          <w:tcPr>
            <w:tcW w:w="0" w:type="auto"/>
            <w:tcMar>
              <w:top w:w="50" w:type="dxa"/>
              <w:left w:w="50" w:type="dxa"/>
              <w:bottom w:w="50" w:type="dxa"/>
              <w:right w:w="50" w:type="dxa"/>
            </w:tcMar>
          </w:tcPr>
          <w:p w14:paraId="37858E9E">
            <w:pPr>
              <w:jc w:val="center"/>
              <w:rPr>
                <w:sz w:val="18"/>
                <w:szCs w:val="21"/>
              </w:rPr>
            </w:pPr>
            <w:r>
              <w:rPr>
                <w:rFonts w:ascii="Times New Roman" w:hAnsi="Times New Roman"/>
                <w:sz w:val="11"/>
                <w:szCs w:val="11"/>
              </w:rPr>
              <w:t>1.18</w:t>
            </w:r>
          </w:p>
        </w:tc>
        <w:tc>
          <w:tcPr>
            <w:tcW w:w="0" w:type="auto"/>
            <w:tcMar>
              <w:top w:w="50" w:type="dxa"/>
              <w:left w:w="50" w:type="dxa"/>
              <w:bottom w:w="50" w:type="dxa"/>
              <w:right w:w="50" w:type="dxa"/>
            </w:tcMar>
          </w:tcPr>
          <w:p w14:paraId="5FA6E74F">
            <w:pPr>
              <w:jc w:val="center"/>
              <w:rPr>
                <w:sz w:val="18"/>
                <w:szCs w:val="21"/>
              </w:rPr>
            </w:pPr>
            <w:r>
              <w:rPr>
                <w:rFonts w:ascii="Times New Roman" w:hAnsi="Times New Roman"/>
                <w:sz w:val="11"/>
                <w:szCs w:val="11"/>
              </w:rPr>
              <w:t>0.237</w:t>
            </w:r>
          </w:p>
        </w:tc>
        <w:tc>
          <w:tcPr>
            <w:tcW w:w="0" w:type="auto"/>
            <w:tcMar>
              <w:top w:w="50" w:type="dxa"/>
              <w:left w:w="50" w:type="dxa"/>
              <w:bottom w:w="50" w:type="dxa"/>
              <w:right w:w="50" w:type="dxa"/>
            </w:tcMar>
          </w:tcPr>
          <w:p w14:paraId="6171B858">
            <w:pPr>
              <w:jc w:val="center"/>
              <w:rPr>
                <w:sz w:val="18"/>
                <w:szCs w:val="21"/>
              </w:rPr>
            </w:pPr>
            <w:r>
              <w:rPr>
                <w:rFonts w:ascii="Times New Roman" w:hAnsi="Times New Roman"/>
                <w:sz w:val="11"/>
                <w:szCs w:val="11"/>
              </w:rPr>
              <w:t>0.04 [-0.38, 0.47]</w:t>
            </w:r>
          </w:p>
        </w:tc>
      </w:tr>
      <w:tr w14:paraId="2327D337">
        <w:tc>
          <w:tcPr>
            <w:tcW w:w="0" w:type="auto"/>
            <w:tcMar>
              <w:top w:w="50" w:type="dxa"/>
              <w:left w:w="50" w:type="dxa"/>
              <w:bottom w:w="50" w:type="dxa"/>
              <w:right w:w="50" w:type="dxa"/>
            </w:tcMar>
          </w:tcPr>
          <w:p w14:paraId="169AD85C">
            <w:pPr>
              <w:jc w:val="center"/>
              <w:rPr>
                <w:sz w:val="18"/>
                <w:szCs w:val="21"/>
              </w:rPr>
            </w:pPr>
            <w:r>
              <w:rPr>
                <w:rFonts w:ascii="Times New Roman" w:hAnsi="Times New Roman"/>
                <w:sz w:val="11"/>
                <w:szCs w:val="11"/>
              </w:rPr>
              <w:t>DeltaScore_societal</w:t>
            </w:r>
          </w:p>
        </w:tc>
        <w:tc>
          <w:tcPr>
            <w:tcW w:w="0" w:type="auto"/>
            <w:tcMar>
              <w:top w:w="50" w:type="dxa"/>
              <w:left w:w="50" w:type="dxa"/>
              <w:bottom w:w="50" w:type="dxa"/>
              <w:right w:w="50" w:type="dxa"/>
            </w:tcMar>
          </w:tcPr>
          <w:p w14:paraId="32F5DFE0">
            <w:pPr>
              <w:jc w:val="center"/>
              <w:rPr>
                <w:sz w:val="18"/>
                <w:szCs w:val="21"/>
              </w:rPr>
            </w:pPr>
            <w:r>
              <w:rPr>
                <w:rFonts w:ascii="Times New Roman" w:hAnsi="Times New Roman"/>
                <w:sz w:val="11"/>
                <w:szCs w:val="11"/>
              </w:rPr>
              <w:t>Dual-source</w:t>
            </w:r>
          </w:p>
        </w:tc>
        <w:tc>
          <w:tcPr>
            <w:tcW w:w="0" w:type="auto"/>
            <w:tcMar>
              <w:top w:w="50" w:type="dxa"/>
              <w:left w:w="50" w:type="dxa"/>
              <w:bottom w:w="50" w:type="dxa"/>
              <w:right w:w="50" w:type="dxa"/>
            </w:tcMar>
          </w:tcPr>
          <w:p w14:paraId="2C0980FE">
            <w:pPr>
              <w:jc w:val="center"/>
              <w:rPr>
                <w:sz w:val="18"/>
                <w:szCs w:val="21"/>
              </w:rPr>
            </w:pPr>
            <w:r>
              <w:rPr>
                <w:rFonts w:ascii="Times New Roman" w:hAnsi="Times New Roman"/>
                <w:sz w:val="11"/>
                <w:szCs w:val="11"/>
              </w:rPr>
              <w:t>Conflict</w:t>
            </w:r>
          </w:p>
        </w:tc>
        <w:tc>
          <w:tcPr>
            <w:tcW w:w="0" w:type="auto"/>
            <w:tcMar>
              <w:top w:w="50" w:type="dxa"/>
              <w:left w:w="50" w:type="dxa"/>
              <w:bottom w:w="50" w:type="dxa"/>
              <w:right w:w="50" w:type="dxa"/>
            </w:tcMar>
            <w:vAlign w:val="top"/>
          </w:tcPr>
          <w:p w14:paraId="1C2D8399">
            <w:pPr>
              <w:jc w:val="center"/>
              <w:rPr>
                <w:sz w:val="18"/>
                <w:szCs w:val="21"/>
              </w:rPr>
            </w:pPr>
            <w:r>
              <w:rPr>
                <w:rFonts w:ascii="Times New Roman" w:hAnsi="Times New Roman"/>
                <w:sz w:val="11"/>
                <w:szCs w:val="11"/>
              </w:rPr>
              <w:t>0.043 (0.0068)</w:t>
            </w:r>
          </w:p>
        </w:tc>
        <w:tc>
          <w:tcPr>
            <w:tcW w:w="0" w:type="auto"/>
            <w:tcMar>
              <w:top w:w="50" w:type="dxa"/>
              <w:left w:w="50" w:type="dxa"/>
              <w:bottom w:w="50" w:type="dxa"/>
              <w:right w:w="50" w:type="dxa"/>
            </w:tcMar>
            <w:vAlign w:val="top"/>
          </w:tcPr>
          <w:p w14:paraId="6BDE1598">
            <w:pPr>
              <w:jc w:val="center"/>
              <w:rPr>
                <w:sz w:val="18"/>
                <w:szCs w:val="21"/>
              </w:rPr>
            </w:pPr>
            <w:r>
              <w:rPr>
                <w:rFonts w:ascii="Times New Roman" w:hAnsi="Times New Roman"/>
                <w:sz w:val="11"/>
                <w:szCs w:val="11"/>
              </w:rPr>
              <w:t>0.016 (0.0074)</w:t>
            </w:r>
          </w:p>
        </w:tc>
        <w:tc>
          <w:tcPr>
            <w:tcW w:w="0" w:type="auto"/>
            <w:tcMar>
              <w:top w:w="50" w:type="dxa"/>
              <w:left w:w="50" w:type="dxa"/>
              <w:bottom w:w="50" w:type="dxa"/>
              <w:right w:w="50" w:type="dxa"/>
            </w:tcMar>
            <w:vAlign w:val="top"/>
          </w:tcPr>
          <w:p w14:paraId="30AEEFD7">
            <w:pPr>
              <w:jc w:val="center"/>
              <w:rPr>
                <w:sz w:val="18"/>
                <w:szCs w:val="21"/>
              </w:rPr>
            </w:pPr>
            <w:r>
              <w:rPr>
                <w:rFonts w:ascii="Times New Roman" w:hAnsi="Times New Roman"/>
                <w:sz w:val="11"/>
                <w:szCs w:val="11"/>
              </w:rPr>
              <w:t>0.027 (0.0066)</w:t>
            </w:r>
          </w:p>
        </w:tc>
        <w:tc>
          <w:tcPr>
            <w:tcW w:w="0" w:type="auto"/>
            <w:tcMar>
              <w:top w:w="50" w:type="dxa"/>
              <w:left w:w="50" w:type="dxa"/>
              <w:bottom w:w="50" w:type="dxa"/>
              <w:right w:w="50" w:type="dxa"/>
            </w:tcMar>
          </w:tcPr>
          <w:p w14:paraId="2EE64826">
            <w:pPr>
              <w:jc w:val="center"/>
              <w:rPr>
                <w:sz w:val="18"/>
                <w:szCs w:val="21"/>
              </w:rPr>
            </w:pPr>
            <w:r>
              <w:rPr>
                <w:rFonts w:ascii="Times New Roman" w:hAnsi="Times New Roman"/>
                <w:sz w:val="11"/>
                <w:szCs w:val="11"/>
              </w:rPr>
              <w:t>4.08</w:t>
            </w:r>
          </w:p>
        </w:tc>
        <w:tc>
          <w:tcPr>
            <w:tcW w:w="0" w:type="auto"/>
            <w:tcMar>
              <w:top w:w="50" w:type="dxa"/>
              <w:left w:w="50" w:type="dxa"/>
              <w:bottom w:w="50" w:type="dxa"/>
              <w:right w:w="50" w:type="dxa"/>
            </w:tcMar>
          </w:tcPr>
          <w:p w14:paraId="0EBE37CD">
            <w:pPr>
              <w:jc w:val="center"/>
              <w:rPr>
                <w:sz w:val="18"/>
                <w:szCs w:val="21"/>
              </w:rPr>
            </w:pPr>
            <w:r>
              <w:rPr>
                <w:rFonts w:ascii="Times New Roman" w:hAnsi="Times New Roman"/>
                <w:sz w:val="11"/>
                <w:szCs w:val="11"/>
              </w:rPr>
              <w:t>&lt;0.001</w:t>
            </w:r>
          </w:p>
        </w:tc>
        <w:tc>
          <w:tcPr>
            <w:tcW w:w="0" w:type="auto"/>
            <w:tcMar>
              <w:top w:w="50" w:type="dxa"/>
              <w:left w:w="50" w:type="dxa"/>
              <w:bottom w:w="50" w:type="dxa"/>
              <w:right w:w="50" w:type="dxa"/>
            </w:tcMar>
          </w:tcPr>
          <w:p w14:paraId="17991097">
            <w:pPr>
              <w:jc w:val="center"/>
              <w:rPr>
                <w:sz w:val="18"/>
                <w:szCs w:val="21"/>
              </w:rPr>
            </w:pPr>
            <w:r>
              <w:rPr>
                <w:rFonts w:ascii="Times New Roman" w:hAnsi="Times New Roman"/>
                <w:sz w:val="11"/>
                <w:szCs w:val="11"/>
              </w:rPr>
              <w:t>0.42 [-0.0</w:t>
            </w:r>
            <w:r>
              <w:rPr>
                <w:rFonts w:hint="default" w:ascii="Times New Roman" w:hAnsi="Times New Roman"/>
                <w:sz w:val="11"/>
                <w:szCs w:val="11"/>
                <w:lang w:val="en-US"/>
              </w:rPr>
              <w:t>1</w:t>
            </w:r>
            <w:r>
              <w:rPr>
                <w:rFonts w:ascii="Times New Roman" w:hAnsi="Times New Roman"/>
                <w:sz w:val="11"/>
                <w:szCs w:val="11"/>
              </w:rPr>
              <w:t>, 0.8</w:t>
            </w:r>
            <w:r>
              <w:rPr>
                <w:rFonts w:hint="default" w:ascii="Times New Roman" w:hAnsi="Times New Roman"/>
                <w:sz w:val="11"/>
                <w:szCs w:val="11"/>
                <w:lang w:val="en-US"/>
              </w:rPr>
              <w:t>5</w:t>
            </w:r>
            <w:r>
              <w:rPr>
                <w:rFonts w:ascii="Times New Roman" w:hAnsi="Times New Roman"/>
                <w:sz w:val="11"/>
                <w:szCs w:val="11"/>
              </w:rPr>
              <w:t>]</w:t>
            </w:r>
          </w:p>
        </w:tc>
      </w:tr>
      <w:tr w14:paraId="40B83A66">
        <w:tc>
          <w:tcPr>
            <w:tcW w:w="0" w:type="auto"/>
            <w:tcMar>
              <w:top w:w="50" w:type="dxa"/>
              <w:left w:w="50" w:type="dxa"/>
              <w:bottom w:w="50" w:type="dxa"/>
              <w:right w:w="50" w:type="dxa"/>
            </w:tcMar>
          </w:tcPr>
          <w:p w14:paraId="74843038">
            <w:pPr>
              <w:jc w:val="center"/>
              <w:rPr>
                <w:sz w:val="18"/>
                <w:szCs w:val="21"/>
              </w:rPr>
            </w:pPr>
            <w:r>
              <w:rPr>
                <w:rFonts w:ascii="Times New Roman" w:hAnsi="Times New Roman"/>
                <w:sz w:val="11"/>
                <w:szCs w:val="11"/>
              </w:rPr>
              <w:t>DeltaScore_peer</w:t>
            </w:r>
          </w:p>
        </w:tc>
        <w:tc>
          <w:tcPr>
            <w:tcW w:w="0" w:type="auto"/>
            <w:tcMar>
              <w:top w:w="50" w:type="dxa"/>
              <w:left w:w="50" w:type="dxa"/>
              <w:bottom w:w="50" w:type="dxa"/>
              <w:right w:w="50" w:type="dxa"/>
            </w:tcMar>
          </w:tcPr>
          <w:p w14:paraId="5515D595">
            <w:pPr>
              <w:jc w:val="center"/>
              <w:rPr>
                <w:rFonts w:hint="default"/>
                <w:sz w:val="18"/>
                <w:szCs w:val="21"/>
                <w:lang w:val="en-US"/>
              </w:rPr>
            </w:pPr>
            <w:r>
              <w:rPr>
                <w:rFonts w:ascii="Times New Roman" w:hAnsi="Times New Roman"/>
                <w:sz w:val="11"/>
                <w:szCs w:val="11"/>
              </w:rPr>
              <w:t>Peer-</w:t>
            </w:r>
            <w:r>
              <w:rPr>
                <w:rFonts w:hint="default" w:ascii="Times New Roman" w:hAnsi="Times New Roman"/>
                <w:sz w:val="11"/>
                <w:szCs w:val="11"/>
                <w:lang w:val="en-US"/>
              </w:rPr>
              <w:t>aligned</w:t>
            </w:r>
          </w:p>
        </w:tc>
        <w:tc>
          <w:tcPr>
            <w:tcW w:w="0" w:type="auto"/>
            <w:tcMar>
              <w:top w:w="50" w:type="dxa"/>
              <w:left w:w="50" w:type="dxa"/>
              <w:bottom w:w="50" w:type="dxa"/>
              <w:right w:w="50" w:type="dxa"/>
            </w:tcMar>
          </w:tcPr>
          <w:p w14:paraId="0818B3D7">
            <w:pPr>
              <w:jc w:val="center"/>
              <w:rPr>
                <w:sz w:val="18"/>
                <w:szCs w:val="21"/>
              </w:rPr>
            </w:pPr>
            <w:r>
              <w:rPr>
                <w:rFonts w:ascii="Times New Roman" w:hAnsi="Times New Roman"/>
                <w:sz w:val="11"/>
                <w:szCs w:val="11"/>
              </w:rPr>
              <w:t>Congruent</w:t>
            </w:r>
          </w:p>
        </w:tc>
        <w:tc>
          <w:tcPr>
            <w:tcW w:w="0" w:type="auto"/>
            <w:tcMar>
              <w:top w:w="50" w:type="dxa"/>
              <w:left w:w="50" w:type="dxa"/>
              <w:bottom w:w="50" w:type="dxa"/>
              <w:right w:w="50" w:type="dxa"/>
            </w:tcMar>
            <w:vAlign w:val="top"/>
          </w:tcPr>
          <w:p w14:paraId="2EEEEE25">
            <w:pPr>
              <w:jc w:val="center"/>
              <w:rPr>
                <w:sz w:val="18"/>
                <w:szCs w:val="21"/>
              </w:rPr>
            </w:pPr>
            <w:r>
              <w:rPr>
                <w:rFonts w:ascii="Times New Roman" w:hAnsi="Times New Roman"/>
                <w:sz w:val="11"/>
                <w:szCs w:val="11"/>
              </w:rPr>
              <w:t>-0.196 (0.0118)</w:t>
            </w:r>
          </w:p>
        </w:tc>
        <w:tc>
          <w:tcPr>
            <w:tcW w:w="0" w:type="auto"/>
            <w:tcMar>
              <w:top w:w="50" w:type="dxa"/>
              <w:left w:w="50" w:type="dxa"/>
              <w:bottom w:w="50" w:type="dxa"/>
              <w:right w:w="50" w:type="dxa"/>
            </w:tcMar>
            <w:vAlign w:val="top"/>
          </w:tcPr>
          <w:p w14:paraId="53DF17D3">
            <w:pPr>
              <w:jc w:val="center"/>
              <w:rPr>
                <w:sz w:val="18"/>
                <w:szCs w:val="21"/>
              </w:rPr>
            </w:pPr>
            <w:r>
              <w:rPr>
                <w:rFonts w:ascii="Times New Roman" w:hAnsi="Times New Roman"/>
                <w:sz w:val="11"/>
                <w:szCs w:val="11"/>
              </w:rPr>
              <w:t>-0.108 (0.0125)</w:t>
            </w:r>
          </w:p>
        </w:tc>
        <w:tc>
          <w:tcPr>
            <w:tcW w:w="0" w:type="auto"/>
            <w:tcMar>
              <w:top w:w="50" w:type="dxa"/>
              <w:left w:w="50" w:type="dxa"/>
              <w:bottom w:w="50" w:type="dxa"/>
              <w:right w:w="50" w:type="dxa"/>
            </w:tcMar>
            <w:vAlign w:val="top"/>
          </w:tcPr>
          <w:p w14:paraId="6C72AEBE">
            <w:pPr>
              <w:jc w:val="center"/>
              <w:rPr>
                <w:sz w:val="18"/>
                <w:szCs w:val="21"/>
              </w:rPr>
            </w:pPr>
            <w:r>
              <w:rPr>
                <w:rFonts w:ascii="Times New Roman" w:hAnsi="Times New Roman"/>
                <w:sz w:val="11"/>
                <w:szCs w:val="11"/>
              </w:rPr>
              <w:t>-0.088 (0.0110)</w:t>
            </w:r>
          </w:p>
        </w:tc>
        <w:tc>
          <w:tcPr>
            <w:tcW w:w="0" w:type="auto"/>
            <w:tcMar>
              <w:top w:w="50" w:type="dxa"/>
              <w:left w:w="50" w:type="dxa"/>
              <w:bottom w:w="50" w:type="dxa"/>
              <w:right w:w="50" w:type="dxa"/>
            </w:tcMar>
          </w:tcPr>
          <w:p w14:paraId="6F5B7C95">
            <w:pPr>
              <w:jc w:val="center"/>
              <w:rPr>
                <w:sz w:val="18"/>
                <w:szCs w:val="21"/>
              </w:rPr>
            </w:pPr>
            <w:r>
              <w:rPr>
                <w:rFonts w:ascii="Times New Roman" w:hAnsi="Times New Roman"/>
                <w:sz w:val="11"/>
                <w:szCs w:val="11"/>
              </w:rPr>
              <w:t>-8.05</w:t>
            </w:r>
          </w:p>
        </w:tc>
        <w:tc>
          <w:tcPr>
            <w:tcW w:w="0" w:type="auto"/>
            <w:tcMar>
              <w:top w:w="50" w:type="dxa"/>
              <w:left w:w="50" w:type="dxa"/>
              <w:bottom w:w="50" w:type="dxa"/>
              <w:right w:w="50" w:type="dxa"/>
            </w:tcMar>
          </w:tcPr>
          <w:p w14:paraId="750FACAE">
            <w:pPr>
              <w:jc w:val="center"/>
              <w:rPr>
                <w:sz w:val="18"/>
                <w:szCs w:val="21"/>
              </w:rPr>
            </w:pPr>
            <w:r>
              <w:rPr>
                <w:rFonts w:ascii="Times New Roman" w:hAnsi="Times New Roman"/>
                <w:sz w:val="11"/>
                <w:szCs w:val="11"/>
              </w:rPr>
              <w:t>&lt;0.001</w:t>
            </w:r>
          </w:p>
        </w:tc>
        <w:tc>
          <w:tcPr>
            <w:tcW w:w="0" w:type="auto"/>
            <w:tcMar>
              <w:top w:w="50" w:type="dxa"/>
              <w:left w:w="50" w:type="dxa"/>
              <w:bottom w:w="50" w:type="dxa"/>
              <w:right w:w="50" w:type="dxa"/>
            </w:tcMar>
          </w:tcPr>
          <w:p w14:paraId="7D07AD65">
            <w:pPr>
              <w:jc w:val="center"/>
              <w:rPr>
                <w:sz w:val="18"/>
                <w:szCs w:val="21"/>
              </w:rPr>
            </w:pPr>
            <w:r>
              <w:rPr>
                <w:rFonts w:ascii="Times New Roman" w:hAnsi="Times New Roman"/>
                <w:sz w:val="11"/>
                <w:szCs w:val="11"/>
              </w:rPr>
              <w:t>-0.58 [-1.0</w:t>
            </w:r>
            <w:r>
              <w:rPr>
                <w:rFonts w:hint="default" w:ascii="Times New Roman" w:hAnsi="Times New Roman"/>
                <w:sz w:val="11"/>
                <w:szCs w:val="11"/>
                <w:lang w:val="en-US"/>
              </w:rPr>
              <w:t>1</w:t>
            </w:r>
            <w:r>
              <w:rPr>
                <w:rFonts w:ascii="Times New Roman" w:hAnsi="Times New Roman"/>
                <w:sz w:val="11"/>
                <w:szCs w:val="11"/>
              </w:rPr>
              <w:t>, -0.14]</w:t>
            </w:r>
          </w:p>
        </w:tc>
      </w:tr>
      <w:tr w14:paraId="64686D9E">
        <w:tc>
          <w:tcPr>
            <w:tcW w:w="0" w:type="auto"/>
            <w:tcMar>
              <w:top w:w="50" w:type="dxa"/>
              <w:left w:w="50" w:type="dxa"/>
              <w:bottom w:w="50" w:type="dxa"/>
              <w:right w:w="50" w:type="dxa"/>
            </w:tcMar>
          </w:tcPr>
          <w:p w14:paraId="3F46FC0B">
            <w:pPr>
              <w:jc w:val="center"/>
              <w:rPr>
                <w:sz w:val="18"/>
                <w:szCs w:val="21"/>
              </w:rPr>
            </w:pPr>
            <w:r>
              <w:rPr>
                <w:rFonts w:ascii="Times New Roman" w:hAnsi="Times New Roman"/>
                <w:sz w:val="11"/>
                <w:szCs w:val="11"/>
              </w:rPr>
              <w:t>DeltaScore_peer</w:t>
            </w:r>
          </w:p>
        </w:tc>
        <w:tc>
          <w:tcPr>
            <w:tcW w:w="0" w:type="auto"/>
            <w:tcMar>
              <w:top w:w="50" w:type="dxa"/>
              <w:left w:w="50" w:type="dxa"/>
              <w:bottom w:w="50" w:type="dxa"/>
              <w:right w:w="50" w:type="dxa"/>
            </w:tcMar>
          </w:tcPr>
          <w:p w14:paraId="2E6239BE">
            <w:pPr>
              <w:jc w:val="center"/>
              <w:rPr>
                <w:rFonts w:hint="default"/>
                <w:sz w:val="18"/>
                <w:szCs w:val="21"/>
                <w:lang w:val="en-US"/>
              </w:rPr>
            </w:pPr>
            <w:r>
              <w:rPr>
                <w:rFonts w:ascii="Times New Roman" w:hAnsi="Times New Roman"/>
                <w:sz w:val="11"/>
                <w:szCs w:val="11"/>
              </w:rPr>
              <w:t>Societal-</w:t>
            </w:r>
            <w:r>
              <w:rPr>
                <w:rFonts w:hint="default" w:ascii="Times New Roman" w:hAnsi="Times New Roman"/>
                <w:sz w:val="11"/>
                <w:szCs w:val="11"/>
                <w:lang w:val="en-US"/>
              </w:rPr>
              <w:t>aligned</w:t>
            </w:r>
            <w:bookmarkStart w:id="1" w:name="_GoBack"/>
            <w:bookmarkEnd w:id="1"/>
          </w:p>
        </w:tc>
        <w:tc>
          <w:tcPr>
            <w:tcW w:w="0" w:type="auto"/>
            <w:tcMar>
              <w:top w:w="50" w:type="dxa"/>
              <w:left w:w="50" w:type="dxa"/>
              <w:bottom w:w="50" w:type="dxa"/>
              <w:right w:w="50" w:type="dxa"/>
            </w:tcMar>
          </w:tcPr>
          <w:p w14:paraId="5F0E8FE3">
            <w:pPr>
              <w:jc w:val="center"/>
              <w:rPr>
                <w:sz w:val="18"/>
                <w:szCs w:val="21"/>
              </w:rPr>
            </w:pPr>
            <w:r>
              <w:rPr>
                <w:rFonts w:ascii="Times New Roman" w:hAnsi="Times New Roman"/>
                <w:sz w:val="11"/>
                <w:szCs w:val="11"/>
              </w:rPr>
              <w:t>Congruent</w:t>
            </w:r>
          </w:p>
        </w:tc>
        <w:tc>
          <w:tcPr>
            <w:tcW w:w="0" w:type="auto"/>
            <w:tcMar>
              <w:top w:w="50" w:type="dxa"/>
              <w:left w:w="50" w:type="dxa"/>
              <w:bottom w:w="50" w:type="dxa"/>
              <w:right w:w="50" w:type="dxa"/>
            </w:tcMar>
            <w:vAlign w:val="top"/>
          </w:tcPr>
          <w:p w14:paraId="2A50BADD">
            <w:pPr>
              <w:jc w:val="center"/>
              <w:rPr>
                <w:sz w:val="18"/>
                <w:szCs w:val="21"/>
              </w:rPr>
            </w:pPr>
            <w:r>
              <w:rPr>
                <w:rFonts w:ascii="Times New Roman" w:hAnsi="Times New Roman"/>
                <w:sz w:val="11"/>
                <w:szCs w:val="11"/>
              </w:rPr>
              <w:t>0.064 (0.0083)</w:t>
            </w:r>
          </w:p>
        </w:tc>
        <w:tc>
          <w:tcPr>
            <w:tcW w:w="0" w:type="auto"/>
            <w:tcMar>
              <w:top w:w="50" w:type="dxa"/>
              <w:left w:w="50" w:type="dxa"/>
              <w:bottom w:w="50" w:type="dxa"/>
              <w:right w:w="50" w:type="dxa"/>
            </w:tcMar>
            <w:vAlign w:val="top"/>
          </w:tcPr>
          <w:p w14:paraId="3A16AB48">
            <w:pPr>
              <w:jc w:val="center"/>
              <w:rPr>
                <w:sz w:val="18"/>
                <w:szCs w:val="21"/>
              </w:rPr>
            </w:pPr>
            <w:r>
              <w:rPr>
                <w:rFonts w:ascii="Times New Roman" w:hAnsi="Times New Roman"/>
                <w:sz w:val="11"/>
                <w:szCs w:val="11"/>
              </w:rPr>
              <w:t>0.023 (0.0092)</w:t>
            </w:r>
          </w:p>
        </w:tc>
        <w:tc>
          <w:tcPr>
            <w:tcW w:w="0" w:type="auto"/>
            <w:tcMar>
              <w:top w:w="50" w:type="dxa"/>
              <w:left w:w="50" w:type="dxa"/>
              <w:bottom w:w="50" w:type="dxa"/>
              <w:right w:w="50" w:type="dxa"/>
            </w:tcMar>
            <w:vAlign w:val="top"/>
          </w:tcPr>
          <w:p w14:paraId="74C20044">
            <w:pPr>
              <w:jc w:val="center"/>
              <w:rPr>
                <w:sz w:val="18"/>
                <w:szCs w:val="21"/>
              </w:rPr>
            </w:pPr>
            <w:r>
              <w:rPr>
                <w:rFonts w:ascii="Times New Roman" w:hAnsi="Times New Roman"/>
                <w:sz w:val="11"/>
                <w:szCs w:val="11"/>
              </w:rPr>
              <w:t>0.041 (0.0111)</w:t>
            </w:r>
          </w:p>
        </w:tc>
        <w:tc>
          <w:tcPr>
            <w:tcW w:w="0" w:type="auto"/>
            <w:tcMar>
              <w:top w:w="50" w:type="dxa"/>
              <w:left w:w="50" w:type="dxa"/>
              <w:bottom w:w="50" w:type="dxa"/>
              <w:right w:w="50" w:type="dxa"/>
            </w:tcMar>
          </w:tcPr>
          <w:p w14:paraId="533EC610">
            <w:pPr>
              <w:jc w:val="center"/>
              <w:rPr>
                <w:sz w:val="18"/>
                <w:szCs w:val="21"/>
              </w:rPr>
            </w:pPr>
            <w:r>
              <w:rPr>
                <w:rFonts w:ascii="Times New Roman" w:hAnsi="Times New Roman"/>
                <w:sz w:val="11"/>
                <w:szCs w:val="11"/>
              </w:rPr>
              <w:t>3.73</w:t>
            </w:r>
          </w:p>
        </w:tc>
        <w:tc>
          <w:tcPr>
            <w:tcW w:w="0" w:type="auto"/>
            <w:tcMar>
              <w:top w:w="50" w:type="dxa"/>
              <w:left w:w="50" w:type="dxa"/>
              <w:bottom w:w="50" w:type="dxa"/>
              <w:right w:w="50" w:type="dxa"/>
            </w:tcMar>
          </w:tcPr>
          <w:p w14:paraId="177C7D99">
            <w:pPr>
              <w:jc w:val="center"/>
              <w:rPr>
                <w:sz w:val="18"/>
                <w:szCs w:val="21"/>
              </w:rPr>
            </w:pPr>
            <w:r>
              <w:rPr>
                <w:rFonts w:ascii="Times New Roman" w:hAnsi="Times New Roman"/>
                <w:sz w:val="11"/>
                <w:szCs w:val="11"/>
              </w:rPr>
              <w:t>&lt;0.001</w:t>
            </w:r>
          </w:p>
        </w:tc>
        <w:tc>
          <w:tcPr>
            <w:tcW w:w="0" w:type="auto"/>
            <w:tcMar>
              <w:top w:w="50" w:type="dxa"/>
              <w:left w:w="50" w:type="dxa"/>
              <w:bottom w:w="50" w:type="dxa"/>
              <w:right w:w="50" w:type="dxa"/>
            </w:tcMar>
          </w:tcPr>
          <w:p w14:paraId="7BB6C003">
            <w:pPr>
              <w:jc w:val="center"/>
              <w:rPr>
                <w:sz w:val="18"/>
                <w:szCs w:val="21"/>
              </w:rPr>
            </w:pPr>
            <w:r>
              <w:rPr>
                <w:rFonts w:ascii="Times New Roman" w:hAnsi="Times New Roman"/>
                <w:sz w:val="11"/>
                <w:szCs w:val="11"/>
              </w:rPr>
              <w:t>0.64 [0.2</w:t>
            </w:r>
            <w:r>
              <w:rPr>
                <w:rFonts w:hint="default" w:ascii="Times New Roman" w:hAnsi="Times New Roman"/>
                <w:sz w:val="11"/>
                <w:szCs w:val="11"/>
                <w:lang w:val="en-US"/>
              </w:rPr>
              <w:t>1</w:t>
            </w:r>
            <w:r>
              <w:rPr>
                <w:rFonts w:ascii="Times New Roman" w:hAnsi="Times New Roman"/>
                <w:sz w:val="11"/>
                <w:szCs w:val="11"/>
              </w:rPr>
              <w:t>, 1.0</w:t>
            </w:r>
            <w:r>
              <w:rPr>
                <w:rFonts w:hint="default" w:ascii="Times New Roman" w:hAnsi="Times New Roman"/>
                <w:sz w:val="11"/>
                <w:szCs w:val="11"/>
                <w:lang w:val="en-US"/>
              </w:rPr>
              <w:t>8</w:t>
            </w:r>
            <w:r>
              <w:rPr>
                <w:rFonts w:ascii="Times New Roman" w:hAnsi="Times New Roman"/>
                <w:sz w:val="11"/>
                <w:szCs w:val="11"/>
              </w:rPr>
              <w:t>]</w:t>
            </w:r>
          </w:p>
        </w:tc>
      </w:tr>
      <w:tr w14:paraId="2C6A654A">
        <w:tc>
          <w:tcPr>
            <w:tcW w:w="0" w:type="auto"/>
            <w:tcMar>
              <w:top w:w="50" w:type="dxa"/>
              <w:left w:w="50" w:type="dxa"/>
              <w:bottom w:w="50" w:type="dxa"/>
              <w:right w:w="50" w:type="dxa"/>
            </w:tcMar>
          </w:tcPr>
          <w:p w14:paraId="71064469">
            <w:pPr>
              <w:jc w:val="center"/>
              <w:rPr>
                <w:sz w:val="18"/>
                <w:szCs w:val="21"/>
              </w:rPr>
            </w:pPr>
            <w:r>
              <w:rPr>
                <w:rFonts w:ascii="Times New Roman" w:hAnsi="Times New Roman"/>
                <w:sz w:val="11"/>
                <w:szCs w:val="11"/>
              </w:rPr>
              <w:t>DeltaScore_peer</w:t>
            </w:r>
          </w:p>
        </w:tc>
        <w:tc>
          <w:tcPr>
            <w:tcW w:w="0" w:type="auto"/>
            <w:tcMar>
              <w:top w:w="50" w:type="dxa"/>
              <w:left w:w="50" w:type="dxa"/>
              <w:bottom w:w="50" w:type="dxa"/>
              <w:right w:w="50" w:type="dxa"/>
            </w:tcMar>
          </w:tcPr>
          <w:p w14:paraId="64CDBE3E">
            <w:pPr>
              <w:jc w:val="center"/>
              <w:rPr>
                <w:sz w:val="18"/>
                <w:szCs w:val="21"/>
              </w:rPr>
            </w:pPr>
            <w:r>
              <w:rPr>
                <w:rFonts w:ascii="Times New Roman" w:hAnsi="Times New Roman"/>
                <w:sz w:val="11"/>
                <w:szCs w:val="11"/>
              </w:rPr>
              <w:t>Dual-source</w:t>
            </w:r>
          </w:p>
        </w:tc>
        <w:tc>
          <w:tcPr>
            <w:tcW w:w="0" w:type="auto"/>
            <w:tcMar>
              <w:top w:w="50" w:type="dxa"/>
              <w:left w:w="50" w:type="dxa"/>
              <w:bottom w:w="50" w:type="dxa"/>
              <w:right w:w="50" w:type="dxa"/>
            </w:tcMar>
          </w:tcPr>
          <w:p w14:paraId="6595E829">
            <w:pPr>
              <w:jc w:val="center"/>
              <w:rPr>
                <w:sz w:val="18"/>
                <w:szCs w:val="21"/>
              </w:rPr>
            </w:pPr>
            <w:r>
              <w:rPr>
                <w:rFonts w:ascii="Times New Roman" w:hAnsi="Times New Roman"/>
                <w:sz w:val="11"/>
                <w:szCs w:val="11"/>
              </w:rPr>
              <w:t>Congruent</w:t>
            </w:r>
          </w:p>
        </w:tc>
        <w:tc>
          <w:tcPr>
            <w:tcW w:w="0" w:type="auto"/>
            <w:tcMar>
              <w:top w:w="50" w:type="dxa"/>
              <w:left w:w="50" w:type="dxa"/>
              <w:bottom w:w="50" w:type="dxa"/>
              <w:right w:w="50" w:type="dxa"/>
            </w:tcMar>
            <w:vAlign w:val="top"/>
          </w:tcPr>
          <w:p w14:paraId="1159E4F1">
            <w:pPr>
              <w:jc w:val="center"/>
              <w:rPr>
                <w:sz w:val="18"/>
                <w:szCs w:val="21"/>
              </w:rPr>
            </w:pPr>
            <w:r>
              <w:rPr>
                <w:rFonts w:ascii="Times New Roman" w:hAnsi="Times New Roman"/>
                <w:sz w:val="11"/>
                <w:szCs w:val="11"/>
              </w:rPr>
              <w:t>-0.119 (0.0101)</w:t>
            </w:r>
          </w:p>
        </w:tc>
        <w:tc>
          <w:tcPr>
            <w:tcW w:w="0" w:type="auto"/>
            <w:tcMar>
              <w:top w:w="50" w:type="dxa"/>
              <w:left w:w="50" w:type="dxa"/>
              <w:bottom w:w="50" w:type="dxa"/>
              <w:right w:w="50" w:type="dxa"/>
            </w:tcMar>
            <w:vAlign w:val="top"/>
          </w:tcPr>
          <w:p w14:paraId="52D0B5A8">
            <w:pPr>
              <w:jc w:val="center"/>
              <w:rPr>
                <w:sz w:val="18"/>
                <w:szCs w:val="21"/>
              </w:rPr>
            </w:pPr>
            <w:r>
              <w:rPr>
                <w:rFonts w:ascii="Times New Roman" w:hAnsi="Times New Roman"/>
                <w:sz w:val="11"/>
                <w:szCs w:val="11"/>
              </w:rPr>
              <w:t>-0.070 (0.0109)</w:t>
            </w:r>
          </w:p>
        </w:tc>
        <w:tc>
          <w:tcPr>
            <w:tcW w:w="0" w:type="auto"/>
            <w:tcMar>
              <w:top w:w="50" w:type="dxa"/>
              <w:left w:w="50" w:type="dxa"/>
              <w:bottom w:w="50" w:type="dxa"/>
              <w:right w:w="50" w:type="dxa"/>
            </w:tcMar>
            <w:vAlign w:val="top"/>
          </w:tcPr>
          <w:p w14:paraId="0E6790FD">
            <w:pPr>
              <w:jc w:val="center"/>
              <w:rPr>
                <w:sz w:val="18"/>
                <w:szCs w:val="21"/>
              </w:rPr>
            </w:pPr>
            <w:r>
              <w:rPr>
                <w:rFonts w:ascii="Times New Roman" w:hAnsi="Times New Roman"/>
                <w:sz w:val="11"/>
                <w:szCs w:val="11"/>
              </w:rPr>
              <w:t>-0.050 (0.0114)</w:t>
            </w:r>
          </w:p>
        </w:tc>
        <w:tc>
          <w:tcPr>
            <w:tcW w:w="0" w:type="auto"/>
            <w:tcMar>
              <w:top w:w="50" w:type="dxa"/>
              <w:left w:w="50" w:type="dxa"/>
              <w:bottom w:w="50" w:type="dxa"/>
              <w:right w:w="50" w:type="dxa"/>
            </w:tcMar>
          </w:tcPr>
          <w:p w14:paraId="0091E608">
            <w:pPr>
              <w:jc w:val="center"/>
              <w:rPr>
                <w:sz w:val="18"/>
                <w:szCs w:val="21"/>
              </w:rPr>
            </w:pPr>
            <w:r>
              <w:rPr>
                <w:rFonts w:ascii="Times New Roman" w:hAnsi="Times New Roman"/>
                <w:sz w:val="11"/>
                <w:szCs w:val="11"/>
              </w:rPr>
              <w:t>-4.34</w:t>
            </w:r>
          </w:p>
        </w:tc>
        <w:tc>
          <w:tcPr>
            <w:tcW w:w="0" w:type="auto"/>
            <w:tcMar>
              <w:top w:w="50" w:type="dxa"/>
              <w:left w:w="50" w:type="dxa"/>
              <w:bottom w:w="50" w:type="dxa"/>
              <w:right w:w="50" w:type="dxa"/>
            </w:tcMar>
          </w:tcPr>
          <w:p w14:paraId="0F82FE1D">
            <w:pPr>
              <w:jc w:val="center"/>
              <w:rPr>
                <w:sz w:val="18"/>
                <w:szCs w:val="21"/>
              </w:rPr>
            </w:pPr>
            <w:r>
              <w:rPr>
                <w:rFonts w:ascii="Times New Roman" w:hAnsi="Times New Roman"/>
                <w:sz w:val="11"/>
                <w:szCs w:val="11"/>
              </w:rPr>
              <w:t>&lt;0.001</w:t>
            </w:r>
          </w:p>
        </w:tc>
        <w:tc>
          <w:tcPr>
            <w:tcW w:w="0" w:type="auto"/>
            <w:tcMar>
              <w:top w:w="50" w:type="dxa"/>
              <w:left w:w="50" w:type="dxa"/>
              <w:bottom w:w="50" w:type="dxa"/>
              <w:right w:w="50" w:type="dxa"/>
            </w:tcMar>
          </w:tcPr>
          <w:p w14:paraId="778AE998">
            <w:pPr>
              <w:jc w:val="center"/>
              <w:rPr>
                <w:sz w:val="18"/>
                <w:szCs w:val="21"/>
              </w:rPr>
            </w:pPr>
            <w:r>
              <w:rPr>
                <w:rFonts w:ascii="Times New Roman" w:hAnsi="Times New Roman"/>
                <w:sz w:val="11"/>
                <w:szCs w:val="11"/>
              </w:rPr>
              <w:t>-0.36 [-0.7</w:t>
            </w:r>
            <w:r>
              <w:rPr>
                <w:rFonts w:hint="default" w:ascii="Times New Roman" w:hAnsi="Times New Roman"/>
                <w:sz w:val="11"/>
                <w:szCs w:val="11"/>
                <w:lang w:val="en-US"/>
              </w:rPr>
              <w:t>9</w:t>
            </w:r>
            <w:r>
              <w:rPr>
                <w:rFonts w:ascii="Times New Roman" w:hAnsi="Times New Roman"/>
                <w:sz w:val="11"/>
                <w:szCs w:val="11"/>
              </w:rPr>
              <w:t>, 0.0</w:t>
            </w:r>
            <w:r>
              <w:rPr>
                <w:rFonts w:hint="default" w:ascii="Times New Roman" w:hAnsi="Times New Roman"/>
                <w:sz w:val="11"/>
                <w:szCs w:val="11"/>
                <w:lang w:val="en-US"/>
              </w:rPr>
              <w:t>7</w:t>
            </w:r>
            <w:r>
              <w:rPr>
                <w:rFonts w:ascii="Times New Roman" w:hAnsi="Times New Roman"/>
                <w:sz w:val="11"/>
                <w:szCs w:val="11"/>
              </w:rPr>
              <w:t>]</w:t>
            </w:r>
          </w:p>
        </w:tc>
      </w:tr>
      <w:tr w14:paraId="5B54262D">
        <w:tc>
          <w:tcPr>
            <w:tcW w:w="0" w:type="auto"/>
            <w:tcMar>
              <w:top w:w="50" w:type="dxa"/>
              <w:left w:w="50" w:type="dxa"/>
              <w:bottom w:w="50" w:type="dxa"/>
              <w:right w:w="50" w:type="dxa"/>
            </w:tcMar>
          </w:tcPr>
          <w:p w14:paraId="15802E0B">
            <w:pPr>
              <w:jc w:val="center"/>
              <w:rPr>
                <w:sz w:val="18"/>
                <w:szCs w:val="21"/>
              </w:rPr>
            </w:pPr>
            <w:r>
              <w:rPr>
                <w:rFonts w:ascii="Times New Roman" w:hAnsi="Times New Roman"/>
                <w:sz w:val="11"/>
                <w:szCs w:val="11"/>
              </w:rPr>
              <w:t>DeltaScore_peer</w:t>
            </w:r>
          </w:p>
        </w:tc>
        <w:tc>
          <w:tcPr>
            <w:tcW w:w="0" w:type="auto"/>
            <w:tcMar>
              <w:top w:w="50" w:type="dxa"/>
              <w:left w:w="50" w:type="dxa"/>
              <w:bottom w:w="50" w:type="dxa"/>
              <w:right w:w="50" w:type="dxa"/>
            </w:tcMar>
          </w:tcPr>
          <w:p w14:paraId="65DF416E">
            <w:pPr>
              <w:jc w:val="center"/>
              <w:rPr>
                <w:sz w:val="18"/>
                <w:szCs w:val="21"/>
              </w:rPr>
            </w:pPr>
            <w:r>
              <w:rPr>
                <w:rFonts w:ascii="Times New Roman" w:hAnsi="Times New Roman"/>
                <w:sz w:val="11"/>
                <w:szCs w:val="11"/>
              </w:rPr>
              <w:t>Peer-dominant</w:t>
            </w:r>
          </w:p>
        </w:tc>
        <w:tc>
          <w:tcPr>
            <w:tcW w:w="0" w:type="auto"/>
            <w:tcMar>
              <w:top w:w="50" w:type="dxa"/>
              <w:left w:w="50" w:type="dxa"/>
              <w:bottom w:w="50" w:type="dxa"/>
              <w:right w:w="50" w:type="dxa"/>
            </w:tcMar>
          </w:tcPr>
          <w:p w14:paraId="55ACFABE">
            <w:pPr>
              <w:jc w:val="center"/>
              <w:rPr>
                <w:sz w:val="18"/>
                <w:szCs w:val="21"/>
              </w:rPr>
            </w:pPr>
            <w:r>
              <w:rPr>
                <w:rFonts w:ascii="Times New Roman" w:hAnsi="Times New Roman"/>
                <w:sz w:val="11"/>
                <w:szCs w:val="11"/>
              </w:rPr>
              <w:t>Conflict</w:t>
            </w:r>
          </w:p>
        </w:tc>
        <w:tc>
          <w:tcPr>
            <w:tcW w:w="0" w:type="auto"/>
            <w:tcMar>
              <w:top w:w="50" w:type="dxa"/>
              <w:left w:w="50" w:type="dxa"/>
              <w:bottom w:w="50" w:type="dxa"/>
              <w:right w:w="50" w:type="dxa"/>
            </w:tcMar>
            <w:vAlign w:val="top"/>
          </w:tcPr>
          <w:p w14:paraId="778F6080">
            <w:pPr>
              <w:jc w:val="center"/>
              <w:rPr>
                <w:sz w:val="18"/>
                <w:szCs w:val="21"/>
              </w:rPr>
            </w:pPr>
            <w:r>
              <w:rPr>
                <w:rFonts w:ascii="Times New Roman" w:hAnsi="Times New Roman"/>
                <w:sz w:val="11"/>
                <w:szCs w:val="11"/>
              </w:rPr>
              <w:t>0.043 (0.0126)</w:t>
            </w:r>
          </w:p>
        </w:tc>
        <w:tc>
          <w:tcPr>
            <w:tcW w:w="0" w:type="auto"/>
            <w:tcMar>
              <w:top w:w="50" w:type="dxa"/>
              <w:left w:w="50" w:type="dxa"/>
              <w:bottom w:w="50" w:type="dxa"/>
              <w:right w:w="50" w:type="dxa"/>
            </w:tcMar>
            <w:vAlign w:val="top"/>
          </w:tcPr>
          <w:p w14:paraId="7DE9B1DB">
            <w:pPr>
              <w:jc w:val="center"/>
              <w:rPr>
                <w:sz w:val="18"/>
                <w:szCs w:val="21"/>
              </w:rPr>
            </w:pPr>
            <w:r>
              <w:rPr>
                <w:rFonts w:ascii="Times New Roman" w:hAnsi="Times New Roman"/>
                <w:sz w:val="11"/>
                <w:szCs w:val="11"/>
              </w:rPr>
              <w:t>0.006 (0.0138)</w:t>
            </w:r>
          </w:p>
        </w:tc>
        <w:tc>
          <w:tcPr>
            <w:tcW w:w="0" w:type="auto"/>
            <w:tcMar>
              <w:top w:w="50" w:type="dxa"/>
              <w:left w:w="50" w:type="dxa"/>
              <w:bottom w:w="50" w:type="dxa"/>
              <w:right w:w="50" w:type="dxa"/>
            </w:tcMar>
            <w:vAlign w:val="top"/>
          </w:tcPr>
          <w:p w14:paraId="6BA1D5A9">
            <w:pPr>
              <w:jc w:val="center"/>
              <w:rPr>
                <w:sz w:val="18"/>
                <w:szCs w:val="21"/>
              </w:rPr>
            </w:pPr>
            <w:r>
              <w:rPr>
                <w:rFonts w:ascii="Times New Roman" w:hAnsi="Times New Roman"/>
                <w:sz w:val="11"/>
                <w:szCs w:val="11"/>
              </w:rPr>
              <w:t>0.037 (0.0132)</w:t>
            </w:r>
          </w:p>
        </w:tc>
        <w:tc>
          <w:tcPr>
            <w:tcW w:w="0" w:type="auto"/>
            <w:tcMar>
              <w:top w:w="50" w:type="dxa"/>
              <w:left w:w="50" w:type="dxa"/>
              <w:bottom w:w="50" w:type="dxa"/>
              <w:right w:w="50" w:type="dxa"/>
            </w:tcMar>
          </w:tcPr>
          <w:p w14:paraId="35CE7AE7">
            <w:pPr>
              <w:jc w:val="center"/>
              <w:rPr>
                <w:sz w:val="18"/>
                <w:szCs w:val="21"/>
              </w:rPr>
            </w:pPr>
            <w:r>
              <w:rPr>
                <w:rFonts w:ascii="Times New Roman" w:hAnsi="Times New Roman"/>
                <w:sz w:val="11"/>
                <w:szCs w:val="11"/>
              </w:rPr>
              <w:t>2.83</w:t>
            </w:r>
          </w:p>
        </w:tc>
        <w:tc>
          <w:tcPr>
            <w:tcW w:w="0" w:type="auto"/>
            <w:tcMar>
              <w:top w:w="50" w:type="dxa"/>
              <w:left w:w="50" w:type="dxa"/>
              <w:bottom w:w="50" w:type="dxa"/>
              <w:right w:w="50" w:type="dxa"/>
            </w:tcMar>
          </w:tcPr>
          <w:p w14:paraId="585CB739">
            <w:pPr>
              <w:jc w:val="center"/>
              <w:rPr>
                <w:sz w:val="18"/>
                <w:szCs w:val="21"/>
              </w:rPr>
            </w:pPr>
            <w:r>
              <w:rPr>
                <w:rFonts w:ascii="Times New Roman" w:hAnsi="Times New Roman"/>
                <w:sz w:val="11"/>
                <w:szCs w:val="11"/>
              </w:rPr>
              <w:t>0.009</w:t>
            </w:r>
          </w:p>
        </w:tc>
        <w:tc>
          <w:tcPr>
            <w:tcW w:w="0" w:type="auto"/>
            <w:tcMar>
              <w:top w:w="50" w:type="dxa"/>
              <w:left w:w="50" w:type="dxa"/>
              <w:bottom w:w="50" w:type="dxa"/>
              <w:right w:w="50" w:type="dxa"/>
            </w:tcMar>
          </w:tcPr>
          <w:p w14:paraId="29BCC236">
            <w:pPr>
              <w:jc w:val="center"/>
              <w:rPr>
                <w:sz w:val="18"/>
                <w:szCs w:val="21"/>
              </w:rPr>
            </w:pPr>
            <w:r>
              <w:rPr>
                <w:rFonts w:ascii="Times New Roman" w:hAnsi="Times New Roman"/>
                <w:sz w:val="11"/>
                <w:szCs w:val="11"/>
              </w:rPr>
              <w:t>0.62 [0.18, 1.0</w:t>
            </w:r>
            <w:r>
              <w:rPr>
                <w:rFonts w:hint="default" w:ascii="Times New Roman" w:hAnsi="Times New Roman"/>
                <w:sz w:val="11"/>
                <w:szCs w:val="11"/>
                <w:lang w:val="en-US"/>
              </w:rPr>
              <w:t>5</w:t>
            </w:r>
            <w:r>
              <w:rPr>
                <w:rFonts w:ascii="Times New Roman" w:hAnsi="Times New Roman"/>
                <w:sz w:val="11"/>
                <w:szCs w:val="11"/>
              </w:rPr>
              <w:t>]</w:t>
            </w:r>
          </w:p>
        </w:tc>
      </w:tr>
      <w:tr w14:paraId="264F5894">
        <w:tc>
          <w:tcPr>
            <w:tcW w:w="0" w:type="auto"/>
            <w:tcMar>
              <w:top w:w="50" w:type="dxa"/>
              <w:left w:w="50" w:type="dxa"/>
              <w:bottom w:w="50" w:type="dxa"/>
              <w:right w:w="50" w:type="dxa"/>
            </w:tcMar>
          </w:tcPr>
          <w:p w14:paraId="6F35DEF4">
            <w:pPr>
              <w:jc w:val="center"/>
              <w:rPr>
                <w:sz w:val="18"/>
                <w:szCs w:val="21"/>
              </w:rPr>
            </w:pPr>
            <w:r>
              <w:rPr>
                <w:rFonts w:ascii="Times New Roman" w:hAnsi="Times New Roman"/>
                <w:sz w:val="11"/>
                <w:szCs w:val="11"/>
              </w:rPr>
              <w:t>DeltaScore_peer</w:t>
            </w:r>
          </w:p>
        </w:tc>
        <w:tc>
          <w:tcPr>
            <w:tcW w:w="0" w:type="auto"/>
            <w:tcMar>
              <w:top w:w="50" w:type="dxa"/>
              <w:left w:w="50" w:type="dxa"/>
              <w:bottom w:w="50" w:type="dxa"/>
              <w:right w:w="50" w:type="dxa"/>
            </w:tcMar>
          </w:tcPr>
          <w:p w14:paraId="324DF4DF">
            <w:pPr>
              <w:jc w:val="center"/>
              <w:rPr>
                <w:sz w:val="18"/>
                <w:szCs w:val="21"/>
              </w:rPr>
            </w:pPr>
            <w:r>
              <w:rPr>
                <w:rFonts w:ascii="Times New Roman" w:hAnsi="Times New Roman"/>
                <w:sz w:val="11"/>
                <w:szCs w:val="11"/>
              </w:rPr>
              <w:t>Societal-dominant</w:t>
            </w:r>
          </w:p>
        </w:tc>
        <w:tc>
          <w:tcPr>
            <w:tcW w:w="0" w:type="auto"/>
            <w:tcMar>
              <w:top w:w="50" w:type="dxa"/>
              <w:left w:w="50" w:type="dxa"/>
              <w:bottom w:w="50" w:type="dxa"/>
              <w:right w:w="50" w:type="dxa"/>
            </w:tcMar>
          </w:tcPr>
          <w:p w14:paraId="53E69E04">
            <w:pPr>
              <w:jc w:val="center"/>
              <w:rPr>
                <w:sz w:val="18"/>
                <w:szCs w:val="21"/>
              </w:rPr>
            </w:pPr>
            <w:r>
              <w:rPr>
                <w:rFonts w:ascii="Times New Roman" w:hAnsi="Times New Roman"/>
                <w:sz w:val="11"/>
                <w:szCs w:val="11"/>
              </w:rPr>
              <w:t>Conflict</w:t>
            </w:r>
          </w:p>
        </w:tc>
        <w:tc>
          <w:tcPr>
            <w:tcW w:w="0" w:type="auto"/>
            <w:tcMar>
              <w:top w:w="50" w:type="dxa"/>
              <w:left w:w="50" w:type="dxa"/>
              <w:bottom w:w="50" w:type="dxa"/>
              <w:right w:w="50" w:type="dxa"/>
            </w:tcMar>
            <w:vAlign w:val="top"/>
          </w:tcPr>
          <w:p w14:paraId="4FA279D5">
            <w:pPr>
              <w:jc w:val="center"/>
              <w:rPr>
                <w:sz w:val="18"/>
                <w:szCs w:val="21"/>
              </w:rPr>
            </w:pPr>
            <w:r>
              <w:rPr>
                <w:rFonts w:ascii="Times New Roman" w:hAnsi="Times New Roman"/>
                <w:sz w:val="11"/>
                <w:szCs w:val="11"/>
              </w:rPr>
              <w:t>-0.028 (0.0081)</w:t>
            </w:r>
          </w:p>
        </w:tc>
        <w:tc>
          <w:tcPr>
            <w:tcW w:w="0" w:type="auto"/>
            <w:tcMar>
              <w:top w:w="50" w:type="dxa"/>
              <w:left w:w="50" w:type="dxa"/>
              <w:bottom w:w="50" w:type="dxa"/>
              <w:right w:w="50" w:type="dxa"/>
            </w:tcMar>
            <w:vAlign w:val="top"/>
          </w:tcPr>
          <w:p w14:paraId="79FA4E4E">
            <w:pPr>
              <w:jc w:val="center"/>
              <w:rPr>
                <w:sz w:val="18"/>
                <w:szCs w:val="21"/>
              </w:rPr>
            </w:pPr>
            <w:r>
              <w:rPr>
                <w:rFonts w:ascii="Times New Roman" w:hAnsi="Times New Roman"/>
                <w:sz w:val="11"/>
                <w:szCs w:val="11"/>
              </w:rPr>
              <w:t>-0.017 (0.0093)</w:t>
            </w:r>
          </w:p>
        </w:tc>
        <w:tc>
          <w:tcPr>
            <w:tcW w:w="0" w:type="auto"/>
            <w:tcMar>
              <w:top w:w="50" w:type="dxa"/>
              <w:left w:w="50" w:type="dxa"/>
              <w:bottom w:w="50" w:type="dxa"/>
              <w:right w:w="50" w:type="dxa"/>
            </w:tcMar>
            <w:vAlign w:val="top"/>
          </w:tcPr>
          <w:p w14:paraId="62D471B5">
            <w:pPr>
              <w:jc w:val="center"/>
              <w:rPr>
                <w:sz w:val="18"/>
                <w:szCs w:val="21"/>
              </w:rPr>
            </w:pPr>
            <w:r>
              <w:rPr>
                <w:rFonts w:ascii="Times New Roman" w:hAnsi="Times New Roman"/>
                <w:sz w:val="11"/>
                <w:szCs w:val="11"/>
              </w:rPr>
              <w:t>-0.012 (0.0110)</w:t>
            </w:r>
          </w:p>
        </w:tc>
        <w:tc>
          <w:tcPr>
            <w:tcW w:w="0" w:type="auto"/>
            <w:tcMar>
              <w:top w:w="50" w:type="dxa"/>
              <w:left w:w="50" w:type="dxa"/>
              <w:bottom w:w="50" w:type="dxa"/>
              <w:right w:w="50" w:type="dxa"/>
            </w:tcMar>
          </w:tcPr>
          <w:p w14:paraId="772139A0">
            <w:pPr>
              <w:jc w:val="center"/>
              <w:rPr>
                <w:sz w:val="18"/>
                <w:szCs w:val="21"/>
              </w:rPr>
            </w:pPr>
            <w:r>
              <w:rPr>
                <w:rFonts w:ascii="Times New Roman" w:hAnsi="Times New Roman"/>
                <w:sz w:val="11"/>
                <w:szCs w:val="11"/>
              </w:rPr>
              <w:t>-1.07</w:t>
            </w:r>
          </w:p>
        </w:tc>
        <w:tc>
          <w:tcPr>
            <w:tcW w:w="0" w:type="auto"/>
            <w:tcMar>
              <w:top w:w="50" w:type="dxa"/>
              <w:left w:w="50" w:type="dxa"/>
              <w:bottom w:w="50" w:type="dxa"/>
              <w:right w:w="50" w:type="dxa"/>
            </w:tcMar>
          </w:tcPr>
          <w:p w14:paraId="29501817">
            <w:pPr>
              <w:jc w:val="center"/>
              <w:rPr>
                <w:sz w:val="18"/>
                <w:szCs w:val="21"/>
              </w:rPr>
            </w:pPr>
            <w:r>
              <w:rPr>
                <w:rFonts w:ascii="Times New Roman" w:hAnsi="Times New Roman"/>
                <w:sz w:val="11"/>
                <w:szCs w:val="11"/>
              </w:rPr>
              <w:t>0.285</w:t>
            </w:r>
          </w:p>
        </w:tc>
        <w:tc>
          <w:tcPr>
            <w:tcW w:w="0" w:type="auto"/>
            <w:tcMar>
              <w:top w:w="50" w:type="dxa"/>
              <w:left w:w="50" w:type="dxa"/>
              <w:bottom w:w="50" w:type="dxa"/>
              <w:right w:w="50" w:type="dxa"/>
            </w:tcMar>
          </w:tcPr>
          <w:p w14:paraId="36D80CFD">
            <w:pPr>
              <w:jc w:val="center"/>
              <w:rPr>
                <w:sz w:val="18"/>
                <w:szCs w:val="21"/>
              </w:rPr>
            </w:pPr>
            <w:r>
              <w:rPr>
                <w:rFonts w:ascii="Times New Roman" w:hAnsi="Times New Roman"/>
                <w:sz w:val="11"/>
                <w:szCs w:val="11"/>
              </w:rPr>
              <w:t>-0.13 [-0.5</w:t>
            </w:r>
            <w:r>
              <w:rPr>
                <w:rFonts w:hint="default" w:ascii="Times New Roman" w:hAnsi="Times New Roman"/>
                <w:sz w:val="11"/>
                <w:szCs w:val="11"/>
                <w:lang w:val="en-US"/>
              </w:rPr>
              <w:t>6</w:t>
            </w:r>
            <w:r>
              <w:rPr>
                <w:rFonts w:ascii="Times New Roman" w:hAnsi="Times New Roman"/>
                <w:sz w:val="11"/>
                <w:szCs w:val="11"/>
              </w:rPr>
              <w:t>, 0.</w:t>
            </w:r>
            <w:r>
              <w:rPr>
                <w:rFonts w:hint="default" w:ascii="Times New Roman" w:hAnsi="Times New Roman"/>
                <w:sz w:val="11"/>
                <w:szCs w:val="11"/>
                <w:lang w:val="en-US"/>
              </w:rPr>
              <w:t>30</w:t>
            </w:r>
            <w:r>
              <w:rPr>
                <w:rFonts w:ascii="Times New Roman" w:hAnsi="Times New Roman"/>
                <w:sz w:val="11"/>
                <w:szCs w:val="11"/>
              </w:rPr>
              <w:t>]</w:t>
            </w:r>
          </w:p>
        </w:tc>
      </w:tr>
      <w:tr w14:paraId="615BF589">
        <w:tc>
          <w:tcPr>
            <w:tcW w:w="0" w:type="auto"/>
            <w:tcMar>
              <w:top w:w="50" w:type="dxa"/>
              <w:left w:w="50" w:type="dxa"/>
              <w:bottom w:w="50" w:type="dxa"/>
              <w:right w:w="50" w:type="dxa"/>
            </w:tcMar>
          </w:tcPr>
          <w:p w14:paraId="6C47E36F">
            <w:pPr>
              <w:jc w:val="center"/>
              <w:rPr>
                <w:sz w:val="18"/>
                <w:szCs w:val="21"/>
              </w:rPr>
            </w:pPr>
            <w:r>
              <w:rPr>
                <w:rFonts w:ascii="Times New Roman" w:hAnsi="Times New Roman"/>
                <w:sz w:val="11"/>
                <w:szCs w:val="11"/>
              </w:rPr>
              <w:t>DeltaScore_peer</w:t>
            </w:r>
          </w:p>
        </w:tc>
        <w:tc>
          <w:tcPr>
            <w:tcW w:w="0" w:type="auto"/>
            <w:tcMar>
              <w:top w:w="50" w:type="dxa"/>
              <w:left w:w="50" w:type="dxa"/>
              <w:bottom w:w="50" w:type="dxa"/>
              <w:right w:w="50" w:type="dxa"/>
            </w:tcMar>
          </w:tcPr>
          <w:p w14:paraId="1CA21E80">
            <w:pPr>
              <w:jc w:val="center"/>
              <w:rPr>
                <w:sz w:val="18"/>
                <w:szCs w:val="21"/>
              </w:rPr>
            </w:pPr>
            <w:r>
              <w:rPr>
                <w:rFonts w:ascii="Times New Roman" w:hAnsi="Times New Roman"/>
                <w:sz w:val="11"/>
                <w:szCs w:val="11"/>
              </w:rPr>
              <w:t>Dual-source</w:t>
            </w:r>
          </w:p>
        </w:tc>
        <w:tc>
          <w:tcPr>
            <w:tcW w:w="0" w:type="auto"/>
            <w:tcMar>
              <w:top w:w="50" w:type="dxa"/>
              <w:left w:w="50" w:type="dxa"/>
              <w:bottom w:w="50" w:type="dxa"/>
              <w:right w:w="50" w:type="dxa"/>
            </w:tcMar>
          </w:tcPr>
          <w:p w14:paraId="36CE9C31">
            <w:pPr>
              <w:jc w:val="center"/>
              <w:rPr>
                <w:sz w:val="18"/>
                <w:szCs w:val="21"/>
              </w:rPr>
            </w:pPr>
            <w:r>
              <w:rPr>
                <w:rFonts w:ascii="Times New Roman" w:hAnsi="Times New Roman"/>
                <w:sz w:val="11"/>
                <w:szCs w:val="11"/>
              </w:rPr>
              <w:t>Conflict</w:t>
            </w:r>
          </w:p>
        </w:tc>
        <w:tc>
          <w:tcPr>
            <w:tcW w:w="0" w:type="auto"/>
            <w:tcMar>
              <w:top w:w="50" w:type="dxa"/>
              <w:left w:w="50" w:type="dxa"/>
              <w:bottom w:w="50" w:type="dxa"/>
              <w:right w:w="50" w:type="dxa"/>
            </w:tcMar>
            <w:vAlign w:val="top"/>
          </w:tcPr>
          <w:p w14:paraId="52C8CEE0">
            <w:pPr>
              <w:jc w:val="center"/>
              <w:rPr>
                <w:sz w:val="18"/>
                <w:szCs w:val="21"/>
              </w:rPr>
            </w:pPr>
            <w:r>
              <w:rPr>
                <w:rFonts w:ascii="Times New Roman" w:hAnsi="Times New Roman"/>
                <w:sz w:val="11"/>
                <w:szCs w:val="11"/>
              </w:rPr>
              <w:t>0.079 (0.0079)</w:t>
            </w:r>
          </w:p>
        </w:tc>
        <w:tc>
          <w:tcPr>
            <w:tcW w:w="0" w:type="auto"/>
            <w:tcMar>
              <w:top w:w="50" w:type="dxa"/>
              <w:left w:w="50" w:type="dxa"/>
              <w:bottom w:w="50" w:type="dxa"/>
              <w:right w:w="50" w:type="dxa"/>
            </w:tcMar>
            <w:vAlign w:val="top"/>
          </w:tcPr>
          <w:p w14:paraId="14F8AB2C">
            <w:pPr>
              <w:jc w:val="center"/>
              <w:rPr>
                <w:sz w:val="18"/>
                <w:szCs w:val="21"/>
              </w:rPr>
            </w:pPr>
            <w:r>
              <w:rPr>
                <w:rFonts w:ascii="Times New Roman" w:hAnsi="Times New Roman"/>
                <w:sz w:val="11"/>
                <w:szCs w:val="11"/>
              </w:rPr>
              <w:t>0.021 (0.0084)</w:t>
            </w:r>
          </w:p>
        </w:tc>
        <w:tc>
          <w:tcPr>
            <w:tcW w:w="0" w:type="auto"/>
            <w:tcMar>
              <w:top w:w="50" w:type="dxa"/>
              <w:left w:w="50" w:type="dxa"/>
              <w:bottom w:w="50" w:type="dxa"/>
              <w:right w:w="50" w:type="dxa"/>
            </w:tcMar>
            <w:vAlign w:val="top"/>
          </w:tcPr>
          <w:p w14:paraId="7DEFEFBB">
            <w:pPr>
              <w:jc w:val="center"/>
              <w:rPr>
                <w:sz w:val="18"/>
                <w:szCs w:val="21"/>
              </w:rPr>
            </w:pPr>
            <w:r>
              <w:rPr>
                <w:rFonts w:ascii="Times New Roman" w:hAnsi="Times New Roman"/>
                <w:sz w:val="11"/>
                <w:szCs w:val="11"/>
              </w:rPr>
              <w:t>0.058 (0.0066)</w:t>
            </w:r>
          </w:p>
        </w:tc>
        <w:tc>
          <w:tcPr>
            <w:tcW w:w="0" w:type="auto"/>
            <w:tcMar>
              <w:top w:w="50" w:type="dxa"/>
              <w:left w:w="50" w:type="dxa"/>
              <w:bottom w:w="50" w:type="dxa"/>
              <w:right w:w="50" w:type="dxa"/>
            </w:tcMar>
          </w:tcPr>
          <w:p w14:paraId="6D2DEA54">
            <w:pPr>
              <w:jc w:val="center"/>
              <w:rPr>
                <w:sz w:val="18"/>
                <w:szCs w:val="21"/>
              </w:rPr>
            </w:pPr>
            <w:r>
              <w:rPr>
                <w:rFonts w:ascii="Times New Roman" w:hAnsi="Times New Roman"/>
                <w:sz w:val="11"/>
                <w:szCs w:val="11"/>
              </w:rPr>
              <w:t>8.80</w:t>
            </w:r>
          </w:p>
        </w:tc>
        <w:tc>
          <w:tcPr>
            <w:tcW w:w="0" w:type="auto"/>
            <w:tcMar>
              <w:top w:w="50" w:type="dxa"/>
              <w:left w:w="50" w:type="dxa"/>
              <w:bottom w:w="50" w:type="dxa"/>
              <w:right w:w="50" w:type="dxa"/>
            </w:tcMar>
          </w:tcPr>
          <w:p w14:paraId="62113023">
            <w:pPr>
              <w:jc w:val="center"/>
              <w:rPr>
                <w:sz w:val="18"/>
                <w:szCs w:val="21"/>
              </w:rPr>
            </w:pPr>
            <w:r>
              <w:rPr>
                <w:rFonts w:ascii="Times New Roman" w:hAnsi="Times New Roman"/>
                <w:sz w:val="11"/>
                <w:szCs w:val="11"/>
              </w:rPr>
              <w:t>&lt;0.001</w:t>
            </w:r>
          </w:p>
        </w:tc>
        <w:tc>
          <w:tcPr>
            <w:tcW w:w="0" w:type="auto"/>
            <w:tcMar>
              <w:top w:w="50" w:type="dxa"/>
              <w:left w:w="50" w:type="dxa"/>
              <w:bottom w:w="50" w:type="dxa"/>
              <w:right w:w="50" w:type="dxa"/>
            </w:tcMar>
          </w:tcPr>
          <w:p w14:paraId="3A015EC2">
            <w:pPr>
              <w:jc w:val="center"/>
              <w:rPr>
                <w:sz w:val="18"/>
                <w:szCs w:val="21"/>
              </w:rPr>
            </w:pPr>
            <w:r>
              <w:rPr>
                <w:rFonts w:ascii="Times New Roman" w:hAnsi="Times New Roman"/>
                <w:sz w:val="11"/>
                <w:szCs w:val="11"/>
              </w:rPr>
              <w:t>0.86 [0.4</w:t>
            </w:r>
            <w:r>
              <w:rPr>
                <w:rFonts w:hint="default" w:ascii="Times New Roman" w:hAnsi="Times New Roman"/>
                <w:sz w:val="11"/>
                <w:szCs w:val="11"/>
                <w:lang w:val="en-US"/>
              </w:rPr>
              <w:t>2</w:t>
            </w:r>
            <w:r>
              <w:rPr>
                <w:rFonts w:ascii="Times New Roman" w:hAnsi="Times New Roman"/>
                <w:sz w:val="11"/>
                <w:szCs w:val="11"/>
              </w:rPr>
              <w:t>, 1.30]</w:t>
            </w:r>
          </w:p>
        </w:tc>
      </w:tr>
    </w:tbl>
    <w:p w14:paraId="19477186">
      <w:pPr>
        <w:jc w:val="both"/>
      </w:pPr>
    </w:p>
    <w:p w14:paraId="5DFAE6B7">
      <w:pPr>
        <w:spacing w:after="0" w:line="240" w:lineRule="auto"/>
        <w:rPr>
          <w:rFonts w:ascii="Times New Roman Regular" w:hAnsi="Times New Roman Regular" w:cs="Times New Roman Regular"/>
          <w:sz w:val="18"/>
          <w:szCs w:val="18"/>
        </w:rPr>
      </w:pPr>
    </w:p>
    <w:p w14:paraId="0F22E5FE">
      <w:pPr>
        <w:spacing w:after="0" w:line="240" w:lineRule="auto"/>
        <w:rPr>
          <w:rFonts w:ascii="Times New Roman Regular" w:hAnsi="Times New Roman Regular" w:cs="Times New Roman Regular"/>
          <w:sz w:val="18"/>
          <w:szCs w:val="18"/>
        </w:rPr>
      </w:pPr>
    </w:p>
    <w:p w14:paraId="32475AF0">
      <w:pPr>
        <w:spacing w:after="0" w:line="240" w:lineRule="auto"/>
        <w:rPr>
          <w:rFonts w:ascii="Times New Roman Regular" w:hAnsi="Times New Roman Regular" w:cs="Times New Roman Regular"/>
          <w:sz w:val="18"/>
          <w:szCs w:val="18"/>
        </w:rPr>
      </w:pPr>
    </w:p>
    <w:p w14:paraId="32820F6F">
      <w:pPr>
        <w:spacing w:after="0" w:line="240" w:lineRule="auto"/>
        <w:rPr>
          <w:rFonts w:ascii="Times New Roman Regular" w:hAnsi="Times New Roman Regular" w:cs="Times New Roman Regular"/>
          <w:sz w:val="18"/>
          <w:szCs w:val="18"/>
        </w:rPr>
      </w:pPr>
    </w:p>
    <w:p w14:paraId="61436762">
      <w:pPr>
        <w:spacing w:after="0" w:line="240" w:lineRule="auto"/>
        <w:rPr>
          <w:rFonts w:ascii="Times New Roman Regular" w:hAnsi="Times New Roman Regular" w:cs="Times New Roman Regular"/>
          <w:sz w:val="18"/>
          <w:szCs w:val="18"/>
        </w:rPr>
      </w:pPr>
    </w:p>
    <w:p w14:paraId="51794674">
      <w:pPr>
        <w:keepNext/>
        <w:pageBreakBefore/>
        <w:spacing w:after="120" w:line="360" w:lineRule="auto"/>
        <w:rPr>
          <w:rFonts w:hint="default" w:ascii="Times New Roman" w:hAnsi="Times New Roman"/>
          <w:b/>
          <w:sz w:val="20"/>
          <w:szCs w:val="20"/>
          <w:lang w:val="en-US" w:eastAsia="zh-CN"/>
        </w:rPr>
      </w:pPr>
      <w:r>
        <w:rPr>
          <w:rFonts w:hint="default" w:ascii="Times New Roman" w:hAnsi="Times New Roman"/>
          <w:b/>
          <w:sz w:val="20"/>
          <w:szCs w:val="20"/>
          <w:lang w:val="en-US" w:eastAsia="zh-CN"/>
        </w:rPr>
        <w:t>Supplementary Table 5 | Fixed-effect estimates for the primary simultaneous-source model.</w:t>
      </w:r>
    </w:p>
    <w:tbl>
      <w:tblPr>
        <w:tblStyle w:val="6"/>
        <w:tblW w:w="83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950"/>
        <w:gridCol w:w="1080"/>
        <w:gridCol w:w="850"/>
        <w:gridCol w:w="650"/>
        <w:gridCol w:w="650"/>
        <w:gridCol w:w="1100"/>
        <w:gridCol w:w="2026"/>
      </w:tblGrid>
      <w:tr w14:paraId="71D37C48">
        <w:trPr>
          <w:cantSplit/>
          <w:trHeight w:val="23" w:hRule="atLeast"/>
          <w:tblHeader/>
        </w:trPr>
        <w:tc>
          <w:tcPr>
            <w:tcW w:w="1950" w:type="dxa"/>
            <w:tcBorders>
              <w:top w:val="single" w:color="000000" w:sz="8" w:space="0"/>
              <w:bottom w:val="single" w:color="000000" w:sz="8" w:space="0"/>
            </w:tcBorders>
            <w:shd w:val="clear" w:color="auto" w:fill="BFBFBF"/>
            <w:tcMar>
              <w:top w:w="20" w:type="dxa"/>
              <w:left w:w="20" w:type="dxa"/>
              <w:right w:w="20" w:type="dxa"/>
            </w:tcMar>
            <w:vAlign w:val="center"/>
          </w:tcPr>
          <w:p w14:paraId="7D9F4160">
            <w:pPr>
              <w:jc w:val="left"/>
            </w:pPr>
            <w:r>
              <w:rPr>
                <w:rFonts w:ascii="Arial Regular" w:hAnsi="Arial Regular" w:eastAsia="Arial Regular" w:cs="Arial Regular"/>
                <w:color w:val="000000"/>
                <w:sz w:val="15"/>
                <w:szCs w:val="15"/>
              </w:rPr>
              <w:t>Term</w:t>
            </w:r>
          </w:p>
        </w:tc>
        <w:tc>
          <w:tcPr>
            <w:tcW w:w="1080" w:type="dxa"/>
            <w:tcBorders>
              <w:top w:val="single" w:color="000000" w:sz="8" w:space="0"/>
              <w:bottom w:val="single" w:color="000000" w:sz="8" w:space="0"/>
            </w:tcBorders>
            <w:shd w:val="clear" w:color="auto" w:fill="BFBFBF"/>
            <w:tcMar>
              <w:top w:w="20" w:type="dxa"/>
              <w:left w:w="20" w:type="dxa"/>
              <w:right w:w="20" w:type="dxa"/>
            </w:tcMar>
            <w:vAlign w:val="center"/>
          </w:tcPr>
          <w:p w14:paraId="5694CB22">
            <w:pPr>
              <w:jc w:val="center"/>
            </w:pPr>
            <w:r>
              <w:rPr>
                <w:rFonts w:ascii="Arial Regular" w:hAnsi="Arial Regular" w:eastAsia="Arial Regular" w:cs="Arial Regular"/>
                <w:color w:val="000000"/>
                <w:sz w:val="15"/>
                <w:szCs w:val="15"/>
              </w:rPr>
              <w:t>Estimate</w:t>
            </w:r>
          </w:p>
        </w:tc>
        <w:tc>
          <w:tcPr>
            <w:tcW w:w="850" w:type="dxa"/>
            <w:tcBorders>
              <w:top w:val="single" w:color="000000" w:sz="8" w:space="0"/>
              <w:bottom w:val="single" w:color="000000" w:sz="8" w:space="0"/>
            </w:tcBorders>
            <w:shd w:val="clear" w:color="auto" w:fill="BFBFBF"/>
            <w:tcMar>
              <w:top w:w="20" w:type="dxa"/>
              <w:left w:w="20" w:type="dxa"/>
              <w:right w:w="20" w:type="dxa"/>
            </w:tcMar>
            <w:vAlign w:val="center"/>
          </w:tcPr>
          <w:p w14:paraId="66B6CBC5">
            <w:pPr>
              <w:jc w:val="center"/>
            </w:pPr>
            <w:r>
              <w:rPr>
                <w:rFonts w:ascii="Arial Regular" w:hAnsi="Arial Regular" w:eastAsia="Arial Regular" w:cs="Arial Regular"/>
                <w:color w:val="000000"/>
                <w:sz w:val="15"/>
                <w:szCs w:val="15"/>
              </w:rPr>
              <w:t>SE</w:t>
            </w:r>
          </w:p>
        </w:tc>
        <w:tc>
          <w:tcPr>
            <w:tcW w:w="650" w:type="dxa"/>
            <w:tcBorders>
              <w:top w:val="single" w:color="000000" w:sz="8" w:space="0"/>
              <w:bottom w:val="single" w:color="000000" w:sz="8" w:space="0"/>
            </w:tcBorders>
            <w:shd w:val="clear" w:color="auto" w:fill="BFBFBF"/>
            <w:tcMar>
              <w:top w:w="20" w:type="dxa"/>
              <w:left w:w="20" w:type="dxa"/>
              <w:right w:w="20" w:type="dxa"/>
            </w:tcMar>
            <w:vAlign w:val="center"/>
          </w:tcPr>
          <w:p w14:paraId="43638BEB">
            <w:pPr>
              <w:jc w:val="center"/>
            </w:pPr>
            <w:r>
              <w:rPr>
                <w:rFonts w:ascii="Arial Regular" w:hAnsi="Arial Regular" w:eastAsia="Arial Regular" w:cs="Arial Regular"/>
                <w:color w:val="000000"/>
                <w:sz w:val="15"/>
                <w:szCs w:val="15"/>
              </w:rPr>
              <w:t>df</w:t>
            </w:r>
          </w:p>
        </w:tc>
        <w:tc>
          <w:tcPr>
            <w:tcW w:w="650" w:type="dxa"/>
            <w:tcBorders>
              <w:top w:val="single" w:color="000000" w:sz="8" w:space="0"/>
              <w:bottom w:val="single" w:color="000000" w:sz="8" w:space="0"/>
            </w:tcBorders>
            <w:shd w:val="clear" w:color="auto" w:fill="BFBFBF"/>
            <w:tcMar>
              <w:top w:w="20" w:type="dxa"/>
              <w:left w:w="20" w:type="dxa"/>
              <w:right w:w="20" w:type="dxa"/>
            </w:tcMar>
            <w:vAlign w:val="center"/>
          </w:tcPr>
          <w:p w14:paraId="37DD9342">
            <w:pPr>
              <w:jc w:val="center"/>
            </w:pPr>
            <w:r>
              <w:rPr>
                <w:rFonts w:ascii="Arial Regular" w:hAnsi="Arial Regular" w:eastAsia="Arial Regular" w:cs="Arial Regular"/>
                <w:color w:val="000000"/>
                <w:sz w:val="15"/>
                <w:szCs w:val="15"/>
              </w:rPr>
              <w:t>t</w:t>
            </w:r>
          </w:p>
        </w:tc>
        <w:tc>
          <w:tcPr>
            <w:tcW w:w="1100" w:type="dxa"/>
            <w:tcBorders>
              <w:top w:val="single" w:color="000000" w:sz="8" w:space="0"/>
              <w:bottom w:val="single" w:color="000000" w:sz="8" w:space="0"/>
            </w:tcBorders>
            <w:shd w:val="clear" w:color="auto" w:fill="BFBFBF"/>
            <w:tcMar>
              <w:top w:w="20" w:type="dxa"/>
              <w:left w:w="20" w:type="dxa"/>
              <w:right w:w="20" w:type="dxa"/>
            </w:tcMar>
            <w:vAlign w:val="center"/>
          </w:tcPr>
          <w:p w14:paraId="13BB8E33">
            <w:pPr>
              <w:jc w:val="center"/>
            </w:pPr>
            <w:r>
              <w:rPr>
                <w:rFonts w:ascii="Arial Regular" w:hAnsi="Arial Regular" w:eastAsia="Arial Regular" w:cs="Arial Regular"/>
                <w:color w:val="000000"/>
                <w:sz w:val="15"/>
                <w:szCs w:val="15"/>
              </w:rPr>
              <w:t>Holm-adjusted P</w:t>
            </w:r>
          </w:p>
        </w:tc>
        <w:tc>
          <w:tcPr>
            <w:tcW w:w="2026" w:type="dxa"/>
            <w:tcBorders>
              <w:top w:val="single" w:color="000000" w:sz="8" w:space="0"/>
              <w:bottom w:val="single" w:color="000000" w:sz="8" w:space="0"/>
            </w:tcBorders>
            <w:shd w:val="clear" w:color="auto" w:fill="BFBFBF"/>
            <w:tcMar>
              <w:top w:w="20" w:type="dxa"/>
              <w:left w:w="20" w:type="dxa"/>
              <w:right w:w="20" w:type="dxa"/>
            </w:tcMar>
            <w:vAlign w:val="center"/>
          </w:tcPr>
          <w:p w14:paraId="61D4801E">
            <w:pPr>
              <w:jc w:val="center"/>
            </w:pPr>
            <w:r>
              <w:rPr>
                <w:rFonts w:ascii="Arial Regular" w:hAnsi="Arial Regular" w:eastAsia="Arial Regular" w:cs="Arial Regular"/>
                <w:color w:val="000000"/>
                <w:sz w:val="15"/>
                <w:szCs w:val="15"/>
              </w:rPr>
              <w:t>95% CI</w:t>
            </w:r>
          </w:p>
        </w:tc>
      </w:tr>
      <w:tr w14:paraId="38FD3252">
        <w:trPr>
          <w:cantSplit/>
          <w:trHeight w:val="23" w:hRule="atLeast"/>
        </w:trPr>
        <w:tc>
          <w:tcPr>
            <w:tcW w:w="1950" w:type="dxa"/>
            <w:vMerge w:val="restart"/>
            <w:tcBorders>
              <w:top w:val="single" w:color="000000" w:sz="8" w:space="0"/>
              <w:bottom w:val="single" w:color="000000" w:sz="8" w:space="0"/>
            </w:tcBorders>
            <w:shd w:val="clear" w:color="auto" w:fill="BFBFBF"/>
            <w:tcMar>
              <w:top w:w="20" w:type="dxa"/>
              <w:left w:w="20" w:type="dxa"/>
              <w:right w:w="20" w:type="dxa"/>
            </w:tcMar>
            <w:vAlign w:val="center"/>
          </w:tcPr>
          <w:p w14:paraId="3B67AD1C">
            <w:pPr>
              <w:jc w:val="left"/>
            </w:pPr>
            <w:r>
              <w:rPr>
                <w:rFonts w:hint="default" w:ascii="Arial Regular" w:hAnsi="Arial Regular" w:eastAsia="Arial Regular" w:cs="Arial Regular"/>
                <w:color w:val="000000"/>
                <w:sz w:val="15"/>
                <w:szCs w:val="15"/>
              </w:rPr>
              <w:t>Intercept</w:t>
            </w:r>
          </w:p>
        </w:tc>
        <w:tc>
          <w:tcPr>
            <w:tcW w:w="1080" w:type="dxa"/>
            <w:tcBorders>
              <w:top w:val="single" w:color="000000" w:sz="8" w:space="0"/>
              <w:bottom w:val="single" w:color="000000" w:sz="8" w:space="0"/>
            </w:tcBorders>
            <w:shd w:val="clear" w:color="auto" w:fill="D9D9D9"/>
            <w:tcMar>
              <w:top w:w="20" w:type="dxa"/>
              <w:left w:w="20" w:type="dxa"/>
              <w:right w:w="20" w:type="dxa"/>
            </w:tcMar>
            <w:vAlign w:val="center"/>
          </w:tcPr>
          <w:p w14:paraId="3629F295">
            <w:pPr>
              <w:jc w:val="center"/>
            </w:pPr>
            <w:r>
              <w:rPr>
                <w:rFonts w:hint="default" w:ascii="Arial Regular" w:hAnsi="Arial Regular" w:eastAsia="Arial Regular" w:cs="Arial Regular"/>
                <w:color w:val="000000"/>
                <w:sz w:val="15"/>
                <w:szCs w:val="15"/>
              </w:rPr>
              <w:t>0.002093</w:t>
            </w:r>
          </w:p>
        </w:tc>
        <w:tc>
          <w:tcPr>
            <w:tcW w:w="850" w:type="dxa"/>
            <w:tcBorders>
              <w:top w:val="single" w:color="000000" w:sz="8" w:space="0"/>
              <w:bottom w:val="single" w:color="000000" w:sz="8" w:space="0"/>
            </w:tcBorders>
            <w:shd w:val="clear" w:color="auto" w:fill="D9D9D9"/>
            <w:tcMar>
              <w:top w:w="20" w:type="dxa"/>
              <w:left w:w="20" w:type="dxa"/>
              <w:right w:w="20" w:type="dxa"/>
            </w:tcMar>
            <w:vAlign w:val="center"/>
          </w:tcPr>
          <w:p w14:paraId="413098BC">
            <w:pPr>
              <w:jc w:val="center"/>
            </w:pPr>
            <w:r>
              <w:rPr>
                <w:rFonts w:hint="default" w:ascii="Arial Regular" w:hAnsi="Arial Regular" w:eastAsia="Arial Regular" w:cs="Arial Regular"/>
                <w:color w:val="000000"/>
                <w:sz w:val="15"/>
                <w:szCs w:val="15"/>
              </w:rPr>
              <w:t>0.029982</w:t>
            </w:r>
          </w:p>
        </w:tc>
        <w:tc>
          <w:tcPr>
            <w:tcW w:w="650" w:type="dxa"/>
            <w:tcBorders>
              <w:top w:val="single" w:color="000000" w:sz="8" w:space="0"/>
              <w:bottom w:val="single" w:color="000000" w:sz="8" w:space="0"/>
            </w:tcBorders>
            <w:shd w:val="clear" w:color="auto" w:fill="D9D9D9"/>
            <w:tcMar>
              <w:top w:w="20" w:type="dxa"/>
              <w:left w:w="20" w:type="dxa"/>
              <w:right w:w="20" w:type="dxa"/>
            </w:tcMar>
            <w:vAlign w:val="center"/>
          </w:tcPr>
          <w:p w14:paraId="71D0A298">
            <w:pPr>
              <w:jc w:val="center"/>
            </w:pPr>
            <w:r>
              <w:rPr>
                <w:rFonts w:hint="default" w:ascii="Arial Regular" w:hAnsi="Arial Regular" w:eastAsia="Arial Regular" w:cs="Arial Regular"/>
                <w:color w:val="000000"/>
                <w:sz w:val="15"/>
                <w:szCs w:val="15"/>
              </w:rPr>
              <w:t>90.64</w:t>
            </w:r>
          </w:p>
        </w:tc>
        <w:tc>
          <w:tcPr>
            <w:tcW w:w="650" w:type="dxa"/>
            <w:tcBorders>
              <w:top w:val="single" w:color="000000" w:sz="8" w:space="0"/>
              <w:bottom w:val="single" w:color="000000" w:sz="8" w:space="0"/>
            </w:tcBorders>
            <w:shd w:val="clear" w:color="auto" w:fill="D9D9D9"/>
            <w:tcMar>
              <w:top w:w="20" w:type="dxa"/>
              <w:left w:w="20" w:type="dxa"/>
              <w:right w:w="20" w:type="dxa"/>
            </w:tcMar>
            <w:vAlign w:val="center"/>
          </w:tcPr>
          <w:p w14:paraId="128C15E1">
            <w:pPr>
              <w:jc w:val="center"/>
            </w:pPr>
            <w:r>
              <w:rPr>
                <w:rFonts w:hint="default" w:ascii="Arial Regular" w:hAnsi="Arial Regular" w:eastAsia="Arial Regular" w:cs="Arial Regular"/>
                <w:color w:val="000000"/>
                <w:sz w:val="15"/>
                <w:szCs w:val="15"/>
              </w:rPr>
              <w:t>0.070</w:t>
            </w:r>
          </w:p>
        </w:tc>
        <w:tc>
          <w:tcPr>
            <w:tcW w:w="1100" w:type="dxa"/>
            <w:tcBorders>
              <w:top w:val="single" w:color="000000" w:sz="8" w:space="0"/>
              <w:bottom w:val="single" w:color="000000" w:sz="8" w:space="0"/>
            </w:tcBorders>
            <w:shd w:val="clear" w:color="auto" w:fill="D9D9D9"/>
            <w:tcMar>
              <w:top w:w="20" w:type="dxa"/>
              <w:left w:w="20" w:type="dxa"/>
              <w:right w:w="20" w:type="dxa"/>
            </w:tcMar>
            <w:vAlign w:val="center"/>
          </w:tcPr>
          <w:p w14:paraId="5C22DE4D">
            <w:pPr>
              <w:jc w:val="center"/>
            </w:pPr>
            <w:r>
              <w:rPr>
                <w:rFonts w:hint="default" w:ascii="Arial Regular" w:hAnsi="Arial Regular" w:eastAsia="Arial Regular" w:cs="Arial Regular"/>
                <w:color w:val="000000"/>
                <w:sz w:val="15"/>
                <w:szCs w:val="15"/>
              </w:rPr>
              <w:t>0.9445</w:t>
            </w:r>
          </w:p>
        </w:tc>
        <w:tc>
          <w:tcPr>
            <w:tcW w:w="2026" w:type="dxa"/>
            <w:tcBorders>
              <w:top w:val="single" w:color="000000" w:sz="8" w:space="0"/>
              <w:bottom w:val="single" w:color="000000" w:sz="8" w:space="0"/>
            </w:tcBorders>
            <w:shd w:val="clear" w:color="auto" w:fill="D9D9D9"/>
            <w:tcMar>
              <w:top w:w="20" w:type="dxa"/>
              <w:left w:w="20" w:type="dxa"/>
              <w:right w:w="20" w:type="dxa"/>
            </w:tcMar>
            <w:vAlign w:val="center"/>
          </w:tcPr>
          <w:p w14:paraId="730B60C6">
            <w:pPr>
              <w:jc w:val="center"/>
            </w:pPr>
            <w:r>
              <w:rPr>
                <w:rFonts w:hint="default" w:ascii="Arial Regular" w:hAnsi="Arial Regular" w:eastAsia="Arial Regular" w:cs="Arial Regular"/>
                <w:color w:val="000000"/>
                <w:sz w:val="15"/>
                <w:szCs w:val="15"/>
              </w:rPr>
              <w:t>[-0.0575, 0.0617]</w:t>
            </w:r>
          </w:p>
        </w:tc>
      </w:tr>
      <w:tr w14:paraId="6F80332B">
        <w:trPr>
          <w:cantSplit/>
          <w:trHeight w:val="23" w:hRule="atLeast"/>
        </w:trPr>
        <w:tc>
          <w:tcPr>
            <w:tcW w:w="1950" w:type="dxa"/>
            <w:vMerge w:val="restart"/>
            <w:tcBorders>
              <w:top w:val="single" w:color="000000" w:sz="8" w:space="0"/>
              <w:bottom w:val="single" w:color="000000" w:sz="8" w:space="0"/>
            </w:tcBorders>
            <w:shd w:val="clear" w:color="auto" w:fill="BFBFBF"/>
            <w:tcMar>
              <w:top w:w="20" w:type="dxa"/>
              <w:left w:w="20" w:type="dxa"/>
              <w:right w:w="20" w:type="dxa"/>
            </w:tcMar>
            <w:vAlign w:val="center"/>
          </w:tcPr>
          <w:p w14:paraId="73B3BA91">
            <w:pPr>
              <w:jc w:val="left"/>
            </w:pPr>
            <w:r>
              <w:rPr>
                <w:rFonts w:hint="default" w:ascii="Arial Regular" w:hAnsi="Arial Regular" w:eastAsia="Arial Regular" w:cs="Arial Regular"/>
                <w:color w:val="000000"/>
                <w:sz w:val="15"/>
                <w:szCs w:val="15"/>
              </w:rPr>
              <w:t>Group</w:t>
            </w:r>
          </w:p>
        </w:tc>
        <w:tc>
          <w:tcPr>
            <w:tcW w:w="1080" w:type="dxa"/>
            <w:tcBorders>
              <w:top w:val="single" w:color="000000" w:sz="8" w:space="0"/>
              <w:bottom w:val="single" w:color="000000" w:sz="8" w:space="0"/>
            </w:tcBorders>
            <w:shd w:val="clear" w:color="auto" w:fill="D9D9D9"/>
            <w:tcMar>
              <w:top w:w="20" w:type="dxa"/>
              <w:left w:w="20" w:type="dxa"/>
              <w:right w:w="20" w:type="dxa"/>
            </w:tcMar>
            <w:vAlign w:val="center"/>
          </w:tcPr>
          <w:p w14:paraId="340FE962">
            <w:pPr>
              <w:jc w:val="center"/>
            </w:pPr>
            <w:r>
              <w:rPr>
                <w:rFonts w:hint="default" w:ascii="Arial Regular" w:hAnsi="Arial Regular" w:eastAsia="Arial Regular" w:cs="Arial Regular"/>
                <w:color w:val="000000"/>
                <w:sz w:val="15"/>
                <w:szCs w:val="15"/>
              </w:rPr>
              <w:t>-0.070052</w:t>
            </w:r>
          </w:p>
        </w:tc>
        <w:tc>
          <w:tcPr>
            <w:tcW w:w="850" w:type="dxa"/>
            <w:tcBorders>
              <w:top w:val="single" w:color="000000" w:sz="8" w:space="0"/>
              <w:bottom w:val="single" w:color="000000" w:sz="8" w:space="0"/>
            </w:tcBorders>
            <w:shd w:val="clear" w:color="auto" w:fill="D9D9D9"/>
            <w:tcMar>
              <w:top w:w="20" w:type="dxa"/>
              <w:left w:w="20" w:type="dxa"/>
              <w:right w:w="20" w:type="dxa"/>
            </w:tcMar>
            <w:vAlign w:val="center"/>
          </w:tcPr>
          <w:p w14:paraId="01C20BC9">
            <w:pPr>
              <w:jc w:val="center"/>
            </w:pPr>
            <w:r>
              <w:rPr>
                <w:rFonts w:hint="default" w:ascii="Arial Regular" w:hAnsi="Arial Regular" w:eastAsia="Arial Regular" w:cs="Arial Regular"/>
                <w:color w:val="000000"/>
                <w:sz w:val="15"/>
                <w:szCs w:val="15"/>
              </w:rPr>
              <w:t>0.044857</w:t>
            </w:r>
          </w:p>
        </w:tc>
        <w:tc>
          <w:tcPr>
            <w:tcW w:w="650" w:type="dxa"/>
            <w:tcBorders>
              <w:top w:val="single" w:color="000000" w:sz="8" w:space="0"/>
              <w:bottom w:val="single" w:color="000000" w:sz="8" w:space="0"/>
            </w:tcBorders>
            <w:shd w:val="clear" w:color="auto" w:fill="D9D9D9"/>
            <w:tcMar>
              <w:top w:w="20" w:type="dxa"/>
              <w:left w:w="20" w:type="dxa"/>
              <w:right w:w="20" w:type="dxa"/>
            </w:tcMar>
            <w:vAlign w:val="center"/>
          </w:tcPr>
          <w:p w14:paraId="4D5B0841">
            <w:pPr>
              <w:jc w:val="center"/>
            </w:pPr>
            <w:r>
              <w:rPr>
                <w:rFonts w:hint="default" w:ascii="Arial Regular" w:hAnsi="Arial Regular" w:eastAsia="Arial Regular" w:cs="Arial Regular"/>
                <w:color w:val="000000"/>
                <w:sz w:val="15"/>
                <w:szCs w:val="15"/>
              </w:rPr>
              <w:t>87.33</w:t>
            </w:r>
          </w:p>
        </w:tc>
        <w:tc>
          <w:tcPr>
            <w:tcW w:w="650" w:type="dxa"/>
            <w:tcBorders>
              <w:top w:val="single" w:color="000000" w:sz="8" w:space="0"/>
              <w:bottom w:val="single" w:color="000000" w:sz="8" w:space="0"/>
            </w:tcBorders>
            <w:shd w:val="clear" w:color="auto" w:fill="D9D9D9"/>
            <w:tcMar>
              <w:top w:w="20" w:type="dxa"/>
              <w:left w:w="20" w:type="dxa"/>
              <w:right w:w="20" w:type="dxa"/>
            </w:tcMar>
            <w:vAlign w:val="center"/>
          </w:tcPr>
          <w:p w14:paraId="08DB770E">
            <w:pPr>
              <w:jc w:val="center"/>
            </w:pPr>
            <w:r>
              <w:rPr>
                <w:rFonts w:hint="default" w:ascii="Arial Regular" w:hAnsi="Arial Regular" w:eastAsia="Arial Regular" w:cs="Arial Regular"/>
                <w:color w:val="000000"/>
                <w:sz w:val="15"/>
                <w:szCs w:val="15"/>
              </w:rPr>
              <w:t>-1.562</w:t>
            </w:r>
          </w:p>
        </w:tc>
        <w:tc>
          <w:tcPr>
            <w:tcW w:w="1100" w:type="dxa"/>
            <w:tcBorders>
              <w:top w:val="single" w:color="000000" w:sz="8" w:space="0"/>
              <w:bottom w:val="single" w:color="000000" w:sz="8" w:space="0"/>
            </w:tcBorders>
            <w:shd w:val="clear" w:color="auto" w:fill="D9D9D9"/>
            <w:tcMar>
              <w:top w:w="20" w:type="dxa"/>
              <w:left w:w="20" w:type="dxa"/>
              <w:right w:w="20" w:type="dxa"/>
            </w:tcMar>
            <w:vAlign w:val="center"/>
          </w:tcPr>
          <w:p w14:paraId="5E659AC0">
            <w:pPr>
              <w:jc w:val="center"/>
            </w:pPr>
            <w:r>
              <w:rPr>
                <w:rFonts w:hint="default" w:ascii="Arial Regular" w:hAnsi="Arial Regular" w:eastAsia="Arial Regular" w:cs="Arial Regular"/>
                <w:color w:val="000000"/>
                <w:sz w:val="15"/>
                <w:szCs w:val="15"/>
              </w:rPr>
              <w:t>0.1220</w:t>
            </w:r>
          </w:p>
        </w:tc>
        <w:tc>
          <w:tcPr>
            <w:tcW w:w="2026" w:type="dxa"/>
            <w:tcBorders>
              <w:top w:val="single" w:color="000000" w:sz="8" w:space="0"/>
              <w:bottom w:val="single" w:color="000000" w:sz="8" w:space="0"/>
            </w:tcBorders>
            <w:shd w:val="clear" w:color="auto" w:fill="D9D9D9"/>
            <w:tcMar>
              <w:top w:w="20" w:type="dxa"/>
              <w:left w:w="20" w:type="dxa"/>
              <w:right w:w="20" w:type="dxa"/>
            </w:tcMar>
            <w:vAlign w:val="center"/>
          </w:tcPr>
          <w:p w14:paraId="235B0CF8">
            <w:pPr>
              <w:jc w:val="center"/>
            </w:pPr>
            <w:r>
              <w:rPr>
                <w:rFonts w:hint="default" w:ascii="Arial Regular" w:hAnsi="Arial Regular" w:eastAsia="Arial Regular" w:cs="Arial Regular"/>
                <w:color w:val="000000"/>
                <w:sz w:val="15"/>
                <w:szCs w:val="15"/>
              </w:rPr>
              <w:t>[-0.1592, 0.0191]</w:t>
            </w:r>
          </w:p>
        </w:tc>
      </w:tr>
      <w:tr w14:paraId="2317D16E">
        <w:trPr>
          <w:cantSplit/>
          <w:trHeight w:val="23" w:hRule="atLeast"/>
        </w:trPr>
        <w:tc>
          <w:tcPr>
            <w:tcW w:w="1950" w:type="dxa"/>
            <w:vMerge w:val="restart"/>
            <w:tcBorders>
              <w:top w:val="single" w:color="000000" w:sz="8" w:space="0"/>
              <w:bottom w:val="single" w:color="000000" w:sz="8" w:space="0"/>
            </w:tcBorders>
            <w:shd w:val="clear" w:color="auto" w:fill="BFBFBF"/>
            <w:tcMar>
              <w:top w:w="20" w:type="dxa"/>
              <w:left w:w="20" w:type="dxa"/>
              <w:right w:w="20" w:type="dxa"/>
            </w:tcMar>
            <w:vAlign w:val="center"/>
          </w:tcPr>
          <w:p w14:paraId="21949701">
            <w:pPr>
              <w:jc w:val="left"/>
            </w:pPr>
            <w:r>
              <w:rPr>
                <w:rFonts w:hint="default" w:ascii="Arial Regular" w:hAnsi="Arial Regular" w:eastAsia="Arial Regular" w:cs="Arial Regular"/>
                <w:color w:val="000000"/>
                <w:sz w:val="15"/>
                <w:szCs w:val="15"/>
              </w:rPr>
              <w:t>Peer discrepancy</w:t>
            </w:r>
          </w:p>
        </w:tc>
        <w:tc>
          <w:tcPr>
            <w:tcW w:w="1080" w:type="dxa"/>
            <w:tcBorders>
              <w:top w:val="single" w:color="000000" w:sz="8" w:space="0"/>
              <w:bottom w:val="single" w:color="000000" w:sz="8" w:space="0"/>
            </w:tcBorders>
            <w:shd w:val="clear" w:color="auto" w:fill="D9D9D9"/>
            <w:tcMar>
              <w:top w:w="20" w:type="dxa"/>
              <w:left w:w="20" w:type="dxa"/>
              <w:right w:w="20" w:type="dxa"/>
            </w:tcMar>
            <w:vAlign w:val="center"/>
          </w:tcPr>
          <w:p w14:paraId="1DF99F5A">
            <w:pPr>
              <w:jc w:val="center"/>
            </w:pPr>
            <w:r>
              <w:rPr>
                <w:rFonts w:hint="default" w:ascii="Arial Regular" w:hAnsi="Arial Regular" w:eastAsia="Arial Regular" w:cs="Arial Regular"/>
                <w:color w:val="000000"/>
                <w:sz w:val="15"/>
                <w:szCs w:val="15"/>
              </w:rPr>
              <w:t>0.117499</w:t>
            </w:r>
          </w:p>
        </w:tc>
        <w:tc>
          <w:tcPr>
            <w:tcW w:w="850" w:type="dxa"/>
            <w:tcBorders>
              <w:top w:val="single" w:color="000000" w:sz="8" w:space="0"/>
              <w:bottom w:val="single" w:color="000000" w:sz="8" w:space="0"/>
            </w:tcBorders>
            <w:shd w:val="clear" w:color="auto" w:fill="D9D9D9"/>
            <w:tcMar>
              <w:top w:w="20" w:type="dxa"/>
              <w:left w:w="20" w:type="dxa"/>
              <w:right w:w="20" w:type="dxa"/>
            </w:tcMar>
            <w:vAlign w:val="center"/>
          </w:tcPr>
          <w:p w14:paraId="59F7A429">
            <w:pPr>
              <w:jc w:val="center"/>
            </w:pPr>
            <w:r>
              <w:rPr>
                <w:rFonts w:hint="default" w:ascii="Arial Regular" w:hAnsi="Arial Regular" w:eastAsia="Arial Regular" w:cs="Arial Regular"/>
                <w:color w:val="000000"/>
                <w:sz w:val="15"/>
                <w:szCs w:val="15"/>
              </w:rPr>
              <w:t>0.012338</w:t>
            </w:r>
          </w:p>
        </w:tc>
        <w:tc>
          <w:tcPr>
            <w:tcW w:w="650" w:type="dxa"/>
            <w:tcBorders>
              <w:top w:val="single" w:color="000000" w:sz="8" w:space="0"/>
              <w:bottom w:val="single" w:color="000000" w:sz="8" w:space="0"/>
            </w:tcBorders>
            <w:shd w:val="clear" w:color="auto" w:fill="D9D9D9"/>
            <w:tcMar>
              <w:top w:w="20" w:type="dxa"/>
              <w:left w:w="20" w:type="dxa"/>
              <w:right w:w="20" w:type="dxa"/>
            </w:tcMar>
            <w:vAlign w:val="center"/>
          </w:tcPr>
          <w:p w14:paraId="2DDA3F13">
            <w:pPr>
              <w:jc w:val="center"/>
            </w:pPr>
            <w:r>
              <w:rPr>
                <w:rFonts w:hint="default" w:ascii="Arial Regular" w:hAnsi="Arial Regular" w:eastAsia="Arial Regular" w:cs="Arial Regular"/>
                <w:color w:val="000000"/>
                <w:sz w:val="15"/>
                <w:szCs w:val="15"/>
              </w:rPr>
              <w:t>87.74</w:t>
            </w:r>
          </w:p>
        </w:tc>
        <w:tc>
          <w:tcPr>
            <w:tcW w:w="650" w:type="dxa"/>
            <w:tcBorders>
              <w:top w:val="single" w:color="000000" w:sz="8" w:space="0"/>
              <w:bottom w:val="single" w:color="000000" w:sz="8" w:space="0"/>
            </w:tcBorders>
            <w:shd w:val="clear" w:color="auto" w:fill="D9D9D9"/>
            <w:tcMar>
              <w:top w:w="20" w:type="dxa"/>
              <w:left w:w="20" w:type="dxa"/>
              <w:right w:w="20" w:type="dxa"/>
            </w:tcMar>
            <w:vAlign w:val="center"/>
          </w:tcPr>
          <w:p w14:paraId="750A9053">
            <w:pPr>
              <w:jc w:val="center"/>
            </w:pPr>
            <w:r>
              <w:rPr>
                <w:rFonts w:hint="default" w:ascii="Arial Regular" w:hAnsi="Arial Regular" w:eastAsia="Arial Regular" w:cs="Arial Regular"/>
                <w:color w:val="000000"/>
                <w:sz w:val="15"/>
                <w:szCs w:val="15"/>
              </w:rPr>
              <w:t>9.524</w:t>
            </w:r>
          </w:p>
        </w:tc>
        <w:tc>
          <w:tcPr>
            <w:tcW w:w="1100" w:type="dxa"/>
            <w:tcBorders>
              <w:top w:val="single" w:color="000000" w:sz="8" w:space="0"/>
              <w:bottom w:val="single" w:color="000000" w:sz="8" w:space="0"/>
            </w:tcBorders>
            <w:shd w:val="clear" w:color="auto" w:fill="D9D9D9"/>
            <w:tcMar>
              <w:top w:w="20" w:type="dxa"/>
              <w:left w:w="20" w:type="dxa"/>
              <w:right w:w="20" w:type="dxa"/>
            </w:tcMar>
            <w:vAlign w:val="center"/>
          </w:tcPr>
          <w:p w14:paraId="1E38F045">
            <w:pPr>
              <w:jc w:val="center"/>
            </w:pPr>
            <w:r>
              <w:rPr>
                <w:rFonts w:hint="default" w:ascii="Arial Regular" w:hAnsi="Arial Regular" w:eastAsia="Arial Regular" w:cs="Arial Regular"/>
                <w:color w:val="000000"/>
                <w:sz w:val="15"/>
                <w:szCs w:val="15"/>
              </w:rPr>
              <w:t>&lt;0.001</w:t>
            </w:r>
          </w:p>
        </w:tc>
        <w:tc>
          <w:tcPr>
            <w:tcW w:w="2026" w:type="dxa"/>
            <w:tcBorders>
              <w:top w:val="single" w:color="000000" w:sz="8" w:space="0"/>
              <w:bottom w:val="single" w:color="000000" w:sz="8" w:space="0"/>
            </w:tcBorders>
            <w:shd w:val="clear" w:color="auto" w:fill="D9D9D9"/>
            <w:tcMar>
              <w:top w:w="20" w:type="dxa"/>
              <w:left w:w="20" w:type="dxa"/>
              <w:right w:w="20" w:type="dxa"/>
            </w:tcMar>
            <w:vAlign w:val="center"/>
          </w:tcPr>
          <w:p w14:paraId="7A92F2D7">
            <w:pPr>
              <w:jc w:val="center"/>
            </w:pPr>
            <w:r>
              <w:rPr>
                <w:rFonts w:hint="default" w:ascii="Arial Regular" w:hAnsi="Arial Regular" w:eastAsia="Arial Regular" w:cs="Arial Regular"/>
                <w:color w:val="000000"/>
                <w:sz w:val="15"/>
                <w:szCs w:val="15"/>
              </w:rPr>
              <w:t>[0.0930, 0.1420]</w:t>
            </w:r>
          </w:p>
        </w:tc>
      </w:tr>
      <w:tr w14:paraId="273FECC4">
        <w:trPr>
          <w:cantSplit/>
          <w:trHeight w:val="23" w:hRule="atLeast"/>
        </w:trPr>
        <w:tc>
          <w:tcPr>
            <w:tcW w:w="1950" w:type="dxa"/>
            <w:vMerge w:val="restart"/>
            <w:tcBorders>
              <w:top w:val="single" w:color="000000" w:sz="8" w:space="0"/>
              <w:bottom w:val="single" w:color="000000" w:sz="8" w:space="0"/>
            </w:tcBorders>
            <w:shd w:val="clear" w:color="auto" w:fill="BFBFBF"/>
            <w:tcMar>
              <w:top w:w="20" w:type="dxa"/>
              <w:left w:w="20" w:type="dxa"/>
              <w:right w:w="20" w:type="dxa"/>
            </w:tcMar>
            <w:vAlign w:val="center"/>
          </w:tcPr>
          <w:p w14:paraId="30866AE5">
            <w:pPr>
              <w:jc w:val="left"/>
            </w:pPr>
            <w:r>
              <w:rPr>
                <w:rFonts w:hint="default" w:ascii="Arial Regular" w:hAnsi="Arial Regular" w:eastAsia="Arial Regular" w:cs="Arial Regular"/>
                <w:color w:val="000000"/>
                <w:sz w:val="15"/>
                <w:szCs w:val="15"/>
              </w:rPr>
              <w:t>Societal discrepancy</w:t>
            </w:r>
          </w:p>
        </w:tc>
        <w:tc>
          <w:tcPr>
            <w:tcW w:w="1080" w:type="dxa"/>
            <w:tcBorders>
              <w:top w:val="single" w:color="000000" w:sz="8" w:space="0"/>
              <w:bottom w:val="single" w:color="000000" w:sz="8" w:space="0"/>
            </w:tcBorders>
            <w:shd w:val="clear" w:color="auto" w:fill="D9D9D9"/>
            <w:tcMar>
              <w:top w:w="20" w:type="dxa"/>
              <w:left w:w="20" w:type="dxa"/>
              <w:right w:w="20" w:type="dxa"/>
            </w:tcMar>
            <w:vAlign w:val="center"/>
          </w:tcPr>
          <w:p w14:paraId="7C397D6B">
            <w:pPr>
              <w:jc w:val="center"/>
            </w:pPr>
            <w:r>
              <w:rPr>
                <w:rFonts w:hint="default" w:ascii="Arial Regular" w:hAnsi="Arial Regular" w:eastAsia="Arial Regular" w:cs="Arial Regular"/>
                <w:color w:val="000000"/>
                <w:sz w:val="15"/>
                <w:szCs w:val="15"/>
              </w:rPr>
              <w:t>0.071265</w:t>
            </w:r>
          </w:p>
        </w:tc>
        <w:tc>
          <w:tcPr>
            <w:tcW w:w="850" w:type="dxa"/>
            <w:tcBorders>
              <w:top w:val="single" w:color="000000" w:sz="8" w:space="0"/>
              <w:bottom w:val="single" w:color="000000" w:sz="8" w:space="0"/>
            </w:tcBorders>
            <w:shd w:val="clear" w:color="auto" w:fill="D9D9D9"/>
            <w:tcMar>
              <w:top w:w="20" w:type="dxa"/>
              <w:left w:w="20" w:type="dxa"/>
              <w:right w:w="20" w:type="dxa"/>
            </w:tcMar>
            <w:vAlign w:val="center"/>
          </w:tcPr>
          <w:p w14:paraId="421623C1">
            <w:pPr>
              <w:jc w:val="center"/>
            </w:pPr>
            <w:r>
              <w:rPr>
                <w:rFonts w:hint="default" w:ascii="Arial Regular" w:hAnsi="Arial Regular" w:eastAsia="Arial Regular" w:cs="Arial Regular"/>
                <w:color w:val="000000"/>
                <w:sz w:val="15"/>
                <w:szCs w:val="15"/>
              </w:rPr>
              <w:t>0.010628</w:t>
            </w:r>
          </w:p>
        </w:tc>
        <w:tc>
          <w:tcPr>
            <w:tcW w:w="650" w:type="dxa"/>
            <w:tcBorders>
              <w:top w:val="single" w:color="000000" w:sz="8" w:space="0"/>
              <w:bottom w:val="single" w:color="000000" w:sz="8" w:space="0"/>
            </w:tcBorders>
            <w:shd w:val="clear" w:color="auto" w:fill="D9D9D9"/>
            <w:tcMar>
              <w:top w:w="20" w:type="dxa"/>
              <w:left w:w="20" w:type="dxa"/>
              <w:right w:w="20" w:type="dxa"/>
            </w:tcMar>
            <w:vAlign w:val="center"/>
          </w:tcPr>
          <w:p w14:paraId="0099EF56">
            <w:pPr>
              <w:jc w:val="center"/>
            </w:pPr>
            <w:r>
              <w:rPr>
                <w:rFonts w:hint="default" w:ascii="Arial Regular" w:hAnsi="Arial Regular" w:eastAsia="Arial Regular" w:cs="Arial Regular"/>
                <w:color w:val="000000"/>
                <w:sz w:val="15"/>
                <w:szCs w:val="15"/>
              </w:rPr>
              <w:t>88.12</w:t>
            </w:r>
          </w:p>
        </w:tc>
        <w:tc>
          <w:tcPr>
            <w:tcW w:w="650" w:type="dxa"/>
            <w:tcBorders>
              <w:top w:val="single" w:color="000000" w:sz="8" w:space="0"/>
              <w:bottom w:val="single" w:color="000000" w:sz="8" w:space="0"/>
            </w:tcBorders>
            <w:shd w:val="clear" w:color="auto" w:fill="D9D9D9"/>
            <w:tcMar>
              <w:top w:w="20" w:type="dxa"/>
              <w:left w:w="20" w:type="dxa"/>
              <w:right w:w="20" w:type="dxa"/>
            </w:tcMar>
            <w:vAlign w:val="center"/>
          </w:tcPr>
          <w:p w14:paraId="416B6F18">
            <w:pPr>
              <w:jc w:val="center"/>
            </w:pPr>
            <w:r>
              <w:rPr>
                <w:rFonts w:hint="default" w:ascii="Arial Regular" w:hAnsi="Arial Regular" w:eastAsia="Arial Regular" w:cs="Arial Regular"/>
                <w:color w:val="000000"/>
                <w:sz w:val="15"/>
                <w:szCs w:val="15"/>
              </w:rPr>
              <w:t>6.705</w:t>
            </w:r>
          </w:p>
        </w:tc>
        <w:tc>
          <w:tcPr>
            <w:tcW w:w="1100" w:type="dxa"/>
            <w:tcBorders>
              <w:top w:val="single" w:color="000000" w:sz="8" w:space="0"/>
              <w:bottom w:val="single" w:color="000000" w:sz="8" w:space="0"/>
            </w:tcBorders>
            <w:shd w:val="clear" w:color="auto" w:fill="D9D9D9"/>
            <w:tcMar>
              <w:top w:w="20" w:type="dxa"/>
              <w:left w:w="20" w:type="dxa"/>
              <w:right w:w="20" w:type="dxa"/>
            </w:tcMar>
            <w:vAlign w:val="center"/>
          </w:tcPr>
          <w:p w14:paraId="07AC986C">
            <w:pPr>
              <w:jc w:val="center"/>
            </w:pPr>
            <w:r>
              <w:rPr>
                <w:rFonts w:hint="default" w:ascii="Arial Regular" w:hAnsi="Arial Regular" w:eastAsia="Arial Regular" w:cs="Arial Regular"/>
                <w:color w:val="000000"/>
                <w:sz w:val="15"/>
                <w:szCs w:val="15"/>
              </w:rPr>
              <w:t>&lt;0.001</w:t>
            </w:r>
          </w:p>
        </w:tc>
        <w:tc>
          <w:tcPr>
            <w:tcW w:w="2026" w:type="dxa"/>
            <w:tcBorders>
              <w:top w:val="single" w:color="000000" w:sz="8" w:space="0"/>
              <w:bottom w:val="single" w:color="000000" w:sz="8" w:space="0"/>
            </w:tcBorders>
            <w:shd w:val="clear" w:color="auto" w:fill="D9D9D9"/>
            <w:tcMar>
              <w:top w:w="20" w:type="dxa"/>
              <w:left w:w="20" w:type="dxa"/>
              <w:right w:w="20" w:type="dxa"/>
            </w:tcMar>
            <w:vAlign w:val="center"/>
          </w:tcPr>
          <w:p w14:paraId="0DADF153">
            <w:pPr>
              <w:jc w:val="center"/>
            </w:pPr>
            <w:r>
              <w:rPr>
                <w:rFonts w:hint="default" w:ascii="Arial Regular" w:hAnsi="Arial Regular" w:eastAsia="Arial Regular" w:cs="Arial Regular"/>
                <w:color w:val="000000"/>
                <w:sz w:val="15"/>
                <w:szCs w:val="15"/>
              </w:rPr>
              <w:t>[0.0501, 0.0924]</w:t>
            </w:r>
          </w:p>
        </w:tc>
      </w:tr>
      <w:tr w14:paraId="4FB73CC0">
        <w:trPr>
          <w:cantSplit/>
          <w:trHeight w:val="23" w:hRule="atLeast"/>
        </w:trPr>
        <w:tc>
          <w:tcPr>
            <w:tcW w:w="1950" w:type="dxa"/>
            <w:vMerge w:val="restart"/>
            <w:tcBorders>
              <w:top w:val="single" w:color="000000" w:sz="8" w:space="0"/>
              <w:bottom w:val="single" w:color="000000" w:sz="8" w:space="0"/>
            </w:tcBorders>
            <w:shd w:val="clear" w:color="auto" w:fill="BFBFBF"/>
            <w:tcMar>
              <w:top w:w="20" w:type="dxa"/>
              <w:left w:w="20" w:type="dxa"/>
              <w:right w:w="20" w:type="dxa"/>
            </w:tcMar>
            <w:vAlign w:val="center"/>
          </w:tcPr>
          <w:p w14:paraId="39FF00A1">
            <w:pPr>
              <w:jc w:val="left"/>
            </w:pPr>
            <w:r>
              <w:rPr>
                <w:rFonts w:hint="default" w:ascii="Arial Regular" w:hAnsi="Arial Regular" w:eastAsia="Arial Regular" w:cs="Arial Regular"/>
                <w:color w:val="000000"/>
                <w:sz w:val="15"/>
                <w:szCs w:val="15"/>
              </w:rPr>
              <w:t>Group × peer discrepancy</w:t>
            </w:r>
          </w:p>
        </w:tc>
        <w:tc>
          <w:tcPr>
            <w:tcW w:w="1080" w:type="dxa"/>
            <w:tcBorders>
              <w:top w:val="single" w:color="000000" w:sz="8" w:space="0"/>
              <w:bottom w:val="single" w:color="000000" w:sz="8" w:space="0"/>
            </w:tcBorders>
            <w:shd w:val="clear" w:color="auto" w:fill="D9D9D9"/>
            <w:tcMar>
              <w:top w:w="20" w:type="dxa"/>
              <w:left w:w="20" w:type="dxa"/>
              <w:right w:w="20" w:type="dxa"/>
            </w:tcMar>
            <w:vAlign w:val="center"/>
          </w:tcPr>
          <w:p w14:paraId="6689B9FB">
            <w:pPr>
              <w:jc w:val="center"/>
            </w:pPr>
            <w:r>
              <w:rPr>
                <w:rFonts w:hint="default" w:ascii="Arial Regular" w:hAnsi="Arial Regular" w:eastAsia="Arial Regular" w:cs="Arial Regular"/>
                <w:color w:val="000000"/>
                <w:sz w:val="15"/>
                <w:szCs w:val="15"/>
              </w:rPr>
              <w:t>-0.076792</w:t>
            </w:r>
          </w:p>
        </w:tc>
        <w:tc>
          <w:tcPr>
            <w:tcW w:w="850" w:type="dxa"/>
            <w:tcBorders>
              <w:top w:val="single" w:color="000000" w:sz="8" w:space="0"/>
              <w:bottom w:val="single" w:color="000000" w:sz="8" w:space="0"/>
            </w:tcBorders>
            <w:shd w:val="clear" w:color="auto" w:fill="D9D9D9"/>
            <w:tcMar>
              <w:top w:w="20" w:type="dxa"/>
              <w:left w:w="20" w:type="dxa"/>
              <w:right w:w="20" w:type="dxa"/>
            </w:tcMar>
            <w:vAlign w:val="center"/>
          </w:tcPr>
          <w:p w14:paraId="091E0DC1">
            <w:pPr>
              <w:jc w:val="center"/>
            </w:pPr>
            <w:r>
              <w:rPr>
                <w:rFonts w:hint="default" w:ascii="Arial Regular" w:hAnsi="Arial Regular" w:eastAsia="Arial Regular" w:cs="Arial Regular"/>
                <w:color w:val="000000"/>
                <w:sz w:val="15"/>
                <w:szCs w:val="15"/>
              </w:rPr>
              <w:t>0.018640</w:t>
            </w:r>
          </w:p>
        </w:tc>
        <w:tc>
          <w:tcPr>
            <w:tcW w:w="650" w:type="dxa"/>
            <w:tcBorders>
              <w:top w:val="single" w:color="000000" w:sz="8" w:space="0"/>
              <w:bottom w:val="single" w:color="000000" w:sz="8" w:space="0"/>
            </w:tcBorders>
            <w:shd w:val="clear" w:color="auto" w:fill="D9D9D9"/>
            <w:tcMar>
              <w:top w:w="20" w:type="dxa"/>
              <w:left w:w="20" w:type="dxa"/>
              <w:right w:w="20" w:type="dxa"/>
            </w:tcMar>
            <w:vAlign w:val="center"/>
          </w:tcPr>
          <w:p w14:paraId="12D38CE9">
            <w:pPr>
              <w:jc w:val="center"/>
            </w:pPr>
            <w:r>
              <w:rPr>
                <w:rFonts w:hint="default" w:ascii="Arial Regular" w:hAnsi="Arial Regular" w:eastAsia="Arial Regular" w:cs="Arial Regular"/>
                <w:color w:val="000000"/>
                <w:sz w:val="15"/>
                <w:szCs w:val="15"/>
              </w:rPr>
              <w:t>87.21</w:t>
            </w:r>
          </w:p>
        </w:tc>
        <w:tc>
          <w:tcPr>
            <w:tcW w:w="650" w:type="dxa"/>
            <w:tcBorders>
              <w:top w:val="single" w:color="000000" w:sz="8" w:space="0"/>
              <w:bottom w:val="single" w:color="000000" w:sz="8" w:space="0"/>
            </w:tcBorders>
            <w:shd w:val="clear" w:color="auto" w:fill="D9D9D9"/>
            <w:tcMar>
              <w:top w:w="20" w:type="dxa"/>
              <w:left w:w="20" w:type="dxa"/>
              <w:right w:w="20" w:type="dxa"/>
            </w:tcMar>
            <w:vAlign w:val="center"/>
          </w:tcPr>
          <w:p w14:paraId="090B64D5">
            <w:pPr>
              <w:jc w:val="center"/>
            </w:pPr>
            <w:r>
              <w:rPr>
                <w:rFonts w:hint="default" w:ascii="Arial Regular" w:hAnsi="Arial Regular" w:eastAsia="Arial Regular" w:cs="Arial Regular"/>
                <w:color w:val="000000"/>
                <w:sz w:val="15"/>
                <w:szCs w:val="15"/>
              </w:rPr>
              <w:t>-4.120</w:t>
            </w:r>
          </w:p>
        </w:tc>
        <w:tc>
          <w:tcPr>
            <w:tcW w:w="1100" w:type="dxa"/>
            <w:tcBorders>
              <w:top w:val="single" w:color="000000" w:sz="8" w:space="0"/>
              <w:bottom w:val="single" w:color="000000" w:sz="8" w:space="0"/>
            </w:tcBorders>
            <w:shd w:val="clear" w:color="auto" w:fill="D9D9D9"/>
            <w:tcMar>
              <w:top w:w="20" w:type="dxa"/>
              <w:left w:w="20" w:type="dxa"/>
              <w:right w:w="20" w:type="dxa"/>
            </w:tcMar>
            <w:vAlign w:val="center"/>
          </w:tcPr>
          <w:p w14:paraId="65E17503">
            <w:pPr>
              <w:jc w:val="center"/>
            </w:pPr>
            <w:r>
              <w:rPr>
                <w:rFonts w:hint="default" w:ascii="Arial Regular" w:hAnsi="Arial Regular" w:eastAsia="Arial Regular" w:cs="Arial Regular"/>
                <w:color w:val="000000"/>
                <w:sz w:val="15"/>
                <w:szCs w:val="15"/>
              </w:rPr>
              <w:t>&lt;0.001</w:t>
            </w:r>
          </w:p>
        </w:tc>
        <w:tc>
          <w:tcPr>
            <w:tcW w:w="2026" w:type="dxa"/>
            <w:tcBorders>
              <w:top w:val="single" w:color="000000" w:sz="8" w:space="0"/>
              <w:bottom w:val="single" w:color="000000" w:sz="8" w:space="0"/>
            </w:tcBorders>
            <w:shd w:val="clear" w:color="auto" w:fill="D9D9D9"/>
            <w:tcMar>
              <w:top w:w="20" w:type="dxa"/>
              <w:left w:w="20" w:type="dxa"/>
              <w:right w:w="20" w:type="dxa"/>
            </w:tcMar>
            <w:vAlign w:val="center"/>
          </w:tcPr>
          <w:p w14:paraId="3D9B25CC">
            <w:pPr>
              <w:jc w:val="center"/>
            </w:pPr>
            <w:r>
              <w:rPr>
                <w:rFonts w:hint="default" w:ascii="Arial Regular" w:hAnsi="Arial Regular" w:eastAsia="Arial Regular" w:cs="Arial Regular"/>
                <w:color w:val="000000"/>
                <w:sz w:val="15"/>
                <w:szCs w:val="15"/>
              </w:rPr>
              <w:t>[-0.1138, -0.0397]</w:t>
            </w:r>
          </w:p>
        </w:tc>
      </w:tr>
      <w:tr w14:paraId="670D20EE">
        <w:trPr>
          <w:cantSplit/>
          <w:trHeight w:val="23" w:hRule="atLeast"/>
        </w:trPr>
        <w:tc>
          <w:tcPr>
            <w:tcW w:w="1950" w:type="dxa"/>
            <w:tcBorders>
              <w:top w:val="single" w:color="000000" w:sz="8" w:space="0"/>
              <w:bottom w:val="single" w:color="000000" w:sz="8" w:space="0"/>
            </w:tcBorders>
            <w:shd w:val="clear" w:color="auto" w:fill="BFBFBF"/>
            <w:tcMar>
              <w:top w:w="20" w:type="dxa"/>
              <w:left w:w="20" w:type="dxa"/>
              <w:right w:w="20" w:type="dxa"/>
            </w:tcMar>
            <w:vAlign w:val="center"/>
          </w:tcPr>
          <w:p w14:paraId="744C094F">
            <w:pPr>
              <w:jc w:val="left"/>
            </w:pPr>
            <w:r>
              <w:rPr>
                <w:rFonts w:hint="default" w:ascii="Arial Regular" w:hAnsi="Arial Regular" w:eastAsia="Arial Regular" w:cs="Arial Regular"/>
                <w:color w:val="000000"/>
                <w:sz w:val="15"/>
                <w:szCs w:val="15"/>
              </w:rPr>
              <w:t>Group × societal discrepancy</w:t>
            </w:r>
          </w:p>
        </w:tc>
        <w:tc>
          <w:tcPr>
            <w:tcW w:w="1080" w:type="dxa"/>
            <w:tcBorders>
              <w:top w:val="single" w:color="000000" w:sz="8" w:space="0"/>
              <w:bottom w:val="single" w:color="000000" w:sz="8" w:space="0"/>
            </w:tcBorders>
            <w:shd w:val="clear" w:color="auto" w:fill="D9D9D9"/>
            <w:tcMar>
              <w:top w:w="20" w:type="dxa"/>
              <w:left w:w="20" w:type="dxa"/>
              <w:right w:w="20" w:type="dxa"/>
            </w:tcMar>
            <w:vAlign w:val="center"/>
          </w:tcPr>
          <w:p w14:paraId="7AD4AB81">
            <w:pPr>
              <w:jc w:val="center"/>
            </w:pPr>
            <w:r>
              <w:rPr>
                <w:rFonts w:hint="default" w:ascii="Arial Regular" w:hAnsi="Arial Regular" w:eastAsia="Arial Regular" w:cs="Arial Regular"/>
                <w:color w:val="000000"/>
                <w:sz w:val="15"/>
                <w:szCs w:val="15"/>
              </w:rPr>
              <w:t>-0.036024</w:t>
            </w:r>
          </w:p>
        </w:tc>
        <w:tc>
          <w:tcPr>
            <w:tcW w:w="850" w:type="dxa"/>
            <w:tcBorders>
              <w:top w:val="single" w:color="000000" w:sz="8" w:space="0"/>
              <w:bottom w:val="single" w:color="000000" w:sz="8" w:space="0"/>
            </w:tcBorders>
            <w:shd w:val="clear" w:color="auto" w:fill="D9D9D9"/>
            <w:tcMar>
              <w:top w:w="20" w:type="dxa"/>
              <w:left w:w="20" w:type="dxa"/>
              <w:right w:w="20" w:type="dxa"/>
            </w:tcMar>
            <w:vAlign w:val="center"/>
          </w:tcPr>
          <w:p w14:paraId="05503179">
            <w:pPr>
              <w:jc w:val="center"/>
            </w:pPr>
            <w:r>
              <w:rPr>
                <w:rFonts w:hint="default" w:ascii="Arial Regular" w:hAnsi="Arial Regular" w:eastAsia="Arial Regular" w:cs="Arial Regular"/>
                <w:color w:val="000000"/>
                <w:sz w:val="15"/>
                <w:szCs w:val="15"/>
              </w:rPr>
              <w:t>0.016049</w:t>
            </w:r>
          </w:p>
        </w:tc>
        <w:tc>
          <w:tcPr>
            <w:tcW w:w="650" w:type="dxa"/>
            <w:tcBorders>
              <w:top w:val="single" w:color="000000" w:sz="8" w:space="0"/>
              <w:bottom w:val="single" w:color="000000" w:sz="8" w:space="0"/>
            </w:tcBorders>
            <w:shd w:val="clear" w:color="auto" w:fill="D9D9D9"/>
            <w:tcMar>
              <w:top w:w="20" w:type="dxa"/>
              <w:left w:w="20" w:type="dxa"/>
              <w:right w:w="20" w:type="dxa"/>
            </w:tcMar>
            <w:vAlign w:val="center"/>
          </w:tcPr>
          <w:p w14:paraId="6EDF86C1">
            <w:pPr>
              <w:jc w:val="center"/>
            </w:pPr>
            <w:r>
              <w:rPr>
                <w:rFonts w:hint="default" w:ascii="Arial Regular" w:hAnsi="Arial Regular" w:eastAsia="Arial Regular" w:cs="Arial Regular"/>
                <w:color w:val="000000"/>
                <w:sz w:val="15"/>
                <w:szCs w:val="15"/>
              </w:rPr>
              <w:t>87.41</w:t>
            </w:r>
          </w:p>
        </w:tc>
        <w:tc>
          <w:tcPr>
            <w:tcW w:w="650" w:type="dxa"/>
            <w:tcBorders>
              <w:top w:val="single" w:color="000000" w:sz="8" w:space="0"/>
              <w:bottom w:val="single" w:color="000000" w:sz="8" w:space="0"/>
            </w:tcBorders>
            <w:shd w:val="clear" w:color="auto" w:fill="D9D9D9"/>
            <w:tcMar>
              <w:top w:w="20" w:type="dxa"/>
              <w:left w:w="20" w:type="dxa"/>
              <w:right w:w="20" w:type="dxa"/>
            </w:tcMar>
            <w:vAlign w:val="center"/>
          </w:tcPr>
          <w:p w14:paraId="4D626A14">
            <w:pPr>
              <w:jc w:val="center"/>
            </w:pPr>
            <w:r>
              <w:rPr>
                <w:rFonts w:hint="default" w:ascii="Arial Regular" w:hAnsi="Arial Regular" w:eastAsia="Arial Regular" w:cs="Arial Regular"/>
                <w:color w:val="000000"/>
                <w:sz w:val="15"/>
                <w:szCs w:val="15"/>
              </w:rPr>
              <w:t>-2.245</w:t>
            </w:r>
          </w:p>
        </w:tc>
        <w:tc>
          <w:tcPr>
            <w:tcW w:w="1100" w:type="dxa"/>
            <w:tcBorders>
              <w:top w:val="single" w:color="000000" w:sz="8" w:space="0"/>
              <w:bottom w:val="single" w:color="000000" w:sz="8" w:space="0"/>
            </w:tcBorders>
            <w:shd w:val="clear" w:color="auto" w:fill="D9D9D9"/>
            <w:tcMar>
              <w:top w:w="20" w:type="dxa"/>
              <w:left w:w="20" w:type="dxa"/>
              <w:right w:w="20" w:type="dxa"/>
            </w:tcMar>
            <w:vAlign w:val="center"/>
          </w:tcPr>
          <w:p w14:paraId="7054C741">
            <w:pPr>
              <w:jc w:val="center"/>
            </w:pPr>
            <w:r>
              <w:rPr>
                <w:rFonts w:hint="default" w:ascii="Arial Regular" w:hAnsi="Arial Regular" w:eastAsia="Arial Regular" w:cs="Arial Regular"/>
                <w:color w:val="000000"/>
                <w:sz w:val="15"/>
                <w:szCs w:val="15"/>
              </w:rPr>
              <w:t>0.027</w:t>
            </w:r>
          </w:p>
        </w:tc>
        <w:tc>
          <w:tcPr>
            <w:tcW w:w="2026" w:type="dxa"/>
            <w:tcBorders>
              <w:top w:val="single" w:color="000000" w:sz="8" w:space="0"/>
              <w:bottom w:val="single" w:color="000000" w:sz="8" w:space="0"/>
            </w:tcBorders>
            <w:shd w:val="clear" w:color="auto" w:fill="D9D9D9"/>
            <w:tcMar>
              <w:top w:w="20" w:type="dxa"/>
              <w:left w:w="20" w:type="dxa"/>
              <w:right w:w="20" w:type="dxa"/>
            </w:tcMar>
            <w:vAlign w:val="center"/>
          </w:tcPr>
          <w:p w14:paraId="7F48DB54">
            <w:pPr>
              <w:jc w:val="center"/>
            </w:pPr>
            <w:r>
              <w:rPr>
                <w:rFonts w:hint="default" w:ascii="Arial Regular" w:hAnsi="Arial Regular" w:eastAsia="Arial Regular" w:cs="Arial Regular"/>
                <w:color w:val="000000"/>
                <w:sz w:val="15"/>
                <w:szCs w:val="15"/>
              </w:rPr>
              <w:t>[-0.0679, -0.0041]</w:t>
            </w:r>
          </w:p>
        </w:tc>
      </w:tr>
    </w:tbl>
    <w:p w14:paraId="63A16BDF">
      <w:pPr>
        <w:pStyle w:val="5"/>
        <w:keepNext w:val="0"/>
        <w:keepLines w:val="0"/>
        <w:widowControl/>
        <w:suppressLineNumbers w:val="0"/>
        <w:ind w:left="0" w:firstLine="0"/>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eastAsiaTheme="minorEastAsia"/>
          <w:kern w:val="2"/>
          <w:sz w:val="18"/>
          <w:szCs w:val="18"/>
          <w:lang w:val="en-US" w:eastAsia="zh-CN" w:bidi="ar-SA"/>
        </w:rPr>
        <w:t>P values for the two Group × discrepancy terms were Holm-adjusted within the same prespecified multiplicity family. For the remaining coefficients, P values are model-based tests. Confidence intervals are two-sided 95% intervals based on Satterthwaite-adjusted degrees of freedom.</w:t>
      </w:r>
    </w:p>
    <w:p w14:paraId="383B68FC">
      <w:pPr>
        <w:keepNext/>
        <w:pageBreakBefore/>
        <w:spacing w:after="120" w:line="360" w:lineRule="auto"/>
        <w:rPr>
          <w:rFonts w:hint="default" w:ascii="Times New Roman" w:hAnsi="Times New Roman"/>
          <w:b/>
          <w:sz w:val="20"/>
          <w:szCs w:val="20"/>
          <w:lang w:val="en-US" w:eastAsia="zh-CN"/>
        </w:rPr>
      </w:pPr>
      <w:r>
        <w:rPr>
          <w:rFonts w:hint="default" w:ascii="Times New Roman" w:hAnsi="Times New Roman"/>
          <w:b/>
          <w:sz w:val="20"/>
          <w:szCs w:val="20"/>
          <w:lang w:val="en-US" w:eastAsia="zh-CN"/>
        </w:rPr>
        <w:t>Supplementary Table 6 | Variance components of the primary simultaneous-source model.</w:t>
      </w:r>
    </w:p>
    <w:tbl>
      <w:tblPr>
        <w:tblStyle w:val="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07"/>
        <w:gridCol w:w="3216"/>
        <w:gridCol w:w="2320"/>
      </w:tblGrid>
      <w:tr w14:paraId="393EC198">
        <w:trPr>
          <w:trHeight w:val="23" w:hRule="atLeast"/>
        </w:trPr>
        <w:tc>
          <w:tcPr>
            <w:tcW w:w="1682" w:type="pct"/>
            <w:tcBorders>
              <w:top w:val="single" w:color="000000" w:sz="8" w:space="0"/>
              <w:bottom w:val="single" w:color="000000" w:sz="8" w:space="0"/>
            </w:tcBorders>
            <w:shd w:val="clear" w:color="auto" w:fill="BFBFBF"/>
            <w:tcMar>
              <w:top w:w="20" w:type="dxa"/>
              <w:left w:w="20" w:type="dxa"/>
              <w:right w:w="20" w:type="dxa"/>
            </w:tcMar>
            <w:vAlign w:val="center"/>
          </w:tcPr>
          <w:p w14:paraId="7C7B87E9">
            <w:pPr>
              <w:jc w:val="center"/>
            </w:pPr>
            <w:r>
              <w:rPr>
                <w:rFonts w:ascii="Arial Regular" w:hAnsi="Arial Regular" w:eastAsia="Arial Regular" w:cs="Arial Regular"/>
                <w:color w:val="000000"/>
                <w:sz w:val="15"/>
                <w:szCs w:val="15"/>
              </w:rPr>
              <w:t>Model component</w:t>
            </w:r>
          </w:p>
        </w:tc>
        <w:tc>
          <w:tcPr>
            <w:tcW w:w="1927" w:type="pct"/>
            <w:tcBorders>
              <w:top w:val="single" w:color="000000" w:sz="8" w:space="0"/>
              <w:bottom w:val="single" w:color="000000" w:sz="8" w:space="0"/>
            </w:tcBorders>
            <w:shd w:val="clear" w:color="auto" w:fill="BFBFBF"/>
            <w:tcMar>
              <w:top w:w="20" w:type="dxa"/>
              <w:left w:w="20" w:type="dxa"/>
              <w:right w:w="20" w:type="dxa"/>
            </w:tcMar>
            <w:vAlign w:val="center"/>
          </w:tcPr>
          <w:p w14:paraId="683AA781">
            <w:pPr>
              <w:jc w:val="center"/>
            </w:pPr>
            <w:r>
              <w:rPr>
                <w:rFonts w:ascii="Arial Regular" w:hAnsi="Arial Regular" w:eastAsia="Arial Regular" w:cs="Arial Regular"/>
                <w:color w:val="000000"/>
                <w:sz w:val="15"/>
                <w:szCs w:val="15"/>
              </w:rPr>
              <w:t>Variance estimate</w:t>
            </w:r>
          </w:p>
        </w:tc>
        <w:tc>
          <w:tcPr>
            <w:tcW w:w="1390" w:type="pct"/>
            <w:tcBorders>
              <w:top w:val="single" w:color="000000" w:sz="8" w:space="0"/>
              <w:bottom w:val="single" w:color="000000" w:sz="8" w:space="0"/>
            </w:tcBorders>
            <w:shd w:val="clear" w:color="auto" w:fill="BFBFBF"/>
            <w:tcMar>
              <w:top w:w="20" w:type="dxa"/>
              <w:left w:w="20" w:type="dxa"/>
              <w:right w:w="20" w:type="dxa"/>
            </w:tcMar>
            <w:vAlign w:val="center"/>
          </w:tcPr>
          <w:p w14:paraId="6D75DA6C">
            <w:pPr>
              <w:jc w:val="center"/>
            </w:pPr>
            <w:r>
              <w:rPr>
                <w:rFonts w:ascii="Arial Regular" w:hAnsi="Arial Regular" w:eastAsia="Arial Regular" w:cs="Arial Regular"/>
                <w:color w:val="000000"/>
                <w:sz w:val="15"/>
                <w:szCs w:val="15"/>
              </w:rPr>
              <w:t>Standard deviation</w:t>
            </w:r>
          </w:p>
        </w:tc>
      </w:tr>
      <w:tr w14:paraId="2A965AAF">
        <w:trPr>
          <w:trHeight w:val="23" w:hRule="atLeast"/>
        </w:trPr>
        <w:tc>
          <w:tcPr>
            <w:tcW w:w="1682" w:type="pct"/>
            <w:tcBorders>
              <w:top w:val="single" w:color="000000" w:sz="8" w:space="0"/>
              <w:bottom w:val="single" w:color="000000" w:sz="8" w:space="0"/>
            </w:tcBorders>
            <w:shd w:val="clear" w:color="auto" w:fill="BFBFBF"/>
            <w:tcMar>
              <w:top w:w="20" w:type="dxa"/>
              <w:left w:w="20" w:type="dxa"/>
              <w:right w:w="20" w:type="dxa"/>
            </w:tcMar>
            <w:vAlign w:val="center"/>
          </w:tcPr>
          <w:p w14:paraId="79252F71">
            <w:pPr>
              <w:jc w:val="center"/>
            </w:pPr>
            <w:r>
              <w:rPr>
                <w:rFonts w:hint="default" w:ascii="Arial Regular" w:hAnsi="Arial Regular" w:eastAsia="Arial Regular" w:cs="Arial Regular"/>
                <w:color w:val="000000"/>
                <w:sz w:val="15"/>
                <w:szCs w:val="15"/>
              </w:rPr>
              <w:t>Face random intercept</w:t>
            </w:r>
          </w:p>
        </w:tc>
        <w:tc>
          <w:tcPr>
            <w:tcW w:w="1927" w:type="pct"/>
            <w:tcBorders>
              <w:top w:val="single" w:color="000000" w:sz="8" w:space="0"/>
              <w:bottom w:val="single" w:color="000000" w:sz="8" w:space="0"/>
            </w:tcBorders>
            <w:shd w:val="clear" w:color="auto" w:fill="D9D9D9"/>
            <w:tcMar>
              <w:top w:w="20" w:type="dxa"/>
              <w:left w:w="20" w:type="dxa"/>
              <w:right w:w="20" w:type="dxa"/>
            </w:tcMar>
            <w:vAlign w:val="center"/>
          </w:tcPr>
          <w:p w14:paraId="79B4C457">
            <w:pPr>
              <w:jc w:val="center"/>
            </w:pPr>
            <w:r>
              <w:rPr>
                <w:rFonts w:hint="default" w:ascii="Arial Regular" w:hAnsi="Arial Regular" w:eastAsia="Arial Regular" w:cs="Arial Regular"/>
                <w:color w:val="000000"/>
                <w:sz w:val="15"/>
                <w:szCs w:val="15"/>
              </w:rPr>
              <w:t>0.01</w:t>
            </w:r>
          </w:p>
        </w:tc>
        <w:tc>
          <w:tcPr>
            <w:tcW w:w="1390" w:type="pct"/>
            <w:tcBorders>
              <w:top w:val="single" w:color="000000" w:sz="8" w:space="0"/>
              <w:bottom w:val="single" w:color="000000" w:sz="8" w:space="0"/>
            </w:tcBorders>
            <w:shd w:val="clear" w:color="auto" w:fill="D9D9D9"/>
            <w:tcMar>
              <w:top w:w="20" w:type="dxa"/>
              <w:left w:w="20" w:type="dxa"/>
              <w:right w:w="20" w:type="dxa"/>
            </w:tcMar>
            <w:vAlign w:val="center"/>
          </w:tcPr>
          <w:p w14:paraId="4FE0C1F6">
            <w:pPr>
              <w:jc w:val="center"/>
            </w:pPr>
            <w:r>
              <w:rPr>
                <w:rFonts w:hint="default" w:ascii="Arial Regular" w:hAnsi="Arial Regular" w:eastAsia="Arial Regular" w:cs="Arial Regular"/>
                <w:color w:val="000000"/>
                <w:sz w:val="15"/>
                <w:szCs w:val="15"/>
              </w:rPr>
              <w:t>0.07</w:t>
            </w:r>
          </w:p>
        </w:tc>
      </w:tr>
      <w:tr w14:paraId="310BAC8D">
        <w:trPr>
          <w:trHeight w:val="23" w:hRule="atLeast"/>
        </w:trPr>
        <w:tc>
          <w:tcPr>
            <w:tcW w:w="1682" w:type="pct"/>
            <w:tcBorders>
              <w:top w:val="single" w:color="000000" w:sz="8" w:space="0"/>
              <w:bottom w:val="single" w:color="000000" w:sz="8" w:space="0"/>
            </w:tcBorders>
            <w:shd w:val="clear" w:color="auto" w:fill="BFBFBF"/>
            <w:tcMar>
              <w:top w:w="20" w:type="dxa"/>
              <w:left w:w="20" w:type="dxa"/>
              <w:right w:w="20" w:type="dxa"/>
            </w:tcMar>
            <w:vAlign w:val="center"/>
          </w:tcPr>
          <w:p w14:paraId="166ED789">
            <w:pPr>
              <w:jc w:val="center"/>
            </w:pPr>
            <w:r>
              <w:rPr>
                <w:rFonts w:hint="default" w:ascii="Arial Regular" w:hAnsi="Arial Regular" w:eastAsia="Arial Regular" w:cs="Arial Regular"/>
                <w:color w:val="000000"/>
                <w:sz w:val="15"/>
                <w:szCs w:val="15"/>
              </w:rPr>
              <w:t>Participant random intercept</w:t>
            </w:r>
          </w:p>
        </w:tc>
        <w:tc>
          <w:tcPr>
            <w:tcW w:w="1927" w:type="pct"/>
            <w:tcBorders>
              <w:top w:val="single" w:color="000000" w:sz="8" w:space="0"/>
              <w:bottom w:val="single" w:color="000000" w:sz="8" w:space="0"/>
            </w:tcBorders>
            <w:shd w:val="clear" w:color="auto" w:fill="D9D9D9"/>
            <w:tcMar>
              <w:top w:w="20" w:type="dxa"/>
              <w:left w:w="20" w:type="dxa"/>
              <w:right w:w="20" w:type="dxa"/>
            </w:tcMar>
            <w:vAlign w:val="center"/>
          </w:tcPr>
          <w:p w14:paraId="63771B10">
            <w:pPr>
              <w:jc w:val="center"/>
            </w:pPr>
            <w:r>
              <w:rPr>
                <w:rFonts w:hint="default" w:ascii="Arial Regular" w:hAnsi="Arial Regular" w:eastAsia="Arial Regular" w:cs="Arial Regular"/>
                <w:color w:val="000000"/>
                <w:sz w:val="15"/>
                <w:szCs w:val="15"/>
              </w:rPr>
              <w:t>0.04</w:t>
            </w:r>
          </w:p>
        </w:tc>
        <w:tc>
          <w:tcPr>
            <w:tcW w:w="1390" w:type="pct"/>
            <w:tcBorders>
              <w:top w:val="single" w:color="000000" w:sz="8" w:space="0"/>
              <w:bottom w:val="single" w:color="000000" w:sz="8" w:space="0"/>
            </w:tcBorders>
            <w:shd w:val="clear" w:color="auto" w:fill="D9D9D9"/>
            <w:tcMar>
              <w:top w:w="20" w:type="dxa"/>
              <w:left w:w="20" w:type="dxa"/>
              <w:right w:w="20" w:type="dxa"/>
            </w:tcMar>
            <w:vAlign w:val="center"/>
          </w:tcPr>
          <w:p w14:paraId="5A883E1E">
            <w:pPr>
              <w:jc w:val="center"/>
            </w:pPr>
            <w:r>
              <w:rPr>
                <w:rFonts w:hint="default" w:ascii="Arial Regular" w:hAnsi="Arial Regular" w:eastAsia="Arial Regular" w:cs="Arial Regular"/>
                <w:color w:val="000000"/>
                <w:sz w:val="15"/>
                <w:szCs w:val="15"/>
              </w:rPr>
              <w:t>0.19</w:t>
            </w:r>
          </w:p>
        </w:tc>
      </w:tr>
      <w:tr w14:paraId="25777D0D">
        <w:trPr>
          <w:trHeight w:val="23" w:hRule="atLeast"/>
        </w:trPr>
        <w:tc>
          <w:tcPr>
            <w:tcW w:w="1682" w:type="pct"/>
            <w:tcBorders>
              <w:top w:val="single" w:color="000000" w:sz="8" w:space="0"/>
              <w:bottom w:val="single" w:color="000000" w:sz="8" w:space="0"/>
            </w:tcBorders>
            <w:shd w:val="clear" w:color="auto" w:fill="BFBFBF"/>
            <w:tcMar>
              <w:top w:w="20" w:type="dxa"/>
              <w:left w:w="20" w:type="dxa"/>
              <w:right w:w="20" w:type="dxa"/>
            </w:tcMar>
            <w:vAlign w:val="center"/>
          </w:tcPr>
          <w:p w14:paraId="417323FB">
            <w:pPr>
              <w:jc w:val="center"/>
            </w:pPr>
            <w:r>
              <w:rPr>
                <w:rFonts w:hint="default" w:ascii="Arial Regular" w:hAnsi="Arial Regular" w:eastAsia="Arial Regular" w:cs="Arial Regular"/>
                <w:color w:val="000000"/>
                <w:sz w:val="15"/>
                <w:szCs w:val="15"/>
              </w:rPr>
              <w:t>Participant peer-discrepancy slope</w:t>
            </w:r>
          </w:p>
        </w:tc>
        <w:tc>
          <w:tcPr>
            <w:tcW w:w="1927" w:type="pct"/>
            <w:tcBorders>
              <w:top w:val="single" w:color="000000" w:sz="8" w:space="0"/>
              <w:bottom w:val="single" w:color="000000" w:sz="8" w:space="0"/>
            </w:tcBorders>
            <w:shd w:val="clear" w:color="auto" w:fill="D9D9D9"/>
            <w:tcMar>
              <w:top w:w="20" w:type="dxa"/>
              <w:left w:w="20" w:type="dxa"/>
              <w:right w:w="20" w:type="dxa"/>
            </w:tcMar>
            <w:vAlign w:val="center"/>
          </w:tcPr>
          <w:p w14:paraId="57CA5967">
            <w:pPr>
              <w:jc w:val="center"/>
            </w:pPr>
            <w:r>
              <w:rPr>
                <w:rFonts w:hint="default" w:ascii="Arial Regular" w:hAnsi="Arial Regular" w:eastAsia="Arial Regular" w:cs="Arial Regular"/>
                <w:color w:val="000000"/>
                <w:sz w:val="15"/>
                <w:szCs w:val="15"/>
              </w:rPr>
              <w:t>0.01</w:t>
            </w:r>
          </w:p>
        </w:tc>
        <w:tc>
          <w:tcPr>
            <w:tcW w:w="1390" w:type="pct"/>
            <w:tcBorders>
              <w:top w:val="single" w:color="000000" w:sz="8" w:space="0"/>
              <w:bottom w:val="single" w:color="000000" w:sz="8" w:space="0"/>
            </w:tcBorders>
            <w:shd w:val="clear" w:color="auto" w:fill="D9D9D9"/>
            <w:tcMar>
              <w:top w:w="20" w:type="dxa"/>
              <w:left w:w="20" w:type="dxa"/>
              <w:right w:w="20" w:type="dxa"/>
            </w:tcMar>
            <w:vAlign w:val="center"/>
          </w:tcPr>
          <w:p w14:paraId="6ED73ED4">
            <w:pPr>
              <w:jc w:val="center"/>
            </w:pPr>
            <w:r>
              <w:rPr>
                <w:rFonts w:hint="default" w:ascii="Arial Regular" w:hAnsi="Arial Regular" w:eastAsia="Arial Regular" w:cs="Arial Regular"/>
                <w:color w:val="000000"/>
                <w:sz w:val="15"/>
                <w:szCs w:val="15"/>
              </w:rPr>
              <w:t>0.08</w:t>
            </w:r>
          </w:p>
        </w:tc>
      </w:tr>
      <w:tr w14:paraId="1BF7B6EB">
        <w:trPr>
          <w:trHeight w:val="23" w:hRule="atLeast"/>
        </w:trPr>
        <w:tc>
          <w:tcPr>
            <w:tcW w:w="1682" w:type="pct"/>
            <w:tcBorders>
              <w:top w:val="single" w:color="000000" w:sz="8" w:space="0"/>
              <w:bottom w:val="single" w:color="000000" w:sz="8" w:space="0"/>
            </w:tcBorders>
            <w:shd w:val="clear" w:color="auto" w:fill="BFBFBF"/>
            <w:tcMar>
              <w:top w:w="20" w:type="dxa"/>
              <w:left w:w="20" w:type="dxa"/>
              <w:right w:w="20" w:type="dxa"/>
            </w:tcMar>
            <w:vAlign w:val="center"/>
          </w:tcPr>
          <w:p w14:paraId="403A6F31">
            <w:pPr>
              <w:jc w:val="center"/>
            </w:pPr>
            <w:r>
              <w:rPr>
                <w:rFonts w:hint="default" w:ascii="Arial Regular" w:hAnsi="Arial Regular" w:eastAsia="Arial Regular" w:cs="Arial Regular"/>
                <w:color w:val="000000"/>
                <w:sz w:val="15"/>
                <w:szCs w:val="15"/>
              </w:rPr>
              <w:t>Participant societal-discrepancy slope</w:t>
            </w:r>
          </w:p>
        </w:tc>
        <w:tc>
          <w:tcPr>
            <w:tcW w:w="1927" w:type="pct"/>
            <w:tcBorders>
              <w:top w:val="single" w:color="000000" w:sz="8" w:space="0"/>
              <w:bottom w:val="single" w:color="000000" w:sz="8" w:space="0"/>
            </w:tcBorders>
            <w:shd w:val="clear" w:color="auto" w:fill="D9D9D9"/>
            <w:tcMar>
              <w:top w:w="20" w:type="dxa"/>
              <w:left w:w="20" w:type="dxa"/>
              <w:right w:w="20" w:type="dxa"/>
            </w:tcMar>
            <w:vAlign w:val="center"/>
          </w:tcPr>
          <w:p w14:paraId="5C3D93E9">
            <w:pPr>
              <w:jc w:val="center"/>
            </w:pPr>
            <w:r>
              <w:rPr>
                <w:rFonts w:hint="default" w:ascii="Arial Regular" w:hAnsi="Arial Regular" w:eastAsia="Arial Regular" w:cs="Arial Regular"/>
                <w:color w:val="000000"/>
                <w:sz w:val="15"/>
                <w:szCs w:val="15"/>
              </w:rPr>
              <w:t>0.01</w:t>
            </w:r>
          </w:p>
        </w:tc>
        <w:tc>
          <w:tcPr>
            <w:tcW w:w="1390" w:type="pct"/>
            <w:tcBorders>
              <w:top w:val="single" w:color="000000" w:sz="8" w:space="0"/>
              <w:bottom w:val="single" w:color="000000" w:sz="8" w:space="0"/>
            </w:tcBorders>
            <w:shd w:val="clear" w:color="auto" w:fill="D9D9D9"/>
            <w:tcMar>
              <w:top w:w="20" w:type="dxa"/>
              <w:left w:w="20" w:type="dxa"/>
              <w:right w:w="20" w:type="dxa"/>
            </w:tcMar>
            <w:vAlign w:val="center"/>
          </w:tcPr>
          <w:p w14:paraId="165D1216">
            <w:pPr>
              <w:jc w:val="center"/>
            </w:pPr>
            <w:r>
              <w:rPr>
                <w:rFonts w:hint="default" w:ascii="Arial Regular" w:hAnsi="Arial Regular" w:eastAsia="Arial Regular" w:cs="Arial Regular"/>
                <w:color w:val="000000"/>
                <w:sz w:val="15"/>
                <w:szCs w:val="15"/>
              </w:rPr>
              <w:t>0.07</w:t>
            </w:r>
          </w:p>
        </w:tc>
      </w:tr>
      <w:tr w14:paraId="43CCB97A">
        <w:trPr>
          <w:trHeight w:val="23" w:hRule="atLeast"/>
        </w:trPr>
        <w:tc>
          <w:tcPr>
            <w:tcW w:w="1682" w:type="pct"/>
            <w:tcBorders>
              <w:top w:val="single" w:color="000000" w:sz="8" w:space="0"/>
              <w:bottom w:val="single" w:color="000000" w:sz="8" w:space="0"/>
            </w:tcBorders>
            <w:shd w:val="clear" w:color="auto" w:fill="BFBFBF"/>
            <w:tcMar>
              <w:top w:w="20" w:type="dxa"/>
              <w:left w:w="20" w:type="dxa"/>
              <w:right w:w="20" w:type="dxa"/>
            </w:tcMar>
            <w:vAlign w:val="center"/>
          </w:tcPr>
          <w:p w14:paraId="6D7FD8BD">
            <w:pPr>
              <w:jc w:val="center"/>
            </w:pPr>
            <w:r>
              <w:rPr>
                <w:rFonts w:hint="default" w:ascii="Arial Regular" w:hAnsi="Arial Regular" w:eastAsia="Arial Regular" w:cs="Arial Regular"/>
                <w:color w:val="000000"/>
                <w:sz w:val="15"/>
                <w:szCs w:val="15"/>
              </w:rPr>
              <w:t>Residual</w:t>
            </w:r>
          </w:p>
        </w:tc>
        <w:tc>
          <w:tcPr>
            <w:tcW w:w="1927" w:type="pct"/>
            <w:tcBorders>
              <w:top w:val="single" w:color="000000" w:sz="8" w:space="0"/>
              <w:bottom w:val="single" w:color="000000" w:sz="8" w:space="0"/>
            </w:tcBorders>
            <w:shd w:val="clear" w:color="auto" w:fill="D9D9D9"/>
            <w:tcMar>
              <w:top w:w="20" w:type="dxa"/>
              <w:left w:w="20" w:type="dxa"/>
              <w:right w:w="20" w:type="dxa"/>
            </w:tcMar>
            <w:vAlign w:val="center"/>
          </w:tcPr>
          <w:p w14:paraId="722D3A8C">
            <w:pPr>
              <w:jc w:val="center"/>
            </w:pPr>
            <w:r>
              <w:rPr>
                <w:rFonts w:hint="default" w:ascii="Arial Regular" w:hAnsi="Arial Regular" w:eastAsia="Arial Regular" w:cs="Arial Regular"/>
                <w:color w:val="000000"/>
                <w:sz w:val="15"/>
                <w:szCs w:val="15"/>
              </w:rPr>
              <w:t>0.75</w:t>
            </w:r>
          </w:p>
        </w:tc>
        <w:tc>
          <w:tcPr>
            <w:tcW w:w="1390" w:type="pct"/>
            <w:tcBorders>
              <w:top w:val="single" w:color="000000" w:sz="8" w:space="0"/>
              <w:bottom w:val="single" w:color="000000" w:sz="8" w:space="0"/>
            </w:tcBorders>
            <w:shd w:val="clear" w:color="auto" w:fill="D9D9D9"/>
            <w:tcMar>
              <w:top w:w="20" w:type="dxa"/>
              <w:left w:w="20" w:type="dxa"/>
              <w:right w:w="20" w:type="dxa"/>
            </w:tcMar>
            <w:vAlign w:val="center"/>
          </w:tcPr>
          <w:p w14:paraId="08D90E72">
            <w:pPr>
              <w:jc w:val="center"/>
            </w:pPr>
            <w:r>
              <w:rPr>
                <w:rFonts w:hint="default" w:ascii="Arial Regular" w:hAnsi="Arial Regular" w:eastAsia="Arial Regular" w:cs="Arial Regular"/>
                <w:color w:val="000000"/>
                <w:sz w:val="15"/>
                <w:szCs w:val="15"/>
              </w:rPr>
              <w:t>0.87</w:t>
            </w:r>
          </w:p>
        </w:tc>
      </w:tr>
    </w:tbl>
    <w:p w14:paraId="257D828F">
      <w:pPr>
        <w:pStyle w:val="5"/>
        <w:keepNext w:val="0"/>
        <w:keepLines w:val="0"/>
        <w:widowControl/>
        <w:suppressLineNumbers w:val="0"/>
        <w:ind w:left="0" w:firstLine="0"/>
        <w:rPr>
          <w:rFonts w:hint="default" w:ascii="Times New Roman Regular" w:hAnsi="Times New Roman Regular" w:cs="Times New Roman Regular" w:eastAsiaTheme="minorEastAsia"/>
          <w:kern w:val="2"/>
          <w:sz w:val="18"/>
          <w:szCs w:val="18"/>
          <w:lang w:val="en-US" w:eastAsia="zh-CN" w:bidi="ar-SA"/>
        </w:rPr>
      </w:pPr>
      <w:r>
        <w:rPr>
          <w:rFonts w:hint="default" w:ascii="Times New Roman Regular" w:hAnsi="Times New Roman Regular" w:cs="Times New Roman Regular" w:eastAsiaTheme="minorEastAsia"/>
          <w:kern w:val="2"/>
          <w:sz w:val="18"/>
          <w:szCs w:val="18"/>
          <w:lang w:val="en-US" w:eastAsia="zh-CN" w:bidi="ar-SA"/>
        </w:rPr>
        <w:t>The primary model was fitted to 13,31</w:t>
      </w:r>
      <w:r>
        <w:rPr>
          <w:rFonts w:hint="eastAsia" w:ascii="Times New Roman Regular" w:hAnsi="Times New Roman Regular" w:cs="Times New Roman Regular"/>
          <w:kern w:val="2"/>
          <w:sz w:val="18"/>
          <w:szCs w:val="18"/>
          <w:lang w:val="en-US" w:eastAsia="zh-CN" w:bidi="ar-SA"/>
        </w:rPr>
        <w:t>0</w:t>
      </w:r>
      <w:r>
        <w:rPr>
          <w:rFonts w:hint="default" w:ascii="Times New Roman Regular" w:hAnsi="Times New Roman Regular" w:cs="Times New Roman Regular" w:eastAsiaTheme="minorEastAsia"/>
          <w:kern w:val="2"/>
          <w:sz w:val="18"/>
          <w:szCs w:val="18"/>
          <w:lang w:val="en-US" w:eastAsia="zh-CN" w:bidi="ar-SA"/>
        </w:rPr>
        <w:t xml:space="preserve"> valid trials from 87 participants and 153 faces and did not show a singular fit. Estimated correlations among participant-level random effects were 0.19 for the intercept with the peer-discrepancy slope, 0.05 for the intercept with the societal-discrepancy slope, and 0.52 between the peer- and societal-discrepancy slopes. The model used raw rating-scale discrepancies without centering or scaling, treatment coding with HC as the reference group, maximum-likelihood estimation, and an unstructured participant-level random-effects covariance.</w:t>
      </w:r>
    </w:p>
    <w:p w14:paraId="26873FCC">
      <w:pPr>
        <w:spacing w:after="120" w:line="360" w:lineRule="auto"/>
        <w:rPr>
          <w:rFonts w:ascii="Times New Roman" w:hAnsi="Times New Roman"/>
          <w:b/>
          <w:sz w:val="20"/>
          <w:szCs w:val="20"/>
        </w:rPr>
      </w:pPr>
    </w:p>
    <w:p w14:paraId="23D92699">
      <w:pPr>
        <w:spacing w:after="120" w:line="360" w:lineRule="auto"/>
        <w:rPr>
          <w:rFonts w:ascii="Times New Roman" w:hAnsi="Times New Roman"/>
          <w:b/>
          <w:sz w:val="20"/>
          <w:szCs w:val="20"/>
        </w:rPr>
      </w:pPr>
    </w:p>
    <w:p w14:paraId="64652017">
      <w:pPr>
        <w:spacing w:after="120" w:line="360" w:lineRule="auto"/>
        <w:rPr>
          <w:rFonts w:ascii="Times New Roman" w:hAnsi="Times New Roman"/>
          <w:b/>
          <w:sz w:val="20"/>
          <w:szCs w:val="20"/>
        </w:rPr>
      </w:pPr>
    </w:p>
    <w:p w14:paraId="32CA7E62">
      <w:pPr>
        <w:spacing w:after="120" w:line="360" w:lineRule="auto"/>
        <w:rPr>
          <w:rFonts w:ascii="Times New Roman" w:hAnsi="Times New Roman"/>
          <w:b/>
          <w:sz w:val="20"/>
          <w:szCs w:val="20"/>
        </w:rPr>
      </w:pPr>
    </w:p>
    <w:p w14:paraId="41FE2C6C">
      <w:pPr>
        <w:spacing w:after="120" w:line="360" w:lineRule="auto"/>
        <w:rPr>
          <w:rFonts w:ascii="Times New Roman" w:hAnsi="Times New Roman"/>
          <w:b/>
          <w:sz w:val="20"/>
          <w:szCs w:val="20"/>
        </w:rPr>
      </w:pPr>
    </w:p>
    <w:p w14:paraId="2FA775E4">
      <w:pPr>
        <w:spacing w:after="120" w:line="360" w:lineRule="auto"/>
        <w:rPr>
          <w:rFonts w:ascii="Times New Roman" w:hAnsi="Times New Roman"/>
          <w:b/>
          <w:sz w:val="20"/>
          <w:szCs w:val="20"/>
        </w:rPr>
      </w:pPr>
    </w:p>
    <w:p w14:paraId="553CF1DE">
      <w:pPr>
        <w:keepNext/>
        <w:pageBreakBefore/>
        <w:spacing w:after="0" w:line="240" w:lineRule="auto"/>
        <w:rPr>
          <w:rFonts w:ascii="Times New Roman" w:hAnsi="Times New Roman"/>
          <w:b/>
          <w:sz w:val="20"/>
          <w:szCs w:val="20"/>
        </w:rPr>
      </w:pPr>
      <w:r>
        <w:rPr>
          <w:rFonts w:ascii="Times New Roman" w:hAnsi="Times New Roman"/>
          <w:b/>
          <w:sz w:val="20"/>
          <w:szCs w:val="20"/>
        </w:rPr>
        <w:t>Supplementary Table 7 | Eight-condition estimated marginal means for source-directed updating.</w:t>
      </w:r>
    </w:p>
    <w:p w14:paraId="664A3F98">
      <w:pPr>
        <w:keepNext/>
        <w:spacing w:after="120" w:line="360" w:lineRule="auto"/>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300"/>
        <w:gridCol w:w="742"/>
        <w:gridCol w:w="1263"/>
        <w:gridCol w:w="1138"/>
        <w:gridCol w:w="1475"/>
        <w:gridCol w:w="1521"/>
      </w:tblGrid>
      <w:tr w14:paraId="359D2AD1">
        <w:tc>
          <w:tcPr>
            <w:tcW w:w="0" w:type="auto"/>
            <w:tcMar>
              <w:top w:w="50" w:type="dxa"/>
              <w:left w:w="50" w:type="dxa"/>
              <w:bottom w:w="50" w:type="dxa"/>
              <w:right w:w="50" w:type="dxa"/>
            </w:tcMar>
          </w:tcPr>
          <w:p w14:paraId="19E6E720">
            <w:pPr>
              <w:jc w:val="center"/>
            </w:pPr>
            <w:r>
              <w:rPr>
                <w:rFonts w:ascii="Times New Roman" w:hAnsi="Times New Roman"/>
                <w:b/>
                <w:sz w:val="15"/>
                <w:szCs w:val="15"/>
              </w:rPr>
              <w:t>Outcome</w:t>
            </w:r>
          </w:p>
        </w:tc>
        <w:tc>
          <w:tcPr>
            <w:tcW w:w="0" w:type="auto"/>
            <w:tcMar>
              <w:top w:w="50" w:type="dxa"/>
              <w:left w:w="50" w:type="dxa"/>
              <w:bottom w:w="50" w:type="dxa"/>
              <w:right w:w="50" w:type="dxa"/>
            </w:tcMar>
          </w:tcPr>
          <w:p w14:paraId="02A6778D">
            <w:pPr>
              <w:jc w:val="center"/>
            </w:pPr>
            <w:r>
              <w:rPr>
                <w:rFonts w:ascii="Times New Roman" w:hAnsi="Times New Roman"/>
                <w:b/>
                <w:sz w:val="15"/>
                <w:szCs w:val="15"/>
              </w:rPr>
              <w:t>Condition</w:t>
            </w:r>
          </w:p>
        </w:tc>
        <w:tc>
          <w:tcPr>
            <w:tcW w:w="0" w:type="auto"/>
            <w:tcMar>
              <w:top w:w="50" w:type="dxa"/>
              <w:left w:w="50" w:type="dxa"/>
              <w:bottom w:w="50" w:type="dxa"/>
              <w:right w:w="50" w:type="dxa"/>
            </w:tcMar>
          </w:tcPr>
          <w:p w14:paraId="68B61A0C">
            <w:pPr>
              <w:jc w:val="center"/>
            </w:pPr>
            <w:r>
              <w:rPr>
                <w:rFonts w:ascii="Times New Roman" w:hAnsi="Times New Roman"/>
                <w:b/>
                <w:sz w:val="15"/>
                <w:szCs w:val="15"/>
              </w:rPr>
              <w:t>Cue configuration</w:t>
            </w:r>
          </w:p>
        </w:tc>
        <w:tc>
          <w:tcPr>
            <w:tcW w:w="0" w:type="auto"/>
            <w:tcMar>
              <w:top w:w="50" w:type="dxa"/>
              <w:left w:w="50" w:type="dxa"/>
              <w:bottom w:w="50" w:type="dxa"/>
              <w:right w:w="50" w:type="dxa"/>
            </w:tcMar>
          </w:tcPr>
          <w:p w14:paraId="11CDC2BE">
            <w:pPr>
              <w:jc w:val="center"/>
            </w:pPr>
            <w:r>
              <w:rPr>
                <w:rFonts w:ascii="Times New Roman" w:hAnsi="Times New Roman"/>
                <w:b/>
                <w:sz w:val="15"/>
                <w:szCs w:val="15"/>
              </w:rPr>
              <w:t>Cue congruency</w:t>
            </w:r>
          </w:p>
        </w:tc>
        <w:tc>
          <w:tcPr>
            <w:tcW w:w="0" w:type="auto"/>
            <w:tcMar>
              <w:top w:w="50" w:type="dxa"/>
              <w:left w:w="50" w:type="dxa"/>
              <w:bottom w:w="50" w:type="dxa"/>
              <w:right w:w="50" w:type="dxa"/>
            </w:tcMar>
          </w:tcPr>
          <w:p w14:paraId="6B176508">
            <w:pPr>
              <w:jc w:val="center"/>
            </w:pPr>
            <w:r>
              <w:rPr>
                <w:rFonts w:ascii="Times New Roman" w:hAnsi="Times New Roman"/>
                <w:b/>
                <w:sz w:val="15"/>
                <w:szCs w:val="15"/>
              </w:rPr>
              <w:t>HC EMM (95% CI)</w:t>
            </w:r>
          </w:p>
        </w:tc>
        <w:tc>
          <w:tcPr>
            <w:tcW w:w="0" w:type="auto"/>
            <w:tcMar>
              <w:top w:w="50" w:type="dxa"/>
              <w:left w:w="50" w:type="dxa"/>
              <w:bottom w:w="50" w:type="dxa"/>
              <w:right w:w="50" w:type="dxa"/>
            </w:tcMar>
          </w:tcPr>
          <w:p w14:paraId="0A1415A0">
            <w:pPr>
              <w:jc w:val="center"/>
            </w:pPr>
            <w:r>
              <w:rPr>
                <w:rFonts w:ascii="Times New Roman" w:hAnsi="Times New Roman"/>
                <w:b/>
                <w:sz w:val="15"/>
                <w:szCs w:val="15"/>
              </w:rPr>
              <w:t>MUD EMM (95% CI)</w:t>
            </w:r>
          </w:p>
        </w:tc>
      </w:tr>
      <w:tr w14:paraId="3B6F7E7C">
        <w:tc>
          <w:tcPr>
            <w:tcW w:w="0" w:type="auto"/>
            <w:tcMar>
              <w:top w:w="50" w:type="dxa"/>
              <w:left w:w="50" w:type="dxa"/>
              <w:bottom w:w="50" w:type="dxa"/>
              <w:right w:w="50" w:type="dxa"/>
            </w:tcMar>
          </w:tcPr>
          <w:p w14:paraId="57181957">
            <w:pPr>
              <w:jc w:val="center"/>
            </w:pPr>
            <w:r>
              <w:rPr>
                <w:rFonts w:ascii="Times New Roman" w:hAnsi="Times New Roman"/>
                <w:sz w:val="15"/>
                <w:szCs w:val="15"/>
              </w:rPr>
              <w:t>DeltaScore_societal</w:t>
            </w:r>
          </w:p>
        </w:tc>
        <w:tc>
          <w:tcPr>
            <w:tcW w:w="0" w:type="auto"/>
            <w:tcMar>
              <w:top w:w="50" w:type="dxa"/>
              <w:left w:w="50" w:type="dxa"/>
              <w:bottom w:w="50" w:type="dxa"/>
              <w:right w:w="50" w:type="dxa"/>
            </w:tcMar>
          </w:tcPr>
          <w:p w14:paraId="06C1E508">
            <w:pPr>
              <w:jc w:val="center"/>
            </w:pPr>
            <w:r>
              <w:rPr>
                <w:rFonts w:ascii="Times New Roman" w:hAnsi="Times New Roman"/>
                <w:sz w:val="15"/>
                <w:szCs w:val="15"/>
              </w:rPr>
              <w:t>1</w:t>
            </w:r>
          </w:p>
        </w:tc>
        <w:tc>
          <w:tcPr>
            <w:tcW w:w="0" w:type="auto"/>
            <w:tcMar>
              <w:top w:w="50" w:type="dxa"/>
              <w:left w:w="50" w:type="dxa"/>
              <w:bottom w:w="50" w:type="dxa"/>
              <w:right w:w="50" w:type="dxa"/>
            </w:tcMar>
          </w:tcPr>
          <w:p w14:paraId="45F9250D">
            <w:pPr>
              <w:jc w:val="center"/>
            </w:pPr>
            <w:r>
              <w:rPr>
                <w:rFonts w:ascii="Times New Roman" w:hAnsi="Times New Roman"/>
                <w:sz w:val="15"/>
                <w:szCs w:val="15"/>
              </w:rPr>
              <w:t>dual-source</w:t>
            </w:r>
          </w:p>
        </w:tc>
        <w:tc>
          <w:tcPr>
            <w:tcW w:w="0" w:type="auto"/>
            <w:tcMar>
              <w:top w:w="50" w:type="dxa"/>
              <w:left w:w="50" w:type="dxa"/>
              <w:bottom w:w="50" w:type="dxa"/>
              <w:right w:w="50" w:type="dxa"/>
            </w:tcMar>
          </w:tcPr>
          <w:p w14:paraId="635500D4">
            <w:pPr>
              <w:jc w:val="center"/>
            </w:pPr>
            <w:r>
              <w:rPr>
                <w:rFonts w:ascii="Times New Roman" w:hAnsi="Times New Roman"/>
                <w:sz w:val="15"/>
                <w:szCs w:val="15"/>
              </w:rPr>
              <w:t>congruent</w:t>
            </w:r>
          </w:p>
        </w:tc>
        <w:tc>
          <w:tcPr>
            <w:tcW w:w="0" w:type="auto"/>
            <w:tcMar>
              <w:top w:w="50" w:type="dxa"/>
              <w:left w:w="50" w:type="dxa"/>
              <w:bottom w:w="50" w:type="dxa"/>
              <w:right w:w="50" w:type="dxa"/>
            </w:tcMar>
          </w:tcPr>
          <w:p w14:paraId="4EA1FC27">
            <w:pPr>
              <w:jc w:val="center"/>
            </w:pPr>
            <w:r>
              <w:rPr>
                <w:rFonts w:ascii="Times New Roman" w:hAnsi="Times New Roman"/>
                <w:sz w:val="15"/>
                <w:szCs w:val="15"/>
              </w:rPr>
              <w:t>-0.119 [-0.139, -0.099]</w:t>
            </w:r>
          </w:p>
        </w:tc>
        <w:tc>
          <w:tcPr>
            <w:tcW w:w="0" w:type="auto"/>
            <w:tcMar>
              <w:top w:w="50" w:type="dxa"/>
              <w:left w:w="50" w:type="dxa"/>
              <w:bottom w:w="50" w:type="dxa"/>
              <w:right w:w="50" w:type="dxa"/>
            </w:tcMar>
          </w:tcPr>
          <w:p w14:paraId="26F910A1">
            <w:pPr>
              <w:jc w:val="center"/>
            </w:pPr>
            <w:r>
              <w:rPr>
                <w:rFonts w:ascii="Times New Roman" w:hAnsi="Times New Roman"/>
                <w:sz w:val="15"/>
                <w:szCs w:val="15"/>
              </w:rPr>
              <w:t>-0.069 [-0.091, -0.046]</w:t>
            </w:r>
          </w:p>
        </w:tc>
      </w:tr>
      <w:tr w14:paraId="0F86F65A">
        <w:tc>
          <w:tcPr>
            <w:tcW w:w="0" w:type="auto"/>
            <w:tcMar>
              <w:top w:w="50" w:type="dxa"/>
              <w:left w:w="50" w:type="dxa"/>
              <w:bottom w:w="50" w:type="dxa"/>
              <w:right w:w="50" w:type="dxa"/>
            </w:tcMar>
          </w:tcPr>
          <w:p w14:paraId="722B5261">
            <w:pPr>
              <w:jc w:val="center"/>
            </w:pPr>
            <w:r>
              <w:rPr>
                <w:rFonts w:ascii="Times New Roman" w:hAnsi="Times New Roman"/>
                <w:sz w:val="15"/>
                <w:szCs w:val="15"/>
              </w:rPr>
              <w:t>DeltaScore_societal</w:t>
            </w:r>
          </w:p>
        </w:tc>
        <w:tc>
          <w:tcPr>
            <w:tcW w:w="0" w:type="auto"/>
            <w:tcMar>
              <w:top w:w="50" w:type="dxa"/>
              <w:left w:w="50" w:type="dxa"/>
              <w:bottom w:w="50" w:type="dxa"/>
              <w:right w:w="50" w:type="dxa"/>
            </w:tcMar>
          </w:tcPr>
          <w:p w14:paraId="71E6DC07">
            <w:pPr>
              <w:jc w:val="center"/>
            </w:pPr>
            <w:r>
              <w:rPr>
                <w:rFonts w:ascii="Times New Roman" w:hAnsi="Times New Roman"/>
                <w:sz w:val="15"/>
                <w:szCs w:val="15"/>
              </w:rPr>
              <w:t>2</w:t>
            </w:r>
          </w:p>
        </w:tc>
        <w:tc>
          <w:tcPr>
            <w:tcW w:w="0" w:type="auto"/>
            <w:tcMar>
              <w:top w:w="50" w:type="dxa"/>
              <w:left w:w="50" w:type="dxa"/>
              <w:bottom w:w="50" w:type="dxa"/>
              <w:right w:w="50" w:type="dxa"/>
            </w:tcMar>
          </w:tcPr>
          <w:p w14:paraId="2391B99E">
            <w:pPr>
              <w:jc w:val="center"/>
              <w:rPr>
                <w:rFonts w:hint="default"/>
                <w:lang w:val="en-US"/>
              </w:rPr>
            </w:pPr>
            <w:r>
              <w:rPr>
                <w:rFonts w:hint="eastAsia" w:ascii="Times New Roman" w:hAnsi="Times New Roman"/>
                <w:sz w:val="15"/>
                <w:szCs w:val="15"/>
                <w:lang w:val="en-US" w:eastAsia="zh-CN"/>
              </w:rPr>
              <w:t>p</w:t>
            </w:r>
            <w:r>
              <w:rPr>
                <w:rFonts w:ascii="Times New Roman" w:hAnsi="Times New Roman"/>
                <w:sz w:val="15"/>
                <w:szCs w:val="15"/>
                <w:lang w:val="en-US"/>
              </w:rPr>
              <w:t>eer-aligned</w:t>
            </w:r>
          </w:p>
        </w:tc>
        <w:tc>
          <w:tcPr>
            <w:tcW w:w="0" w:type="auto"/>
            <w:tcMar>
              <w:top w:w="50" w:type="dxa"/>
              <w:left w:w="50" w:type="dxa"/>
              <w:bottom w:w="50" w:type="dxa"/>
              <w:right w:w="50" w:type="dxa"/>
            </w:tcMar>
          </w:tcPr>
          <w:p w14:paraId="2D17D4E3">
            <w:pPr>
              <w:jc w:val="center"/>
            </w:pPr>
            <w:r>
              <w:rPr>
                <w:rFonts w:ascii="Times New Roman" w:hAnsi="Times New Roman"/>
                <w:sz w:val="15"/>
                <w:szCs w:val="15"/>
              </w:rPr>
              <w:t>congruent</w:t>
            </w:r>
          </w:p>
        </w:tc>
        <w:tc>
          <w:tcPr>
            <w:tcW w:w="0" w:type="auto"/>
            <w:tcMar>
              <w:top w:w="50" w:type="dxa"/>
              <w:left w:w="50" w:type="dxa"/>
              <w:bottom w:w="50" w:type="dxa"/>
              <w:right w:w="50" w:type="dxa"/>
            </w:tcMar>
          </w:tcPr>
          <w:p w14:paraId="3887CBD2">
            <w:pPr>
              <w:jc w:val="center"/>
            </w:pPr>
            <w:r>
              <w:rPr>
                <w:rFonts w:ascii="Times New Roman" w:hAnsi="Times New Roman"/>
                <w:sz w:val="15"/>
                <w:szCs w:val="15"/>
              </w:rPr>
              <w:t>0.034 [0.018, 0.049]</w:t>
            </w:r>
          </w:p>
        </w:tc>
        <w:tc>
          <w:tcPr>
            <w:tcW w:w="0" w:type="auto"/>
            <w:tcMar>
              <w:top w:w="50" w:type="dxa"/>
              <w:left w:w="50" w:type="dxa"/>
              <w:bottom w:w="50" w:type="dxa"/>
              <w:right w:w="50" w:type="dxa"/>
            </w:tcMar>
          </w:tcPr>
          <w:p w14:paraId="559BE8D7">
            <w:pPr>
              <w:jc w:val="center"/>
            </w:pPr>
            <w:r>
              <w:rPr>
                <w:rFonts w:ascii="Times New Roman" w:hAnsi="Times New Roman"/>
                <w:sz w:val="15"/>
                <w:szCs w:val="15"/>
              </w:rPr>
              <w:t>0.015 [-0.003, 0.032]</w:t>
            </w:r>
          </w:p>
        </w:tc>
      </w:tr>
      <w:tr w14:paraId="277E581A">
        <w:tc>
          <w:tcPr>
            <w:tcW w:w="0" w:type="auto"/>
            <w:tcMar>
              <w:top w:w="50" w:type="dxa"/>
              <w:left w:w="50" w:type="dxa"/>
              <w:bottom w:w="50" w:type="dxa"/>
              <w:right w:w="50" w:type="dxa"/>
            </w:tcMar>
          </w:tcPr>
          <w:p w14:paraId="4BB6F2EF">
            <w:pPr>
              <w:jc w:val="center"/>
            </w:pPr>
            <w:r>
              <w:rPr>
                <w:rFonts w:ascii="Times New Roman" w:hAnsi="Times New Roman"/>
                <w:sz w:val="15"/>
                <w:szCs w:val="15"/>
              </w:rPr>
              <w:t>DeltaScore_societal</w:t>
            </w:r>
          </w:p>
        </w:tc>
        <w:tc>
          <w:tcPr>
            <w:tcW w:w="0" w:type="auto"/>
            <w:tcMar>
              <w:top w:w="50" w:type="dxa"/>
              <w:left w:w="50" w:type="dxa"/>
              <w:bottom w:w="50" w:type="dxa"/>
              <w:right w:w="50" w:type="dxa"/>
            </w:tcMar>
          </w:tcPr>
          <w:p w14:paraId="22A8284B">
            <w:pPr>
              <w:jc w:val="center"/>
            </w:pPr>
            <w:r>
              <w:rPr>
                <w:rFonts w:ascii="Times New Roman" w:hAnsi="Times New Roman"/>
                <w:sz w:val="15"/>
                <w:szCs w:val="15"/>
              </w:rPr>
              <w:t>3</w:t>
            </w:r>
          </w:p>
        </w:tc>
        <w:tc>
          <w:tcPr>
            <w:tcW w:w="0" w:type="auto"/>
            <w:tcMar>
              <w:top w:w="50" w:type="dxa"/>
              <w:left w:w="50" w:type="dxa"/>
              <w:bottom w:w="50" w:type="dxa"/>
              <w:right w:w="50" w:type="dxa"/>
            </w:tcMar>
          </w:tcPr>
          <w:p w14:paraId="39DFC7DC">
            <w:pPr>
              <w:jc w:val="center"/>
              <w:rPr>
                <w:rFonts w:hint="default"/>
                <w:lang w:val="en-US"/>
              </w:rPr>
            </w:pPr>
            <w:r>
              <w:rPr>
                <w:rFonts w:ascii="Times New Roman" w:hAnsi="Times New Roman"/>
                <w:sz w:val="15"/>
                <w:szCs w:val="15"/>
              </w:rPr>
              <w:t>societal-</w:t>
            </w:r>
            <w:r>
              <w:rPr>
                <w:rFonts w:hint="default" w:ascii="Times New Roman" w:hAnsi="Times New Roman"/>
                <w:sz w:val="15"/>
                <w:szCs w:val="15"/>
                <w:lang w:val="en-US"/>
              </w:rPr>
              <w:t>aligned</w:t>
            </w:r>
          </w:p>
        </w:tc>
        <w:tc>
          <w:tcPr>
            <w:tcW w:w="0" w:type="auto"/>
            <w:tcMar>
              <w:top w:w="50" w:type="dxa"/>
              <w:left w:w="50" w:type="dxa"/>
              <w:bottom w:w="50" w:type="dxa"/>
              <w:right w:w="50" w:type="dxa"/>
            </w:tcMar>
          </w:tcPr>
          <w:p w14:paraId="73BDCA58">
            <w:pPr>
              <w:jc w:val="center"/>
            </w:pPr>
            <w:r>
              <w:rPr>
                <w:rFonts w:ascii="Times New Roman" w:hAnsi="Times New Roman"/>
                <w:sz w:val="15"/>
                <w:szCs w:val="15"/>
              </w:rPr>
              <w:t>congruent</w:t>
            </w:r>
          </w:p>
        </w:tc>
        <w:tc>
          <w:tcPr>
            <w:tcW w:w="0" w:type="auto"/>
            <w:tcMar>
              <w:top w:w="50" w:type="dxa"/>
              <w:left w:w="50" w:type="dxa"/>
              <w:bottom w:w="50" w:type="dxa"/>
              <w:right w:w="50" w:type="dxa"/>
            </w:tcMar>
          </w:tcPr>
          <w:p w14:paraId="5E1D3636">
            <w:pPr>
              <w:jc w:val="center"/>
            </w:pPr>
            <w:r>
              <w:rPr>
                <w:rFonts w:ascii="Times New Roman" w:hAnsi="Times New Roman"/>
                <w:sz w:val="15"/>
                <w:szCs w:val="15"/>
              </w:rPr>
              <w:t>-0.261 [-0.293, -0.229]</w:t>
            </w:r>
          </w:p>
        </w:tc>
        <w:tc>
          <w:tcPr>
            <w:tcW w:w="0" w:type="auto"/>
            <w:tcMar>
              <w:top w:w="50" w:type="dxa"/>
              <w:left w:w="50" w:type="dxa"/>
              <w:bottom w:w="50" w:type="dxa"/>
              <w:right w:w="50" w:type="dxa"/>
            </w:tcMar>
          </w:tcPr>
          <w:p w14:paraId="774B2133">
            <w:pPr>
              <w:jc w:val="center"/>
            </w:pPr>
            <w:r>
              <w:rPr>
                <w:rFonts w:ascii="Times New Roman" w:hAnsi="Times New Roman"/>
                <w:sz w:val="15"/>
                <w:szCs w:val="15"/>
              </w:rPr>
              <w:t>-0.097 [-0.133, -0.060]</w:t>
            </w:r>
          </w:p>
        </w:tc>
      </w:tr>
      <w:tr w14:paraId="59079143">
        <w:tc>
          <w:tcPr>
            <w:tcW w:w="0" w:type="auto"/>
            <w:tcMar>
              <w:top w:w="50" w:type="dxa"/>
              <w:left w:w="50" w:type="dxa"/>
              <w:bottom w:w="50" w:type="dxa"/>
              <w:right w:w="50" w:type="dxa"/>
            </w:tcMar>
          </w:tcPr>
          <w:p w14:paraId="060FD65D">
            <w:pPr>
              <w:jc w:val="center"/>
            </w:pPr>
            <w:r>
              <w:rPr>
                <w:rFonts w:ascii="Times New Roman" w:hAnsi="Times New Roman"/>
                <w:sz w:val="15"/>
                <w:szCs w:val="15"/>
              </w:rPr>
              <w:t>DeltaScore_societal</w:t>
            </w:r>
          </w:p>
        </w:tc>
        <w:tc>
          <w:tcPr>
            <w:tcW w:w="0" w:type="auto"/>
            <w:tcMar>
              <w:top w:w="50" w:type="dxa"/>
              <w:left w:w="50" w:type="dxa"/>
              <w:bottom w:w="50" w:type="dxa"/>
              <w:right w:w="50" w:type="dxa"/>
            </w:tcMar>
          </w:tcPr>
          <w:p w14:paraId="30376292">
            <w:pPr>
              <w:jc w:val="center"/>
            </w:pPr>
            <w:r>
              <w:rPr>
                <w:rFonts w:ascii="Times New Roman" w:hAnsi="Times New Roman"/>
                <w:sz w:val="15"/>
                <w:szCs w:val="15"/>
              </w:rPr>
              <w:t>4</w:t>
            </w:r>
          </w:p>
        </w:tc>
        <w:tc>
          <w:tcPr>
            <w:tcW w:w="0" w:type="auto"/>
            <w:tcMar>
              <w:top w:w="50" w:type="dxa"/>
              <w:left w:w="50" w:type="dxa"/>
              <w:bottom w:w="50" w:type="dxa"/>
              <w:right w:w="50" w:type="dxa"/>
            </w:tcMar>
          </w:tcPr>
          <w:p w14:paraId="60020E93">
            <w:pPr>
              <w:jc w:val="center"/>
            </w:pPr>
            <w:r>
              <w:rPr>
                <w:rFonts w:ascii="Times New Roman" w:hAnsi="Times New Roman"/>
                <w:sz w:val="15"/>
                <w:szCs w:val="15"/>
              </w:rPr>
              <w:t>dual-source</w:t>
            </w:r>
          </w:p>
        </w:tc>
        <w:tc>
          <w:tcPr>
            <w:tcW w:w="0" w:type="auto"/>
            <w:tcMar>
              <w:top w:w="50" w:type="dxa"/>
              <w:left w:w="50" w:type="dxa"/>
              <w:bottom w:w="50" w:type="dxa"/>
              <w:right w:w="50" w:type="dxa"/>
            </w:tcMar>
          </w:tcPr>
          <w:p w14:paraId="1CD3043E">
            <w:pPr>
              <w:jc w:val="center"/>
            </w:pPr>
            <w:r>
              <w:rPr>
                <w:rFonts w:ascii="Times New Roman" w:hAnsi="Times New Roman"/>
                <w:sz w:val="15"/>
                <w:szCs w:val="15"/>
              </w:rPr>
              <w:t>conflict</w:t>
            </w:r>
          </w:p>
        </w:tc>
        <w:tc>
          <w:tcPr>
            <w:tcW w:w="0" w:type="auto"/>
            <w:tcMar>
              <w:top w:w="50" w:type="dxa"/>
              <w:left w:w="50" w:type="dxa"/>
              <w:bottom w:w="50" w:type="dxa"/>
              <w:right w:w="50" w:type="dxa"/>
            </w:tcMar>
          </w:tcPr>
          <w:p w14:paraId="6AA8CD21">
            <w:pPr>
              <w:jc w:val="center"/>
            </w:pPr>
            <w:r>
              <w:rPr>
                <w:rFonts w:ascii="Times New Roman" w:hAnsi="Times New Roman"/>
                <w:sz w:val="15"/>
                <w:szCs w:val="15"/>
              </w:rPr>
              <w:t>0.128 [0.108, 0.148]</w:t>
            </w:r>
          </w:p>
        </w:tc>
        <w:tc>
          <w:tcPr>
            <w:tcW w:w="0" w:type="auto"/>
            <w:tcMar>
              <w:top w:w="50" w:type="dxa"/>
              <w:left w:w="50" w:type="dxa"/>
              <w:bottom w:w="50" w:type="dxa"/>
              <w:right w:w="50" w:type="dxa"/>
            </w:tcMar>
          </w:tcPr>
          <w:p w14:paraId="1CA6D51D">
            <w:pPr>
              <w:jc w:val="center"/>
            </w:pPr>
            <w:r>
              <w:rPr>
                <w:rFonts w:ascii="Times New Roman" w:hAnsi="Times New Roman"/>
                <w:sz w:val="15"/>
                <w:szCs w:val="15"/>
              </w:rPr>
              <w:t>0.046 [0.023, 0.069]</w:t>
            </w:r>
          </w:p>
        </w:tc>
      </w:tr>
      <w:tr w14:paraId="536D4A99">
        <w:tc>
          <w:tcPr>
            <w:tcW w:w="0" w:type="auto"/>
            <w:tcMar>
              <w:top w:w="50" w:type="dxa"/>
              <w:left w:w="50" w:type="dxa"/>
              <w:bottom w:w="50" w:type="dxa"/>
              <w:right w:w="50" w:type="dxa"/>
            </w:tcMar>
          </w:tcPr>
          <w:p w14:paraId="00C182C8">
            <w:pPr>
              <w:jc w:val="center"/>
            </w:pPr>
            <w:r>
              <w:rPr>
                <w:rFonts w:ascii="Times New Roman" w:hAnsi="Times New Roman"/>
                <w:sz w:val="15"/>
                <w:szCs w:val="15"/>
              </w:rPr>
              <w:t>DeltaScore_societal</w:t>
            </w:r>
          </w:p>
        </w:tc>
        <w:tc>
          <w:tcPr>
            <w:tcW w:w="0" w:type="auto"/>
            <w:tcMar>
              <w:top w:w="50" w:type="dxa"/>
              <w:left w:w="50" w:type="dxa"/>
              <w:bottom w:w="50" w:type="dxa"/>
              <w:right w:w="50" w:type="dxa"/>
            </w:tcMar>
          </w:tcPr>
          <w:p w14:paraId="0AD1F03B">
            <w:pPr>
              <w:jc w:val="center"/>
            </w:pPr>
            <w:r>
              <w:rPr>
                <w:rFonts w:ascii="Times New Roman" w:hAnsi="Times New Roman"/>
                <w:sz w:val="15"/>
                <w:szCs w:val="15"/>
              </w:rPr>
              <w:t>5</w:t>
            </w:r>
          </w:p>
        </w:tc>
        <w:tc>
          <w:tcPr>
            <w:tcW w:w="0" w:type="auto"/>
            <w:tcMar>
              <w:top w:w="50" w:type="dxa"/>
              <w:left w:w="50" w:type="dxa"/>
              <w:bottom w:w="50" w:type="dxa"/>
              <w:right w:w="50" w:type="dxa"/>
            </w:tcMar>
          </w:tcPr>
          <w:p w14:paraId="505D7968">
            <w:pPr>
              <w:jc w:val="center"/>
            </w:pPr>
            <w:r>
              <w:rPr>
                <w:rFonts w:ascii="Times New Roman" w:hAnsi="Times New Roman"/>
                <w:sz w:val="15"/>
                <w:szCs w:val="15"/>
              </w:rPr>
              <w:t>dual-source</w:t>
            </w:r>
          </w:p>
        </w:tc>
        <w:tc>
          <w:tcPr>
            <w:tcW w:w="0" w:type="auto"/>
            <w:tcMar>
              <w:top w:w="50" w:type="dxa"/>
              <w:left w:w="50" w:type="dxa"/>
              <w:bottom w:w="50" w:type="dxa"/>
              <w:right w:w="50" w:type="dxa"/>
            </w:tcMar>
          </w:tcPr>
          <w:p w14:paraId="05797A96">
            <w:pPr>
              <w:jc w:val="center"/>
            </w:pPr>
            <w:r>
              <w:rPr>
                <w:rFonts w:ascii="Times New Roman" w:hAnsi="Times New Roman"/>
                <w:sz w:val="15"/>
                <w:szCs w:val="15"/>
              </w:rPr>
              <w:t>conflict</w:t>
            </w:r>
          </w:p>
        </w:tc>
        <w:tc>
          <w:tcPr>
            <w:tcW w:w="0" w:type="auto"/>
            <w:tcMar>
              <w:top w:w="50" w:type="dxa"/>
              <w:left w:w="50" w:type="dxa"/>
              <w:bottom w:w="50" w:type="dxa"/>
              <w:right w:w="50" w:type="dxa"/>
            </w:tcMar>
          </w:tcPr>
          <w:p w14:paraId="4F80327F">
            <w:pPr>
              <w:jc w:val="center"/>
            </w:pPr>
            <w:r>
              <w:rPr>
                <w:rFonts w:ascii="Times New Roman" w:hAnsi="Times New Roman"/>
                <w:sz w:val="15"/>
                <w:szCs w:val="15"/>
              </w:rPr>
              <w:t>0.046 [0.027, 0.065]</w:t>
            </w:r>
          </w:p>
        </w:tc>
        <w:tc>
          <w:tcPr>
            <w:tcW w:w="0" w:type="auto"/>
            <w:tcMar>
              <w:top w:w="50" w:type="dxa"/>
              <w:left w:w="50" w:type="dxa"/>
              <w:bottom w:w="50" w:type="dxa"/>
              <w:right w:w="50" w:type="dxa"/>
            </w:tcMar>
          </w:tcPr>
          <w:p w14:paraId="1AA2B49D">
            <w:pPr>
              <w:jc w:val="center"/>
            </w:pPr>
            <w:r>
              <w:rPr>
                <w:rFonts w:ascii="Times New Roman" w:hAnsi="Times New Roman"/>
                <w:sz w:val="15"/>
                <w:szCs w:val="15"/>
              </w:rPr>
              <w:t>0.014 [-0.007, 0.036]</w:t>
            </w:r>
          </w:p>
        </w:tc>
      </w:tr>
      <w:tr w14:paraId="4A0B581F">
        <w:tc>
          <w:tcPr>
            <w:tcW w:w="0" w:type="auto"/>
            <w:tcMar>
              <w:top w:w="50" w:type="dxa"/>
              <w:left w:w="50" w:type="dxa"/>
              <w:bottom w:w="50" w:type="dxa"/>
              <w:right w:w="50" w:type="dxa"/>
            </w:tcMar>
          </w:tcPr>
          <w:p w14:paraId="1BAC82B5">
            <w:pPr>
              <w:jc w:val="center"/>
            </w:pPr>
            <w:r>
              <w:rPr>
                <w:rFonts w:ascii="Times New Roman" w:hAnsi="Times New Roman"/>
                <w:sz w:val="15"/>
                <w:szCs w:val="15"/>
              </w:rPr>
              <w:t>DeltaScore_societal</w:t>
            </w:r>
          </w:p>
        </w:tc>
        <w:tc>
          <w:tcPr>
            <w:tcW w:w="0" w:type="auto"/>
            <w:tcMar>
              <w:top w:w="50" w:type="dxa"/>
              <w:left w:w="50" w:type="dxa"/>
              <w:bottom w:w="50" w:type="dxa"/>
              <w:right w:w="50" w:type="dxa"/>
            </w:tcMar>
          </w:tcPr>
          <w:p w14:paraId="0CFB6EF4">
            <w:pPr>
              <w:jc w:val="center"/>
            </w:pPr>
            <w:r>
              <w:rPr>
                <w:rFonts w:ascii="Times New Roman" w:hAnsi="Times New Roman"/>
                <w:sz w:val="15"/>
                <w:szCs w:val="15"/>
              </w:rPr>
              <w:t>6</w:t>
            </w:r>
          </w:p>
        </w:tc>
        <w:tc>
          <w:tcPr>
            <w:tcW w:w="0" w:type="auto"/>
            <w:tcMar>
              <w:top w:w="50" w:type="dxa"/>
              <w:left w:w="50" w:type="dxa"/>
              <w:bottom w:w="50" w:type="dxa"/>
              <w:right w:w="50" w:type="dxa"/>
            </w:tcMar>
          </w:tcPr>
          <w:p w14:paraId="301BCAD4">
            <w:pPr>
              <w:jc w:val="center"/>
            </w:pPr>
            <w:r>
              <w:rPr>
                <w:rFonts w:ascii="Times New Roman" w:hAnsi="Times New Roman"/>
                <w:sz w:val="15"/>
                <w:szCs w:val="15"/>
              </w:rPr>
              <w:t>dual-source</w:t>
            </w:r>
          </w:p>
        </w:tc>
        <w:tc>
          <w:tcPr>
            <w:tcW w:w="0" w:type="auto"/>
            <w:tcMar>
              <w:top w:w="50" w:type="dxa"/>
              <w:left w:w="50" w:type="dxa"/>
              <w:bottom w:w="50" w:type="dxa"/>
              <w:right w:w="50" w:type="dxa"/>
            </w:tcMar>
          </w:tcPr>
          <w:p w14:paraId="032A4B14">
            <w:pPr>
              <w:jc w:val="center"/>
            </w:pPr>
            <w:r>
              <w:rPr>
                <w:rFonts w:ascii="Times New Roman" w:hAnsi="Times New Roman"/>
                <w:sz w:val="15"/>
                <w:szCs w:val="15"/>
              </w:rPr>
              <w:t>conflict</w:t>
            </w:r>
          </w:p>
        </w:tc>
        <w:tc>
          <w:tcPr>
            <w:tcW w:w="0" w:type="auto"/>
            <w:tcMar>
              <w:top w:w="50" w:type="dxa"/>
              <w:left w:w="50" w:type="dxa"/>
              <w:bottom w:w="50" w:type="dxa"/>
              <w:right w:w="50" w:type="dxa"/>
            </w:tcMar>
          </w:tcPr>
          <w:p w14:paraId="61B9CA97">
            <w:pPr>
              <w:jc w:val="center"/>
            </w:pPr>
            <w:r>
              <w:rPr>
                <w:rFonts w:ascii="Times New Roman" w:hAnsi="Times New Roman"/>
                <w:sz w:val="15"/>
                <w:szCs w:val="15"/>
              </w:rPr>
              <w:t>-0.042 [-0.062, -0.022]</w:t>
            </w:r>
          </w:p>
        </w:tc>
        <w:tc>
          <w:tcPr>
            <w:tcW w:w="0" w:type="auto"/>
            <w:tcMar>
              <w:top w:w="50" w:type="dxa"/>
              <w:left w:w="50" w:type="dxa"/>
              <w:bottom w:w="50" w:type="dxa"/>
              <w:right w:w="50" w:type="dxa"/>
            </w:tcMar>
          </w:tcPr>
          <w:p w14:paraId="3C7C7C09">
            <w:pPr>
              <w:jc w:val="center"/>
            </w:pPr>
            <w:r>
              <w:rPr>
                <w:rFonts w:ascii="Times New Roman" w:hAnsi="Times New Roman"/>
                <w:sz w:val="15"/>
                <w:szCs w:val="15"/>
              </w:rPr>
              <w:t>0.003 [-0.021, 0.026]</w:t>
            </w:r>
          </w:p>
        </w:tc>
      </w:tr>
      <w:tr w14:paraId="3BBBFCB9">
        <w:tc>
          <w:tcPr>
            <w:tcW w:w="0" w:type="auto"/>
            <w:tcMar>
              <w:top w:w="50" w:type="dxa"/>
              <w:left w:w="50" w:type="dxa"/>
              <w:bottom w:w="50" w:type="dxa"/>
              <w:right w:w="50" w:type="dxa"/>
            </w:tcMar>
          </w:tcPr>
          <w:p w14:paraId="0AC31464">
            <w:pPr>
              <w:jc w:val="center"/>
            </w:pPr>
            <w:r>
              <w:rPr>
                <w:rFonts w:ascii="Times New Roman" w:hAnsi="Times New Roman"/>
                <w:sz w:val="15"/>
                <w:szCs w:val="15"/>
              </w:rPr>
              <w:t>DeltaScore_societal</w:t>
            </w:r>
          </w:p>
        </w:tc>
        <w:tc>
          <w:tcPr>
            <w:tcW w:w="0" w:type="auto"/>
            <w:tcMar>
              <w:top w:w="50" w:type="dxa"/>
              <w:left w:w="50" w:type="dxa"/>
              <w:bottom w:w="50" w:type="dxa"/>
              <w:right w:w="50" w:type="dxa"/>
            </w:tcMar>
          </w:tcPr>
          <w:p w14:paraId="6AE3D6C4">
            <w:pPr>
              <w:jc w:val="center"/>
            </w:pPr>
            <w:r>
              <w:rPr>
                <w:rFonts w:ascii="Times New Roman" w:hAnsi="Times New Roman"/>
                <w:sz w:val="15"/>
                <w:szCs w:val="15"/>
              </w:rPr>
              <w:t>7</w:t>
            </w:r>
          </w:p>
        </w:tc>
        <w:tc>
          <w:tcPr>
            <w:tcW w:w="0" w:type="auto"/>
            <w:tcMar>
              <w:top w:w="50" w:type="dxa"/>
              <w:left w:w="50" w:type="dxa"/>
              <w:bottom w:w="50" w:type="dxa"/>
              <w:right w:w="50" w:type="dxa"/>
            </w:tcMar>
          </w:tcPr>
          <w:p w14:paraId="6F45CA08">
            <w:pPr>
              <w:jc w:val="center"/>
            </w:pPr>
            <w:r>
              <w:rPr>
                <w:rFonts w:ascii="Times New Roman" w:hAnsi="Times New Roman"/>
                <w:sz w:val="15"/>
                <w:szCs w:val="15"/>
              </w:rPr>
              <w:t>peer-dominant</w:t>
            </w:r>
          </w:p>
        </w:tc>
        <w:tc>
          <w:tcPr>
            <w:tcW w:w="0" w:type="auto"/>
            <w:tcMar>
              <w:top w:w="50" w:type="dxa"/>
              <w:left w:w="50" w:type="dxa"/>
              <w:bottom w:w="50" w:type="dxa"/>
              <w:right w:w="50" w:type="dxa"/>
            </w:tcMar>
          </w:tcPr>
          <w:p w14:paraId="14CDFB1F">
            <w:pPr>
              <w:jc w:val="center"/>
            </w:pPr>
            <w:r>
              <w:rPr>
                <w:rFonts w:ascii="Times New Roman" w:hAnsi="Times New Roman"/>
                <w:sz w:val="15"/>
                <w:szCs w:val="15"/>
              </w:rPr>
              <w:t>conflict</w:t>
            </w:r>
          </w:p>
        </w:tc>
        <w:tc>
          <w:tcPr>
            <w:tcW w:w="0" w:type="auto"/>
            <w:tcMar>
              <w:top w:w="50" w:type="dxa"/>
              <w:left w:w="50" w:type="dxa"/>
              <w:bottom w:w="50" w:type="dxa"/>
              <w:right w:w="50" w:type="dxa"/>
            </w:tcMar>
          </w:tcPr>
          <w:p w14:paraId="382C6594">
            <w:pPr>
              <w:jc w:val="center"/>
            </w:pPr>
            <w:r>
              <w:rPr>
                <w:rFonts w:ascii="Times New Roman" w:hAnsi="Times New Roman"/>
                <w:sz w:val="15"/>
                <w:szCs w:val="15"/>
              </w:rPr>
              <w:t>-0.069 [-0.087, -0.051]</w:t>
            </w:r>
          </w:p>
        </w:tc>
        <w:tc>
          <w:tcPr>
            <w:tcW w:w="0" w:type="auto"/>
            <w:tcMar>
              <w:top w:w="50" w:type="dxa"/>
              <w:left w:w="50" w:type="dxa"/>
              <w:bottom w:w="50" w:type="dxa"/>
              <w:right w:w="50" w:type="dxa"/>
            </w:tcMar>
          </w:tcPr>
          <w:p w14:paraId="2D0C8D6D">
            <w:pPr>
              <w:jc w:val="center"/>
            </w:pPr>
            <w:r>
              <w:rPr>
                <w:rFonts w:ascii="Times New Roman" w:hAnsi="Times New Roman"/>
                <w:sz w:val="15"/>
                <w:szCs w:val="15"/>
              </w:rPr>
              <w:t>-0.011 [-0.032, 0.010]</w:t>
            </w:r>
          </w:p>
        </w:tc>
      </w:tr>
      <w:tr w14:paraId="24ABB074">
        <w:tc>
          <w:tcPr>
            <w:tcW w:w="0" w:type="auto"/>
            <w:tcMar>
              <w:top w:w="50" w:type="dxa"/>
              <w:left w:w="50" w:type="dxa"/>
              <w:bottom w:w="50" w:type="dxa"/>
              <w:right w:w="50" w:type="dxa"/>
            </w:tcMar>
          </w:tcPr>
          <w:p w14:paraId="730EC8BF">
            <w:pPr>
              <w:jc w:val="center"/>
            </w:pPr>
            <w:r>
              <w:rPr>
                <w:rFonts w:ascii="Times New Roman" w:hAnsi="Times New Roman"/>
                <w:sz w:val="15"/>
                <w:szCs w:val="15"/>
              </w:rPr>
              <w:t>DeltaScore_societal</w:t>
            </w:r>
          </w:p>
        </w:tc>
        <w:tc>
          <w:tcPr>
            <w:tcW w:w="0" w:type="auto"/>
            <w:tcMar>
              <w:top w:w="50" w:type="dxa"/>
              <w:left w:w="50" w:type="dxa"/>
              <w:bottom w:w="50" w:type="dxa"/>
              <w:right w:w="50" w:type="dxa"/>
            </w:tcMar>
          </w:tcPr>
          <w:p w14:paraId="51BAE2F7">
            <w:pPr>
              <w:jc w:val="center"/>
            </w:pPr>
            <w:r>
              <w:rPr>
                <w:rFonts w:ascii="Times New Roman" w:hAnsi="Times New Roman"/>
                <w:sz w:val="15"/>
                <w:szCs w:val="15"/>
              </w:rPr>
              <w:t>8</w:t>
            </w:r>
          </w:p>
        </w:tc>
        <w:tc>
          <w:tcPr>
            <w:tcW w:w="0" w:type="auto"/>
            <w:tcMar>
              <w:top w:w="50" w:type="dxa"/>
              <w:left w:w="50" w:type="dxa"/>
              <w:bottom w:w="50" w:type="dxa"/>
              <w:right w:w="50" w:type="dxa"/>
            </w:tcMar>
          </w:tcPr>
          <w:p w14:paraId="407403C2">
            <w:pPr>
              <w:jc w:val="center"/>
            </w:pPr>
            <w:r>
              <w:rPr>
                <w:rFonts w:ascii="Times New Roman" w:hAnsi="Times New Roman"/>
                <w:sz w:val="15"/>
                <w:szCs w:val="15"/>
              </w:rPr>
              <w:t>societal-dominant</w:t>
            </w:r>
          </w:p>
        </w:tc>
        <w:tc>
          <w:tcPr>
            <w:tcW w:w="0" w:type="auto"/>
            <w:tcMar>
              <w:top w:w="50" w:type="dxa"/>
              <w:left w:w="50" w:type="dxa"/>
              <w:bottom w:w="50" w:type="dxa"/>
              <w:right w:w="50" w:type="dxa"/>
            </w:tcMar>
          </w:tcPr>
          <w:p w14:paraId="37C90292">
            <w:pPr>
              <w:jc w:val="center"/>
            </w:pPr>
            <w:r>
              <w:rPr>
                <w:rFonts w:ascii="Times New Roman" w:hAnsi="Times New Roman"/>
                <w:sz w:val="15"/>
                <w:szCs w:val="15"/>
              </w:rPr>
              <w:t>conflict</w:t>
            </w:r>
          </w:p>
        </w:tc>
        <w:tc>
          <w:tcPr>
            <w:tcW w:w="0" w:type="auto"/>
            <w:tcMar>
              <w:top w:w="50" w:type="dxa"/>
              <w:left w:w="50" w:type="dxa"/>
              <w:bottom w:w="50" w:type="dxa"/>
              <w:right w:w="50" w:type="dxa"/>
            </w:tcMar>
          </w:tcPr>
          <w:p w14:paraId="428684EE">
            <w:pPr>
              <w:jc w:val="center"/>
            </w:pPr>
            <w:r>
              <w:rPr>
                <w:rFonts w:ascii="Times New Roman" w:hAnsi="Times New Roman"/>
                <w:sz w:val="15"/>
                <w:szCs w:val="15"/>
              </w:rPr>
              <w:t>0.011 [-0.021, 0.043]</w:t>
            </w:r>
          </w:p>
        </w:tc>
        <w:tc>
          <w:tcPr>
            <w:tcW w:w="0" w:type="auto"/>
            <w:tcMar>
              <w:top w:w="50" w:type="dxa"/>
              <w:left w:w="50" w:type="dxa"/>
              <w:bottom w:w="50" w:type="dxa"/>
              <w:right w:w="50" w:type="dxa"/>
            </w:tcMar>
          </w:tcPr>
          <w:p w14:paraId="0790553D">
            <w:pPr>
              <w:jc w:val="center"/>
            </w:pPr>
            <w:r>
              <w:rPr>
                <w:rFonts w:ascii="Times New Roman" w:hAnsi="Times New Roman"/>
                <w:sz w:val="15"/>
                <w:szCs w:val="15"/>
              </w:rPr>
              <w:t>0.008 [-0.028, 0.044]</w:t>
            </w:r>
          </w:p>
        </w:tc>
      </w:tr>
      <w:tr w14:paraId="7E7495E6">
        <w:tc>
          <w:tcPr>
            <w:tcW w:w="0" w:type="auto"/>
            <w:tcMar>
              <w:top w:w="50" w:type="dxa"/>
              <w:left w:w="50" w:type="dxa"/>
              <w:bottom w:w="50" w:type="dxa"/>
              <w:right w:w="50" w:type="dxa"/>
            </w:tcMar>
          </w:tcPr>
          <w:p w14:paraId="1A6BA2CA">
            <w:pPr>
              <w:jc w:val="center"/>
            </w:pPr>
            <w:r>
              <w:rPr>
                <w:rFonts w:ascii="Times New Roman" w:hAnsi="Times New Roman"/>
                <w:sz w:val="15"/>
                <w:szCs w:val="15"/>
              </w:rPr>
              <w:t>DeltaScore_peer</w:t>
            </w:r>
          </w:p>
        </w:tc>
        <w:tc>
          <w:tcPr>
            <w:tcW w:w="0" w:type="auto"/>
            <w:tcMar>
              <w:top w:w="50" w:type="dxa"/>
              <w:left w:w="50" w:type="dxa"/>
              <w:bottom w:w="50" w:type="dxa"/>
              <w:right w:w="50" w:type="dxa"/>
            </w:tcMar>
          </w:tcPr>
          <w:p w14:paraId="46EE5273">
            <w:pPr>
              <w:jc w:val="center"/>
            </w:pPr>
            <w:r>
              <w:rPr>
                <w:rFonts w:ascii="Times New Roman" w:hAnsi="Times New Roman"/>
                <w:sz w:val="15"/>
                <w:szCs w:val="15"/>
              </w:rPr>
              <w:t>1</w:t>
            </w:r>
          </w:p>
        </w:tc>
        <w:tc>
          <w:tcPr>
            <w:tcW w:w="0" w:type="auto"/>
            <w:tcMar>
              <w:top w:w="50" w:type="dxa"/>
              <w:left w:w="50" w:type="dxa"/>
              <w:bottom w:w="50" w:type="dxa"/>
              <w:right w:w="50" w:type="dxa"/>
            </w:tcMar>
          </w:tcPr>
          <w:p w14:paraId="10F92063">
            <w:pPr>
              <w:jc w:val="center"/>
            </w:pPr>
            <w:r>
              <w:rPr>
                <w:rFonts w:ascii="Times New Roman" w:hAnsi="Times New Roman"/>
                <w:sz w:val="15"/>
                <w:szCs w:val="15"/>
              </w:rPr>
              <w:t>dual-source</w:t>
            </w:r>
          </w:p>
        </w:tc>
        <w:tc>
          <w:tcPr>
            <w:tcW w:w="0" w:type="auto"/>
            <w:tcMar>
              <w:top w:w="50" w:type="dxa"/>
              <w:left w:w="50" w:type="dxa"/>
              <w:bottom w:w="50" w:type="dxa"/>
              <w:right w:w="50" w:type="dxa"/>
            </w:tcMar>
          </w:tcPr>
          <w:p w14:paraId="372C599A">
            <w:pPr>
              <w:jc w:val="center"/>
            </w:pPr>
            <w:r>
              <w:rPr>
                <w:rFonts w:ascii="Times New Roman" w:hAnsi="Times New Roman"/>
                <w:sz w:val="15"/>
                <w:szCs w:val="15"/>
              </w:rPr>
              <w:t>congruent</w:t>
            </w:r>
          </w:p>
        </w:tc>
        <w:tc>
          <w:tcPr>
            <w:tcW w:w="0" w:type="auto"/>
            <w:tcMar>
              <w:top w:w="50" w:type="dxa"/>
              <w:left w:w="50" w:type="dxa"/>
              <w:bottom w:w="50" w:type="dxa"/>
              <w:right w:w="50" w:type="dxa"/>
            </w:tcMar>
          </w:tcPr>
          <w:p w14:paraId="7A354996">
            <w:pPr>
              <w:jc w:val="center"/>
            </w:pPr>
            <w:r>
              <w:rPr>
                <w:rFonts w:ascii="Times New Roman" w:hAnsi="Times New Roman"/>
                <w:sz w:val="15"/>
                <w:szCs w:val="15"/>
              </w:rPr>
              <w:t>-0.119 [-0.141, -0.098]</w:t>
            </w:r>
          </w:p>
        </w:tc>
        <w:tc>
          <w:tcPr>
            <w:tcW w:w="0" w:type="auto"/>
            <w:tcMar>
              <w:top w:w="50" w:type="dxa"/>
              <w:left w:w="50" w:type="dxa"/>
              <w:bottom w:w="50" w:type="dxa"/>
              <w:right w:w="50" w:type="dxa"/>
            </w:tcMar>
          </w:tcPr>
          <w:p w14:paraId="488633E6">
            <w:pPr>
              <w:jc w:val="center"/>
            </w:pPr>
            <w:r>
              <w:rPr>
                <w:rFonts w:ascii="Times New Roman" w:hAnsi="Times New Roman"/>
                <w:sz w:val="15"/>
                <w:szCs w:val="15"/>
              </w:rPr>
              <w:t>-0.068 [-0.092, -0.044]</w:t>
            </w:r>
          </w:p>
        </w:tc>
      </w:tr>
      <w:tr w14:paraId="3EBFDF13">
        <w:tc>
          <w:tcPr>
            <w:tcW w:w="0" w:type="auto"/>
            <w:tcMar>
              <w:top w:w="50" w:type="dxa"/>
              <w:left w:w="50" w:type="dxa"/>
              <w:bottom w:w="50" w:type="dxa"/>
              <w:right w:w="50" w:type="dxa"/>
            </w:tcMar>
          </w:tcPr>
          <w:p w14:paraId="1F9AC7F1">
            <w:pPr>
              <w:jc w:val="center"/>
            </w:pPr>
            <w:r>
              <w:rPr>
                <w:rFonts w:ascii="Times New Roman" w:hAnsi="Times New Roman"/>
                <w:sz w:val="15"/>
                <w:szCs w:val="15"/>
              </w:rPr>
              <w:t>DeltaScore_peer</w:t>
            </w:r>
          </w:p>
        </w:tc>
        <w:tc>
          <w:tcPr>
            <w:tcW w:w="0" w:type="auto"/>
            <w:tcMar>
              <w:top w:w="50" w:type="dxa"/>
              <w:left w:w="50" w:type="dxa"/>
              <w:bottom w:w="50" w:type="dxa"/>
              <w:right w:w="50" w:type="dxa"/>
            </w:tcMar>
          </w:tcPr>
          <w:p w14:paraId="77F46F59">
            <w:pPr>
              <w:jc w:val="center"/>
            </w:pPr>
            <w:r>
              <w:rPr>
                <w:rFonts w:ascii="Times New Roman" w:hAnsi="Times New Roman"/>
                <w:sz w:val="15"/>
                <w:szCs w:val="15"/>
              </w:rPr>
              <w:t>2</w:t>
            </w:r>
          </w:p>
        </w:tc>
        <w:tc>
          <w:tcPr>
            <w:tcW w:w="1263" w:type="dxa"/>
            <w:tcMar>
              <w:top w:w="50" w:type="dxa"/>
              <w:left w:w="50" w:type="dxa"/>
              <w:bottom w:w="50" w:type="dxa"/>
              <w:right w:w="50" w:type="dxa"/>
            </w:tcMar>
            <w:vAlign w:val="top"/>
          </w:tcPr>
          <w:p w14:paraId="445CCD2F">
            <w:pPr>
              <w:jc w:val="center"/>
            </w:pPr>
            <w:r>
              <w:rPr>
                <w:rFonts w:hint="eastAsia" w:ascii="Times New Roman" w:hAnsi="Times New Roman"/>
                <w:sz w:val="15"/>
                <w:szCs w:val="15"/>
                <w:lang w:val="en-US" w:eastAsia="zh-CN"/>
              </w:rPr>
              <w:t>p</w:t>
            </w:r>
            <w:r>
              <w:rPr>
                <w:rFonts w:ascii="Times New Roman" w:hAnsi="Times New Roman"/>
                <w:sz w:val="15"/>
                <w:szCs w:val="15"/>
                <w:lang w:val="en-US"/>
              </w:rPr>
              <w:t>eer-aligned</w:t>
            </w:r>
          </w:p>
        </w:tc>
        <w:tc>
          <w:tcPr>
            <w:tcW w:w="0" w:type="auto"/>
            <w:tcMar>
              <w:top w:w="50" w:type="dxa"/>
              <w:left w:w="50" w:type="dxa"/>
              <w:bottom w:w="50" w:type="dxa"/>
              <w:right w:w="50" w:type="dxa"/>
            </w:tcMar>
          </w:tcPr>
          <w:p w14:paraId="621968FD">
            <w:pPr>
              <w:jc w:val="center"/>
            </w:pPr>
            <w:r>
              <w:rPr>
                <w:rFonts w:ascii="Times New Roman" w:hAnsi="Times New Roman"/>
                <w:sz w:val="15"/>
                <w:szCs w:val="15"/>
              </w:rPr>
              <w:t>congruent</w:t>
            </w:r>
          </w:p>
        </w:tc>
        <w:tc>
          <w:tcPr>
            <w:tcW w:w="0" w:type="auto"/>
            <w:tcMar>
              <w:top w:w="50" w:type="dxa"/>
              <w:left w:w="50" w:type="dxa"/>
              <w:bottom w:w="50" w:type="dxa"/>
              <w:right w:w="50" w:type="dxa"/>
            </w:tcMar>
          </w:tcPr>
          <w:p w14:paraId="6BB7572B">
            <w:pPr>
              <w:jc w:val="center"/>
            </w:pPr>
            <w:r>
              <w:rPr>
                <w:rFonts w:ascii="Times New Roman" w:hAnsi="Times New Roman"/>
                <w:sz w:val="15"/>
                <w:szCs w:val="15"/>
              </w:rPr>
              <w:t>-0.196 [-0.224, -0.169]</w:t>
            </w:r>
          </w:p>
        </w:tc>
        <w:tc>
          <w:tcPr>
            <w:tcW w:w="0" w:type="auto"/>
            <w:tcMar>
              <w:top w:w="50" w:type="dxa"/>
              <w:left w:w="50" w:type="dxa"/>
              <w:bottom w:w="50" w:type="dxa"/>
              <w:right w:w="50" w:type="dxa"/>
            </w:tcMar>
          </w:tcPr>
          <w:p w14:paraId="5C68408A">
            <w:pPr>
              <w:jc w:val="center"/>
            </w:pPr>
            <w:r>
              <w:rPr>
                <w:rFonts w:ascii="Times New Roman" w:hAnsi="Times New Roman"/>
                <w:sz w:val="15"/>
                <w:szCs w:val="15"/>
              </w:rPr>
              <w:t>-0.106 [-0.137, -0.075]</w:t>
            </w:r>
          </w:p>
        </w:tc>
      </w:tr>
      <w:tr w14:paraId="74995BEB">
        <w:tc>
          <w:tcPr>
            <w:tcW w:w="0" w:type="auto"/>
            <w:tcMar>
              <w:top w:w="50" w:type="dxa"/>
              <w:left w:w="50" w:type="dxa"/>
              <w:bottom w:w="50" w:type="dxa"/>
              <w:right w:w="50" w:type="dxa"/>
            </w:tcMar>
          </w:tcPr>
          <w:p w14:paraId="49457D2D">
            <w:pPr>
              <w:jc w:val="center"/>
            </w:pPr>
            <w:r>
              <w:rPr>
                <w:rFonts w:ascii="Times New Roman" w:hAnsi="Times New Roman"/>
                <w:sz w:val="15"/>
                <w:szCs w:val="15"/>
              </w:rPr>
              <w:t>DeltaScore_peer</w:t>
            </w:r>
          </w:p>
        </w:tc>
        <w:tc>
          <w:tcPr>
            <w:tcW w:w="0" w:type="auto"/>
            <w:tcMar>
              <w:top w:w="50" w:type="dxa"/>
              <w:left w:w="50" w:type="dxa"/>
              <w:bottom w:w="50" w:type="dxa"/>
              <w:right w:w="50" w:type="dxa"/>
            </w:tcMar>
          </w:tcPr>
          <w:p w14:paraId="5FEEA817">
            <w:pPr>
              <w:jc w:val="center"/>
            </w:pPr>
            <w:r>
              <w:rPr>
                <w:rFonts w:ascii="Times New Roman" w:hAnsi="Times New Roman"/>
                <w:sz w:val="15"/>
                <w:szCs w:val="15"/>
              </w:rPr>
              <w:t>3</w:t>
            </w:r>
          </w:p>
        </w:tc>
        <w:tc>
          <w:tcPr>
            <w:tcW w:w="1263" w:type="dxa"/>
            <w:tcMar>
              <w:top w:w="50" w:type="dxa"/>
              <w:left w:w="50" w:type="dxa"/>
              <w:bottom w:w="50" w:type="dxa"/>
              <w:right w:w="50" w:type="dxa"/>
            </w:tcMar>
            <w:vAlign w:val="top"/>
          </w:tcPr>
          <w:p w14:paraId="2B56ADF0">
            <w:pPr>
              <w:jc w:val="center"/>
            </w:pPr>
            <w:r>
              <w:rPr>
                <w:rFonts w:ascii="Times New Roman" w:hAnsi="Times New Roman"/>
                <w:sz w:val="15"/>
                <w:szCs w:val="15"/>
              </w:rPr>
              <w:t>societal-</w:t>
            </w:r>
            <w:r>
              <w:rPr>
                <w:rFonts w:hint="default" w:ascii="Times New Roman" w:hAnsi="Times New Roman"/>
                <w:sz w:val="15"/>
                <w:szCs w:val="15"/>
                <w:lang w:val="en-US"/>
              </w:rPr>
              <w:t>aligned</w:t>
            </w:r>
          </w:p>
        </w:tc>
        <w:tc>
          <w:tcPr>
            <w:tcW w:w="0" w:type="auto"/>
            <w:tcMar>
              <w:top w:w="50" w:type="dxa"/>
              <w:left w:w="50" w:type="dxa"/>
              <w:bottom w:w="50" w:type="dxa"/>
              <w:right w:w="50" w:type="dxa"/>
            </w:tcMar>
          </w:tcPr>
          <w:p w14:paraId="64ABC1AA">
            <w:pPr>
              <w:jc w:val="center"/>
            </w:pPr>
            <w:r>
              <w:rPr>
                <w:rFonts w:ascii="Times New Roman" w:hAnsi="Times New Roman"/>
                <w:sz w:val="15"/>
                <w:szCs w:val="15"/>
              </w:rPr>
              <w:t>congruent</w:t>
            </w:r>
          </w:p>
        </w:tc>
        <w:tc>
          <w:tcPr>
            <w:tcW w:w="0" w:type="auto"/>
            <w:tcMar>
              <w:top w:w="50" w:type="dxa"/>
              <w:left w:w="50" w:type="dxa"/>
              <w:bottom w:w="50" w:type="dxa"/>
              <w:right w:w="50" w:type="dxa"/>
            </w:tcMar>
          </w:tcPr>
          <w:p w14:paraId="2FFA2CF1">
            <w:pPr>
              <w:jc w:val="center"/>
            </w:pPr>
            <w:r>
              <w:rPr>
                <w:rFonts w:ascii="Times New Roman" w:hAnsi="Times New Roman"/>
                <w:sz w:val="15"/>
                <w:szCs w:val="15"/>
              </w:rPr>
              <w:t>0.064 [0.045, 0.082]</w:t>
            </w:r>
          </w:p>
        </w:tc>
        <w:tc>
          <w:tcPr>
            <w:tcW w:w="0" w:type="auto"/>
            <w:tcMar>
              <w:top w:w="50" w:type="dxa"/>
              <w:left w:w="50" w:type="dxa"/>
              <w:bottom w:w="50" w:type="dxa"/>
              <w:right w:w="50" w:type="dxa"/>
            </w:tcMar>
          </w:tcPr>
          <w:p w14:paraId="0F5892A8">
            <w:pPr>
              <w:jc w:val="center"/>
            </w:pPr>
            <w:r>
              <w:rPr>
                <w:rFonts w:ascii="Times New Roman" w:hAnsi="Times New Roman"/>
                <w:sz w:val="15"/>
                <w:szCs w:val="15"/>
              </w:rPr>
              <w:t>0.022 [0.001, 0.043]</w:t>
            </w:r>
          </w:p>
        </w:tc>
      </w:tr>
      <w:tr w14:paraId="0B7BE17C">
        <w:tc>
          <w:tcPr>
            <w:tcW w:w="0" w:type="auto"/>
            <w:tcMar>
              <w:top w:w="50" w:type="dxa"/>
              <w:left w:w="50" w:type="dxa"/>
              <w:bottom w:w="50" w:type="dxa"/>
              <w:right w:w="50" w:type="dxa"/>
            </w:tcMar>
          </w:tcPr>
          <w:p w14:paraId="284C8F79">
            <w:pPr>
              <w:jc w:val="center"/>
            </w:pPr>
            <w:r>
              <w:rPr>
                <w:rFonts w:ascii="Times New Roman" w:hAnsi="Times New Roman"/>
                <w:sz w:val="15"/>
                <w:szCs w:val="15"/>
              </w:rPr>
              <w:t>DeltaScore_peer</w:t>
            </w:r>
          </w:p>
        </w:tc>
        <w:tc>
          <w:tcPr>
            <w:tcW w:w="0" w:type="auto"/>
            <w:tcMar>
              <w:top w:w="50" w:type="dxa"/>
              <w:left w:w="50" w:type="dxa"/>
              <w:bottom w:w="50" w:type="dxa"/>
              <w:right w:w="50" w:type="dxa"/>
            </w:tcMar>
          </w:tcPr>
          <w:p w14:paraId="1ABFD8F6">
            <w:pPr>
              <w:jc w:val="center"/>
            </w:pPr>
            <w:r>
              <w:rPr>
                <w:rFonts w:ascii="Times New Roman" w:hAnsi="Times New Roman"/>
                <w:sz w:val="15"/>
                <w:szCs w:val="15"/>
              </w:rPr>
              <w:t>4</w:t>
            </w:r>
          </w:p>
        </w:tc>
        <w:tc>
          <w:tcPr>
            <w:tcW w:w="0" w:type="auto"/>
            <w:tcMar>
              <w:top w:w="50" w:type="dxa"/>
              <w:left w:w="50" w:type="dxa"/>
              <w:bottom w:w="50" w:type="dxa"/>
              <w:right w:w="50" w:type="dxa"/>
            </w:tcMar>
          </w:tcPr>
          <w:p w14:paraId="74DA1B20">
            <w:pPr>
              <w:jc w:val="center"/>
            </w:pPr>
            <w:r>
              <w:rPr>
                <w:rFonts w:ascii="Times New Roman" w:hAnsi="Times New Roman"/>
                <w:sz w:val="15"/>
                <w:szCs w:val="15"/>
              </w:rPr>
              <w:t>dual-source</w:t>
            </w:r>
          </w:p>
        </w:tc>
        <w:tc>
          <w:tcPr>
            <w:tcW w:w="0" w:type="auto"/>
            <w:tcMar>
              <w:top w:w="50" w:type="dxa"/>
              <w:left w:w="50" w:type="dxa"/>
              <w:bottom w:w="50" w:type="dxa"/>
              <w:right w:w="50" w:type="dxa"/>
            </w:tcMar>
          </w:tcPr>
          <w:p w14:paraId="5C4BBBBD">
            <w:pPr>
              <w:jc w:val="center"/>
            </w:pPr>
            <w:r>
              <w:rPr>
                <w:rFonts w:ascii="Times New Roman" w:hAnsi="Times New Roman"/>
                <w:sz w:val="15"/>
                <w:szCs w:val="15"/>
              </w:rPr>
              <w:t>conflict</w:t>
            </w:r>
          </w:p>
        </w:tc>
        <w:tc>
          <w:tcPr>
            <w:tcW w:w="0" w:type="auto"/>
            <w:tcMar>
              <w:top w:w="50" w:type="dxa"/>
              <w:left w:w="50" w:type="dxa"/>
              <w:bottom w:w="50" w:type="dxa"/>
              <w:right w:w="50" w:type="dxa"/>
            </w:tcMar>
          </w:tcPr>
          <w:p w14:paraId="4CF62F37">
            <w:pPr>
              <w:jc w:val="center"/>
            </w:pPr>
            <w:r>
              <w:rPr>
                <w:rFonts w:ascii="Times New Roman" w:hAnsi="Times New Roman"/>
                <w:sz w:val="15"/>
                <w:szCs w:val="15"/>
              </w:rPr>
              <w:t>0.128 [0.107, 0.150]</w:t>
            </w:r>
          </w:p>
        </w:tc>
        <w:tc>
          <w:tcPr>
            <w:tcW w:w="0" w:type="auto"/>
            <w:tcMar>
              <w:top w:w="50" w:type="dxa"/>
              <w:left w:w="50" w:type="dxa"/>
              <w:bottom w:w="50" w:type="dxa"/>
              <w:right w:w="50" w:type="dxa"/>
            </w:tcMar>
          </w:tcPr>
          <w:p w14:paraId="58766489">
            <w:pPr>
              <w:jc w:val="center"/>
            </w:pPr>
            <w:r>
              <w:rPr>
                <w:rFonts w:ascii="Times New Roman" w:hAnsi="Times New Roman"/>
                <w:sz w:val="15"/>
                <w:szCs w:val="15"/>
              </w:rPr>
              <w:t>0.046 [0.022, 0.071]</w:t>
            </w:r>
          </w:p>
        </w:tc>
      </w:tr>
      <w:tr w14:paraId="7B497A7C">
        <w:tc>
          <w:tcPr>
            <w:tcW w:w="0" w:type="auto"/>
            <w:tcMar>
              <w:top w:w="50" w:type="dxa"/>
              <w:left w:w="50" w:type="dxa"/>
              <w:bottom w:w="50" w:type="dxa"/>
              <w:right w:w="50" w:type="dxa"/>
            </w:tcMar>
          </w:tcPr>
          <w:p w14:paraId="18543EF2">
            <w:pPr>
              <w:jc w:val="center"/>
            </w:pPr>
            <w:r>
              <w:rPr>
                <w:rFonts w:ascii="Times New Roman" w:hAnsi="Times New Roman"/>
                <w:sz w:val="15"/>
                <w:szCs w:val="15"/>
              </w:rPr>
              <w:t>DeltaScore_peer</w:t>
            </w:r>
          </w:p>
        </w:tc>
        <w:tc>
          <w:tcPr>
            <w:tcW w:w="0" w:type="auto"/>
            <w:tcMar>
              <w:top w:w="50" w:type="dxa"/>
              <w:left w:w="50" w:type="dxa"/>
              <w:bottom w:w="50" w:type="dxa"/>
              <w:right w:w="50" w:type="dxa"/>
            </w:tcMar>
          </w:tcPr>
          <w:p w14:paraId="1AE42B55">
            <w:pPr>
              <w:jc w:val="center"/>
            </w:pPr>
            <w:r>
              <w:rPr>
                <w:rFonts w:ascii="Times New Roman" w:hAnsi="Times New Roman"/>
                <w:sz w:val="15"/>
                <w:szCs w:val="15"/>
              </w:rPr>
              <w:t>5</w:t>
            </w:r>
          </w:p>
        </w:tc>
        <w:tc>
          <w:tcPr>
            <w:tcW w:w="0" w:type="auto"/>
            <w:tcMar>
              <w:top w:w="50" w:type="dxa"/>
              <w:left w:w="50" w:type="dxa"/>
              <w:bottom w:w="50" w:type="dxa"/>
              <w:right w:w="50" w:type="dxa"/>
            </w:tcMar>
          </w:tcPr>
          <w:p w14:paraId="37D7630C">
            <w:pPr>
              <w:jc w:val="center"/>
            </w:pPr>
            <w:r>
              <w:rPr>
                <w:rFonts w:ascii="Times New Roman" w:hAnsi="Times New Roman"/>
                <w:sz w:val="15"/>
                <w:szCs w:val="15"/>
              </w:rPr>
              <w:t>dual-source</w:t>
            </w:r>
          </w:p>
        </w:tc>
        <w:tc>
          <w:tcPr>
            <w:tcW w:w="0" w:type="auto"/>
            <w:tcMar>
              <w:top w:w="50" w:type="dxa"/>
              <w:left w:w="50" w:type="dxa"/>
              <w:bottom w:w="50" w:type="dxa"/>
              <w:right w:w="50" w:type="dxa"/>
            </w:tcMar>
          </w:tcPr>
          <w:p w14:paraId="3C23253C">
            <w:pPr>
              <w:jc w:val="center"/>
            </w:pPr>
            <w:r>
              <w:rPr>
                <w:rFonts w:ascii="Times New Roman" w:hAnsi="Times New Roman"/>
                <w:sz w:val="15"/>
                <w:szCs w:val="15"/>
              </w:rPr>
              <w:t>conflict</w:t>
            </w:r>
          </w:p>
        </w:tc>
        <w:tc>
          <w:tcPr>
            <w:tcW w:w="0" w:type="auto"/>
            <w:tcMar>
              <w:top w:w="50" w:type="dxa"/>
              <w:left w:w="50" w:type="dxa"/>
              <w:bottom w:w="50" w:type="dxa"/>
              <w:right w:w="50" w:type="dxa"/>
            </w:tcMar>
          </w:tcPr>
          <w:p w14:paraId="33652DCD">
            <w:pPr>
              <w:jc w:val="center"/>
            </w:pPr>
            <w:r>
              <w:rPr>
                <w:rFonts w:ascii="Times New Roman" w:hAnsi="Times New Roman"/>
                <w:sz w:val="15"/>
                <w:szCs w:val="15"/>
              </w:rPr>
              <w:t>0.074 [0.053, 0.094]</w:t>
            </w:r>
          </w:p>
        </w:tc>
        <w:tc>
          <w:tcPr>
            <w:tcW w:w="0" w:type="auto"/>
            <w:tcMar>
              <w:top w:w="50" w:type="dxa"/>
              <w:left w:w="50" w:type="dxa"/>
              <w:bottom w:w="50" w:type="dxa"/>
              <w:right w:w="50" w:type="dxa"/>
            </w:tcMar>
          </w:tcPr>
          <w:p w14:paraId="5B7ABBCB">
            <w:pPr>
              <w:jc w:val="center"/>
            </w:pPr>
            <w:r>
              <w:rPr>
                <w:rFonts w:ascii="Times New Roman" w:hAnsi="Times New Roman"/>
                <w:sz w:val="15"/>
                <w:szCs w:val="15"/>
              </w:rPr>
              <w:t>0.023 [0.000, 0.046]</w:t>
            </w:r>
          </w:p>
        </w:tc>
      </w:tr>
      <w:tr w14:paraId="35B830F0">
        <w:tc>
          <w:tcPr>
            <w:tcW w:w="0" w:type="auto"/>
            <w:tcMar>
              <w:top w:w="50" w:type="dxa"/>
              <w:left w:w="50" w:type="dxa"/>
              <w:bottom w:w="50" w:type="dxa"/>
              <w:right w:w="50" w:type="dxa"/>
            </w:tcMar>
          </w:tcPr>
          <w:p w14:paraId="11DEC803">
            <w:pPr>
              <w:jc w:val="center"/>
            </w:pPr>
            <w:r>
              <w:rPr>
                <w:rFonts w:ascii="Times New Roman" w:hAnsi="Times New Roman"/>
                <w:sz w:val="15"/>
                <w:szCs w:val="15"/>
              </w:rPr>
              <w:t>DeltaScore_peer</w:t>
            </w:r>
          </w:p>
        </w:tc>
        <w:tc>
          <w:tcPr>
            <w:tcW w:w="0" w:type="auto"/>
            <w:tcMar>
              <w:top w:w="50" w:type="dxa"/>
              <w:left w:w="50" w:type="dxa"/>
              <w:bottom w:w="50" w:type="dxa"/>
              <w:right w:w="50" w:type="dxa"/>
            </w:tcMar>
          </w:tcPr>
          <w:p w14:paraId="6541B7D7">
            <w:pPr>
              <w:jc w:val="center"/>
            </w:pPr>
            <w:r>
              <w:rPr>
                <w:rFonts w:ascii="Times New Roman" w:hAnsi="Times New Roman"/>
                <w:sz w:val="15"/>
                <w:szCs w:val="15"/>
              </w:rPr>
              <w:t>6</w:t>
            </w:r>
          </w:p>
        </w:tc>
        <w:tc>
          <w:tcPr>
            <w:tcW w:w="0" w:type="auto"/>
            <w:tcMar>
              <w:top w:w="50" w:type="dxa"/>
              <w:left w:w="50" w:type="dxa"/>
              <w:bottom w:w="50" w:type="dxa"/>
              <w:right w:w="50" w:type="dxa"/>
            </w:tcMar>
          </w:tcPr>
          <w:p w14:paraId="3B77E1BA">
            <w:pPr>
              <w:jc w:val="center"/>
            </w:pPr>
            <w:r>
              <w:rPr>
                <w:rFonts w:ascii="Times New Roman" w:hAnsi="Times New Roman"/>
                <w:sz w:val="15"/>
                <w:szCs w:val="15"/>
              </w:rPr>
              <w:t>dual-source</w:t>
            </w:r>
          </w:p>
        </w:tc>
        <w:tc>
          <w:tcPr>
            <w:tcW w:w="0" w:type="auto"/>
            <w:tcMar>
              <w:top w:w="50" w:type="dxa"/>
              <w:left w:w="50" w:type="dxa"/>
              <w:bottom w:w="50" w:type="dxa"/>
              <w:right w:w="50" w:type="dxa"/>
            </w:tcMar>
          </w:tcPr>
          <w:p w14:paraId="0ACEB2CB">
            <w:pPr>
              <w:jc w:val="center"/>
            </w:pPr>
            <w:r>
              <w:rPr>
                <w:rFonts w:ascii="Times New Roman" w:hAnsi="Times New Roman"/>
                <w:sz w:val="15"/>
                <w:szCs w:val="15"/>
              </w:rPr>
              <w:t>conflict</w:t>
            </w:r>
          </w:p>
        </w:tc>
        <w:tc>
          <w:tcPr>
            <w:tcW w:w="0" w:type="auto"/>
            <w:tcMar>
              <w:top w:w="50" w:type="dxa"/>
              <w:left w:w="50" w:type="dxa"/>
              <w:bottom w:w="50" w:type="dxa"/>
              <w:right w:w="50" w:type="dxa"/>
            </w:tcMar>
          </w:tcPr>
          <w:p w14:paraId="145FABCD">
            <w:pPr>
              <w:jc w:val="center"/>
            </w:pPr>
            <w:r>
              <w:rPr>
                <w:rFonts w:ascii="Times New Roman" w:hAnsi="Times New Roman"/>
                <w:sz w:val="15"/>
                <w:szCs w:val="15"/>
              </w:rPr>
              <w:t>0.040 [0.019, 0.062]</w:t>
            </w:r>
          </w:p>
        </w:tc>
        <w:tc>
          <w:tcPr>
            <w:tcW w:w="0" w:type="auto"/>
            <w:tcMar>
              <w:top w:w="50" w:type="dxa"/>
              <w:left w:w="50" w:type="dxa"/>
              <w:bottom w:w="50" w:type="dxa"/>
              <w:right w:w="50" w:type="dxa"/>
            </w:tcMar>
          </w:tcPr>
          <w:p w14:paraId="3AD6FADB">
            <w:pPr>
              <w:jc w:val="center"/>
            </w:pPr>
            <w:r>
              <w:rPr>
                <w:rFonts w:ascii="Times New Roman" w:hAnsi="Times New Roman"/>
                <w:sz w:val="15"/>
                <w:szCs w:val="15"/>
              </w:rPr>
              <w:t>-0.001 [-0.026, 0.024]</w:t>
            </w:r>
          </w:p>
        </w:tc>
      </w:tr>
      <w:tr w14:paraId="722F8BE7">
        <w:tc>
          <w:tcPr>
            <w:tcW w:w="0" w:type="auto"/>
            <w:tcMar>
              <w:top w:w="50" w:type="dxa"/>
              <w:left w:w="50" w:type="dxa"/>
              <w:bottom w:w="50" w:type="dxa"/>
              <w:right w:w="50" w:type="dxa"/>
            </w:tcMar>
          </w:tcPr>
          <w:p w14:paraId="5F29089B">
            <w:pPr>
              <w:jc w:val="center"/>
            </w:pPr>
            <w:r>
              <w:rPr>
                <w:rFonts w:ascii="Times New Roman" w:hAnsi="Times New Roman"/>
                <w:sz w:val="15"/>
                <w:szCs w:val="15"/>
              </w:rPr>
              <w:t>DeltaScore_peer</w:t>
            </w:r>
          </w:p>
        </w:tc>
        <w:tc>
          <w:tcPr>
            <w:tcW w:w="0" w:type="auto"/>
            <w:tcMar>
              <w:top w:w="50" w:type="dxa"/>
              <w:left w:w="50" w:type="dxa"/>
              <w:bottom w:w="50" w:type="dxa"/>
              <w:right w:w="50" w:type="dxa"/>
            </w:tcMar>
          </w:tcPr>
          <w:p w14:paraId="246C086A">
            <w:pPr>
              <w:jc w:val="center"/>
            </w:pPr>
            <w:r>
              <w:rPr>
                <w:rFonts w:ascii="Times New Roman" w:hAnsi="Times New Roman"/>
                <w:sz w:val="15"/>
                <w:szCs w:val="15"/>
              </w:rPr>
              <w:t>7</w:t>
            </w:r>
          </w:p>
        </w:tc>
        <w:tc>
          <w:tcPr>
            <w:tcW w:w="0" w:type="auto"/>
            <w:tcMar>
              <w:top w:w="50" w:type="dxa"/>
              <w:left w:w="50" w:type="dxa"/>
              <w:bottom w:w="50" w:type="dxa"/>
              <w:right w:w="50" w:type="dxa"/>
            </w:tcMar>
          </w:tcPr>
          <w:p w14:paraId="2A117BB9">
            <w:pPr>
              <w:jc w:val="center"/>
            </w:pPr>
            <w:r>
              <w:rPr>
                <w:rFonts w:ascii="Times New Roman" w:hAnsi="Times New Roman"/>
                <w:sz w:val="15"/>
                <w:szCs w:val="15"/>
              </w:rPr>
              <w:t>peer-dominant</w:t>
            </w:r>
          </w:p>
        </w:tc>
        <w:tc>
          <w:tcPr>
            <w:tcW w:w="0" w:type="auto"/>
            <w:tcMar>
              <w:top w:w="50" w:type="dxa"/>
              <w:left w:w="50" w:type="dxa"/>
              <w:bottom w:w="50" w:type="dxa"/>
              <w:right w:w="50" w:type="dxa"/>
            </w:tcMar>
          </w:tcPr>
          <w:p w14:paraId="35DE6358">
            <w:pPr>
              <w:jc w:val="center"/>
            </w:pPr>
            <w:r>
              <w:rPr>
                <w:rFonts w:ascii="Times New Roman" w:hAnsi="Times New Roman"/>
                <w:sz w:val="15"/>
                <w:szCs w:val="15"/>
              </w:rPr>
              <w:t>conflict</w:t>
            </w:r>
          </w:p>
        </w:tc>
        <w:tc>
          <w:tcPr>
            <w:tcW w:w="0" w:type="auto"/>
            <w:tcMar>
              <w:top w:w="50" w:type="dxa"/>
              <w:left w:w="50" w:type="dxa"/>
              <w:bottom w:w="50" w:type="dxa"/>
              <w:right w:w="50" w:type="dxa"/>
            </w:tcMar>
          </w:tcPr>
          <w:p w14:paraId="496A607C">
            <w:pPr>
              <w:jc w:val="center"/>
            </w:pPr>
            <w:r>
              <w:rPr>
                <w:rFonts w:ascii="Times New Roman" w:hAnsi="Times New Roman"/>
                <w:sz w:val="15"/>
                <w:szCs w:val="15"/>
              </w:rPr>
              <w:t>0.044 [0.015, 0.073]</w:t>
            </w:r>
          </w:p>
        </w:tc>
        <w:tc>
          <w:tcPr>
            <w:tcW w:w="0" w:type="auto"/>
            <w:tcMar>
              <w:top w:w="50" w:type="dxa"/>
              <w:left w:w="50" w:type="dxa"/>
              <w:bottom w:w="50" w:type="dxa"/>
              <w:right w:w="50" w:type="dxa"/>
            </w:tcMar>
          </w:tcPr>
          <w:p w14:paraId="0298D50F">
            <w:pPr>
              <w:jc w:val="center"/>
            </w:pPr>
            <w:r>
              <w:rPr>
                <w:rFonts w:ascii="Times New Roman" w:hAnsi="Times New Roman"/>
                <w:sz w:val="15"/>
                <w:szCs w:val="15"/>
              </w:rPr>
              <w:t>0.007 [-0.026, 0.040]</w:t>
            </w:r>
          </w:p>
        </w:tc>
      </w:tr>
      <w:tr w14:paraId="21C9C5C0">
        <w:tc>
          <w:tcPr>
            <w:tcW w:w="0" w:type="auto"/>
            <w:tcMar>
              <w:top w:w="50" w:type="dxa"/>
              <w:left w:w="50" w:type="dxa"/>
              <w:bottom w:w="50" w:type="dxa"/>
              <w:right w:w="50" w:type="dxa"/>
            </w:tcMar>
          </w:tcPr>
          <w:p w14:paraId="47E1B7B3">
            <w:pPr>
              <w:jc w:val="center"/>
            </w:pPr>
            <w:r>
              <w:rPr>
                <w:rFonts w:ascii="Times New Roman" w:hAnsi="Times New Roman"/>
                <w:sz w:val="15"/>
                <w:szCs w:val="15"/>
              </w:rPr>
              <w:t>DeltaScore_peer</w:t>
            </w:r>
          </w:p>
        </w:tc>
        <w:tc>
          <w:tcPr>
            <w:tcW w:w="0" w:type="auto"/>
            <w:tcMar>
              <w:top w:w="50" w:type="dxa"/>
              <w:left w:w="50" w:type="dxa"/>
              <w:bottom w:w="50" w:type="dxa"/>
              <w:right w:w="50" w:type="dxa"/>
            </w:tcMar>
          </w:tcPr>
          <w:p w14:paraId="23266D6B">
            <w:pPr>
              <w:jc w:val="center"/>
            </w:pPr>
            <w:r>
              <w:rPr>
                <w:rFonts w:ascii="Times New Roman" w:hAnsi="Times New Roman"/>
                <w:sz w:val="15"/>
                <w:szCs w:val="15"/>
              </w:rPr>
              <w:t>8</w:t>
            </w:r>
          </w:p>
        </w:tc>
        <w:tc>
          <w:tcPr>
            <w:tcW w:w="0" w:type="auto"/>
            <w:tcMar>
              <w:top w:w="50" w:type="dxa"/>
              <w:left w:w="50" w:type="dxa"/>
              <w:bottom w:w="50" w:type="dxa"/>
              <w:right w:w="50" w:type="dxa"/>
            </w:tcMar>
          </w:tcPr>
          <w:p w14:paraId="34D3E60A">
            <w:pPr>
              <w:jc w:val="center"/>
            </w:pPr>
            <w:r>
              <w:rPr>
                <w:rFonts w:ascii="Times New Roman" w:hAnsi="Times New Roman"/>
                <w:sz w:val="15"/>
                <w:szCs w:val="15"/>
              </w:rPr>
              <w:t>societal-dominant</w:t>
            </w:r>
          </w:p>
        </w:tc>
        <w:tc>
          <w:tcPr>
            <w:tcW w:w="0" w:type="auto"/>
            <w:tcMar>
              <w:top w:w="50" w:type="dxa"/>
              <w:left w:w="50" w:type="dxa"/>
              <w:bottom w:w="50" w:type="dxa"/>
              <w:right w:w="50" w:type="dxa"/>
            </w:tcMar>
          </w:tcPr>
          <w:p w14:paraId="6794DC83">
            <w:pPr>
              <w:jc w:val="center"/>
            </w:pPr>
            <w:r>
              <w:rPr>
                <w:rFonts w:ascii="Times New Roman" w:hAnsi="Times New Roman"/>
                <w:sz w:val="15"/>
                <w:szCs w:val="15"/>
              </w:rPr>
              <w:t>conflict</w:t>
            </w:r>
          </w:p>
        </w:tc>
        <w:tc>
          <w:tcPr>
            <w:tcW w:w="0" w:type="auto"/>
            <w:tcMar>
              <w:top w:w="50" w:type="dxa"/>
              <w:left w:w="50" w:type="dxa"/>
              <w:bottom w:w="50" w:type="dxa"/>
              <w:right w:w="50" w:type="dxa"/>
            </w:tcMar>
          </w:tcPr>
          <w:p w14:paraId="4FBD13A6">
            <w:pPr>
              <w:jc w:val="center"/>
            </w:pPr>
            <w:r>
              <w:rPr>
                <w:rFonts w:ascii="Times New Roman" w:hAnsi="Times New Roman"/>
                <w:sz w:val="15"/>
                <w:szCs w:val="15"/>
              </w:rPr>
              <w:t>-0.028 [-0.046, -0.010]</w:t>
            </w:r>
          </w:p>
        </w:tc>
        <w:tc>
          <w:tcPr>
            <w:tcW w:w="0" w:type="auto"/>
            <w:tcMar>
              <w:top w:w="50" w:type="dxa"/>
              <w:left w:w="50" w:type="dxa"/>
              <w:bottom w:w="50" w:type="dxa"/>
              <w:right w:w="50" w:type="dxa"/>
            </w:tcMar>
          </w:tcPr>
          <w:p w14:paraId="10FE4EDC">
            <w:pPr>
              <w:jc w:val="center"/>
            </w:pPr>
            <w:r>
              <w:rPr>
                <w:rFonts w:ascii="Times New Roman" w:hAnsi="Times New Roman"/>
                <w:sz w:val="15"/>
                <w:szCs w:val="15"/>
              </w:rPr>
              <w:t>-0.017 [-0.038, 0.004]</w:t>
            </w:r>
          </w:p>
        </w:tc>
      </w:tr>
    </w:tbl>
    <w:p w14:paraId="541BD614">
      <w:pPr>
        <w:spacing w:after="0" w:line="240" w:lineRule="auto"/>
        <w:rPr>
          <w:rFonts w:ascii="Times New Roman Regular" w:hAnsi="Times New Roman Regular" w:cs="Times New Roman Regular"/>
          <w:sz w:val="18"/>
          <w:szCs w:val="18"/>
        </w:rPr>
      </w:pPr>
      <w:r>
        <w:rPr>
          <w:rFonts w:ascii="Times New Roman Regular" w:hAnsi="Times New Roman Regular" w:cs="Times New Roman Regular"/>
          <w:sz w:val="18"/>
          <w:szCs w:val="18"/>
        </w:rPr>
        <w:t xml:space="preserve">Estimated marginal means (EMMs) and 95% confidence intervals were obtained from the supplementary eight-condition mixed-effects models. The eight-condition analysis separated Conditions 4–6 rather than treating them as a single dual-source conflict cell. Values are reported as EMM [95% CI]. </w:t>
      </w:r>
    </w:p>
    <w:p w14:paraId="43B13C76">
      <w:pPr>
        <w:jc w:val="center"/>
      </w:pPr>
    </w:p>
    <w:p w14:paraId="07ED5B3F">
      <w:pPr>
        <w:keepNext/>
        <w:pageBreakBefore/>
        <w:spacing w:after="0" w:line="240" w:lineRule="auto"/>
        <w:rPr>
          <w:rFonts w:ascii="Times New Roman" w:hAnsi="Times New Roman"/>
          <w:b/>
          <w:sz w:val="20"/>
          <w:szCs w:val="20"/>
        </w:rPr>
      </w:pPr>
      <w:r>
        <w:rPr>
          <w:rFonts w:ascii="Times New Roman" w:hAnsi="Times New Roman"/>
          <w:b/>
          <w:sz w:val="20"/>
          <w:szCs w:val="20"/>
        </w:rPr>
        <w:t>Supplementary Table 8 | Empirical parameter recovery from 20 simulations per participant and generating model, reported separately by group.</w:t>
      </w:r>
    </w:p>
    <w:tbl>
      <w:tblPr>
        <w:tblStyle w:val="6"/>
        <w:tblW w:w="6850" w:type="dxa"/>
        <w:tblInd w:w="0" w:type="dxa"/>
        <w:tblLayout w:type="autofit"/>
        <w:tblCellMar>
          <w:top w:w="0" w:type="dxa"/>
          <w:left w:w="108" w:type="dxa"/>
          <w:bottom w:w="0" w:type="dxa"/>
          <w:right w:w="108" w:type="dxa"/>
        </w:tblCellMar>
      </w:tblPr>
      <w:tblGrid>
        <w:gridCol w:w="2002"/>
        <w:gridCol w:w="600"/>
        <w:gridCol w:w="824"/>
        <w:gridCol w:w="586"/>
        <w:gridCol w:w="729"/>
        <w:gridCol w:w="779"/>
        <w:gridCol w:w="554"/>
        <w:gridCol w:w="776"/>
      </w:tblGrid>
      <w:tr w14:paraId="1DF3A1F9">
        <w:tc>
          <w:tcPr>
            <w:tcW w:w="2200" w:type="dxa"/>
          </w:tcPr>
          <w:p w14:paraId="13578979">
            <w:pPr>
              <w:jc w:val="center"/>
              <w:rPr>
                <w:rFonts w:ascii="Times New Roman" w:hAnsi="Times New Roman"/>
                <w:sz w:val="15"/>
                <w:szCs w:val="15"/>
              </w:rPr>
            </w:pPr>
            <w:r>
              <w:rPr>
                <w:rFonts w:ascii="Times New Roman" w:hAnsi="Times New Roman"/>
                <w:sz w:val="15"/>
                <w:szCs w:val="15"/>
              </w:rPr>
              <w:t>Model</w:t>
            </w:r>
          </w:p>
        </w:tc>
        <w:tc>
          <w:tcPr>
            <w:tcW w:w="600" w:type="dxa"/>
          </w:tcPr>
          <w:p w14:paraId="48369C1B">
            <w:pPr>
              <w:jc w:val="center"/>
              <w:rPr>
                <w:rFonts w:ascii="Times New Roman" w:hAnsi="Times New Roman"/>
                <w:sz w:val="15"/>
                <w:szCs w:val="15"/>
              </w:rPr>
            </w:pPr>
            <w:r>
              <w:rPr>
                <w:rFonts w:ascii="Times New Roman" w:hAnsi="Times New Roman"/>
                <w:sz w:val="15"/>
                <w:szCs w:val="15"/>
              </w:rPr>
              <w:t>Group</w:t>
            </w:r>
          </w:p>
        </w:tc>
        <w:tc>
          <w:tcPr>
            <w:tcW w:w="650" w:type="dxa"/>
          </w:tcPr>
          <w:p w14:paraId="19333C72">
            <w:pPr>
              <w:jc w:val="center"/>
              <w:rPr>
                <w:rFonts w:ascii="Times New Roman" w:hAnsi="Times New Roman"/>
                <w:sz w:val="15"/>
                <w:szCs w:val="15"/>
              </w:rPr>
            </w:pPr>
            <w:r>
              <w:rPr>
                <w:rFonts w:ascii="Times New Roman" w:hAnsi="Times New Roman"/>
                <w:sz w:val="15"/>
                <w:szCs w:val="15"/>
              </w:rPr>
              <w:t>Parameter</w:t>
            </w:r>
          </w:p>
        </w:tc>
        <w:tc>
          <w:tcPr>
            <w:tcW w:w="600" w:type="dxa"/>
          </w:tcPr>
          <w:p w14:paraId="79C4B7C2">
            <w:pPr>
              <w:jc w:val="center"/>
              <w:rPr>
                <w:rFonts w:ascii="Times New Roman" w:hAnsi="Times New Roman"/>
                <w:sz w:val="15"/>
                <w:szCs w:val="15"/>
              </w:rPr>
            </w:pPr>
            <w:r>
              <w:rPr>
                <w:rFonts w:ascii="Times New Roman" w:hAnsi="Times New Roman"/>
                <w:sz w:val="15"/>
                <w:szCs w:val="15"/>
              </w:rPr>
              <w:t>Refits</w:t>
            </w:r>
          </w:p>
        </w:tc>
        <w:tc>
          <w:tcPr>
            <w:tcW w:w="750" w:type="dxa"/>
          </w:tcPr>
          <w:p w14:paraId="479AC406">
            <w:pPr>
              <w:jc w:val="center"/>
              <w:rPr>
                <w:rFonts w:ascii="Times New Roman" w:hAnsi="Times New Roman"/>
                <w:sz w:val="15"/>
                <w:szCs w:val="15"/>
              </w:rPr>
            </w:pPr>
            <w:r>
              <w:rPr>
                <w:rFonts w:ascii="Times New Roman" w:hAnsi="Times New Roman"/>
                <w:sz w:val="15"/>
                <w:szCs w:val="15"/>
              </w:rPr>
              <w:t>Bias</w:t>
            </w:r>
          </w:p>
        </w:tc>
        <w:tc>
          <w:tcPr>
            <w:tcW w:w="750" w:type="dxa"/>
          </w:tcPr>
          <w:p w14:paraId="493EACDB">
            <w:pPr>
              <w:jc w:val="center"/>
              <w:rPr>
                <w:rFonts w:ascii="Times New Roman" w:hAnsi="Times New Roman"/>
                <w:sz w:val="15"/>
                <w:szCs w:val="15"/>
              </w:rPr>
            </w:pPr>
            <w:r>
              <w:rPr>
                <w:rFonts w:ascii="Times New Roman" w:hAnsi="Times New Roman"/>
                <w:sz w:val="15"/>
                <w:szCs w:val="15"/>
              </w:rPr>
              <w:t>RMSE</w:t>
            </w:r>
          </w:p>
        </w:tc>
        <w:tc>
          <w:tcPr>
            <w:tcW w:w="500" w:type="dxa"/>
          </w:tcPr>
          <w:p w14:paraId="19CEE747">
            <w:pPr>
              <w:jc w:val="center"/>
              <w:rPr>
                <w:rFonts w:ascii="Times New Roman" w:hAnsi="Times New Roman"/>
                <w:sz w:val="15"/>
                <w:szCs w:val="15"/>
              </w:rPr>
            </w:pPr>
            <w:r>
              <w:rPr>
                <w:rFonts w:ascii="Times New Roman" w:hAnsi="Times New Roman"/>
                <w:sz w:val="15"/>
                <w:szCs w:val="15"/>
              </w:rPr>
              <w:t>r</w:t>
            </w:r>
          </w:p>
        </w:tc>
        <w:tc>
          <w:tcPr>
            <w:tcW w:w="800" w:type="dxa"/>
          </w:tcPr>
          <w:p w14:paraId="19F90D6A">
            <w:pPr>
              <w:jc w:val="center"/>
              <w:rPr>
                <w:rFonts w:ascii="Times New Roman" w:hAnsi="Times New Roman"/>
                <w:sz w:val="15"/>
                <w:szCs w:val="15"/>
              </w:rPr>
            </w:pPr>
            <w:r>
              <w:rPr>
                <w:rFonts w:ascii="Times New Roman" w:hAnsi="Times New Roman"/>
                <w:sz w:val="15"/>
                <w:szCs w:val="15"/>
              </w:rPr>
              <w:t>95% coverage</w:t>
            </w:r>
          </w:p>
        </w:tc>
      </w:tr>
      <w:tr w14:paraId="5F829C08">
        <w:tc>
          <w:tcPr>
            <w:tcW w:w="2200" w:type="dxa"/>
          </w:tcPr>
          <w:p w14:paraId="064B6874">
            <w:pPr>
              <w:jc w:val="center"/>
              <w:rPr>
                <w:rFonts w:ascii="Times New Roman" w:hAnsi="Times New Roman"/>
                <w:sz w:val="15"/>
                <w:szCs w:val="15"/>
              </w:rPr>
            </w:pPr>
            <w:r>
              <w:rPr>
                <w:rFonts w:ascii="Times New Roman" w:hAnsi="Times New Roman"/>
                <w:sz w:val="15"/>
                <w:szCs w:val="15"/>
              </w:rPr>
              <w:t>Independent-source</w:t>
            </w:r>
          </w:p>
        </w:tc>
        <w:tc>
          <w:tcPr>
            <w:tcW w:w="600" w:type="dxa"/>
          </w:tcPr>
          <w:p w14:paraId="625D30D4">
            <w:pPr>
              <w:jc w:val="center"/>
              <w:rPr>
                <w:rFonts w:ascii="Times New Roman" w:hAnsi="Times New Roman"/>
                <w:sz w:val="15"/>
                <w:szCs w:val="15"/>
              </w:rPr>
            </w:pPr>
            <w:r>
              <w:rPr>
                <w:rFonts w:ascii="Times New Roman" w:hAnsi="Times New Roman"/>
                <w:sz w:val="15"/>
                <w:szCs w:val="15"/>
              </w:rPr>
              <w:t>HC</w:t>
            </w:r>
          </w:p>
        </w:tc>
        <w:tc>
          <w:tcPr>
            <w:tcW w:w="650" w:type="dxa"/>
          </w:tcPr>
          <w:p w14:paraId="6D138A2C">
            <w:pPr>
              <w:jc w:val="center"/>
              <w:rPr>
                <w:rFonts w:ascii="Times New Roman" w:hAnsi="Times New Roman"/>
                <w:sz w:val="15"/>
                <w:szCs w:val="15"/>
              </w:rPr>
            </w:pPr>
            <w:r>
              <w:rPr>
                <w:rFonts w:ascii="Times New Roman" w:hAnsi="Times New Roman"/>
                <w:sz w:val="15"/>
                <w:szCs w:val="15"/>
              </w:rPr>
              <w:t>b0</w:t>
            </w:r>
          </w:p>
        </w:tc>
        <w:tc>
          <w:tcPr>
            <w:tcW w:w="600" w:type="dxa"/>
          </w:tcPr>
          <w:p w14:paraId="2CD10D04">
            <w:pPr>
              <w:jc w:val="center"/>
              <w:rPr>
                <w:rFonts w:ascii="Times New Roman" w:hAnsi="Times New Roman"/>
                <w:sz w:val="15"/>
                <w:szCs w:val="15"/>
              </w:rPr>
            </w:pPr>
            <w:r>
              <w:rPr>
                <w:rFonts w:ascii="Times New Roman" w:hAnsi="Times New Roman"/>
                <w:sz w:val="15"/>
                <w:szCs w:val="15"/>
              </w:rPr>
              <w:t>980</w:t>
            </w:r>
          </w:p>
        </w:tc>
        <w:tc>
          <w:tcPr>
            <w:tcW w:w="750" w:type="dxa"/>
          </w:tcPr>
          <w:p w14:paraId="5C982DA1">
            <w:pPr>
              <w:jc w:val="center"/>
              <w:rPr>
                <w:rFonts w:ascii="Times New Roman" w:hAnsi="Times New Roman"/>
                <w:sz w:val="15"/>
                <w:szCs w:val="15"/>
              </w:rPr>
            </w:pPr>
            <w:r>
              <w:rPr>
                <w:rFonts w:ascii="Times New Roman" w:hAnsi="Times New Roman"/>
                <w:sz w:val="15"/>
                <w:szCs w:val="15"/>
              </w:rPr>
              <w:t>0.0009</w:t>
            </w:r>
          </w:p>
        </w:tc>
        <w:tc>
          <w:tcPr>
            <w:tcW w:w="750" w:type="dxa"/>
          </w:tcPr>
          <w:p w14:paraId="52742FD6">
            <w:pPr>
              <w:jc w:val="center"/>
              <w:rPr>
                <w:rFonts w:ascii="Times New Roman" w:hAnsi="Times New Roman"/>
                <w:sz w:val="15"/>
                <w:szCs w:val="15"/>
              </w:rPr>
            </w:pPr>
            <w:r>
              <w:rPr>
                <w:rFonts w:ascii="Times New Roman" w:hAnsi="Times New Roman"/>
                <w:sz w:val="15"/>
                <w:szCs w:val="15"/>
              </w:rPr>
              <w:t>0.0810</w:t>
            </w:r>
          </w:p>
        </w:tc>
        <w:tc>
          <w:tcPr>
            <w:tcW w:w="500" w:type="dxa"/>
          </w:tcPr>
          <w:p w14:paraId="02C53A4A">
            <w:pPr>
              <w:jc w:val="center"/>
              <w:rPr>
                <w:rFonts w:ascii="Times New Roman" w:hAnsi="Times New Roman"/>
                <w:sz w:val="15"/>
                <w:szCs w:val="15"/>
              </w:rPr>
            </w:pPr>
            <w:r>
              <w:rPr>
                <w:rFonts w:ascii="Times New Roman" w:hAnsi="Times New Roman"/>
                <w:sz w:val="15"/>
                <w:szCs w:val="15"/>
              </w:rPr>
              <w:t>0.926</w:t>
            </w:r>
          </w:p>
        </w:tc>
        <w:tc>
          <w:tcPr>
            <w:tcW w:w="800" w:type="dxa"/>
          </w:tcPr>
          <w:p w14:paraId="5104586D">
            <w:pPr>
              <w:jc w:val="center"/>
              <w:rPr>
                <w:rFonts w:ascii="Times New Roman" w:hAnsi="Times New Roman"/>
                <w:sz w:val="15"/>
                <w:szCs w:val="15"/>
              </w:rPr>
            </w:pPr>
            <w:r>
              <w:rPr>
                <w:rFonts w:ascii="Times New Roman" w:hAnsi="Times New Roman"/>
                <w:sz w:val="15"/>
                <w:szCs w:val="15"/>
              </w:rPr>
              <w:t>0.941</w:t>
            </w:r>
          </w:p>
        </w:tc>
      </w:tr>
      <w:tr w14:paraId="5A09F95B">
        <w:tc>
          <w:tcPr>
            <w:tcW w:w="2200" w:type="dxa"/>
          </w:tcPr>
          <w:p w14:paraId="794D3E21">
            <w:pPr>
              <w:jc w:val="center"/>
              <w:rPr>
                <w:rFonts w:ascii="Times New Roman" w:hAnsi="Times New Roman"/>
                <w:sz w:val="15"/>
                <w:szCs w:val="15"/>
              </w:rPr>
            </w:pPr>
            <w:r>
              <w:rPr>
                <w:rFonts w:ascii="Times New Roman" w:hAnsi="Times New Roman"/>
                <w:sz w:val="15"/>
                <w:szCs w:val="15"/>
              </w:rPr>
              <w:t>Independent-source</w:t>
            </w:r>
          </w:p>
        </w:tc>
        <w:tc>
          <w:tcPr>
            <w:tcW w:w="600" w:type="dxa"/>
          </w:tcPr>
          <w:p w14:paraId="2B8519EB">
            <w:pPr>
              <w:jc w:val="center"/>
              <w:rPr>
                <w:rFonts w:ascii="Times New Roman" w:hAnsi="Times New Roman"/>
                <w:sz w:val="15"/>
                <w:szCs w:val="15"/>
              </w:rPr>
            </w:pPr>
            <w:r>
              <w:rPr>
                <w:rFonts w:ascii="Times New Roman" w:hAnsi="Times New Roman"/>
                <w:sz w:val="15"/>
                <w:szCs w:val="15"/>
              </w:rPr>
              <w:t>HC</w:t>
            </w:r>
          </w:p>
        </w:tc>
        <w:tc>
          <w:tcPr>
            <w:tcW w:w="650" w:type="dxa"/>
          </w:tcPr>
          <w:p w14:paraId="241DD9F3">
            <w:pPr>
              <w:jc w:val="center"/>
              <w:rPr>
                <w:rFonts w:ascii="Times New Roman" w:hAnsi="Times New Roman"/>
                <w:sz w:val="15"/>
                <w:szCs w:val="15"/>
              </w:rPr>
            </w:pPr>
            <w:r>
              <w:rPr>
                <w:rFonts w:ascii="Times New Roman" w:hAnsi="Times New Roman"/>
                <w:sz w:val="15"/>
                <w:szCs w:val="15"/>
              </w:rPr>
              <w:t>ωp</w:t>
            </w:r>
          </w:p>
        </w:tc>
        <w:tc>
          <w:tcPr>
            <w:tcW w:w="600" w:type="dxa"/>
          </w:tcPr>
          <w:p w14:paraId="2ECB14E9">
            <w:pPr>
              <w:jc w:val="center"/>
              <w:rPr>
                <w:rFonts w:ascii="Times New Roman" w:hAnsi="Times New Roman"/>
                <w:sz w:val="15"/>
                <w:szCs w:val="15"/>
              </w:rPr>
            </w:pPr>
            <w:r>
              <w:rPr>
                <w:rFonts w:ascii="Times New Roman" w:hAnsi="Times New Roman"/>
                <w:sz w:val="15"/>
                <w:szCs w:val="15"/>
              </w:rPr>
              <w:t>980</w:t>
            </w:r>
          </w:p>
        </w:tc>
        <w:tc>
          <w:tcPr>
            <w:tcW w:w="750" w:type="dxa"/>
          </w:tcPr>
          <w:p w14:paraId="43C4879C">
            <w:pPr>
              <w:jc w:val="center"/>
              <w:rPr>
                <w:rFonts w:ascii="Times New Roman" w:hAnsi="Times New Roman"/>
                <w:sz w:val="15"/>
                <w:szCs w:val="15"/>
              </w:rPr>
            </w:pPr>
            <w:r>
              <w:rPr>
                <w:rFonts w:ascii="Times New Roman" w:hAnsi="Times New Roman"/>
                <w:sz w:val="15"/>
                <w:szCs w:val="15"/>
              </w:rPr>
              <w:t>0.0004</w:t>
            </w:r>
          </w:p>
        </w:tc>
        <w:tc>
          <w:tcPr>
            <w:tcW w:w="750" w:type="dxa"/>
          </w:tcPr>
          <w:p w14:paraId="7BCDF2EC">
            <w:pPr>
              <w:jc w:val="center"/>
              <w:rPr>
                <w:rFonts w:ascii="Times New Roman" w:hAnsi="Times New Roman"/>
                <w:sz w:val="15"/>
                <w:szCs w:val="15"/>
              </w:rPr>
            </w:pPr>
            <w:r>
              <w:rPr>
                <w:rFonts w:ascii="Times New Roman" w:hAnsi="Times New Roman"/>
                <w:sz w:val="15"/>
                <w:szCs w:val="15"/>
              </w:rPr>
              <w:t>0.0256</w:t>
            </w:r>
          </w:p>
        </w:tc>
        <w:tc>
          <w:tcPr>
            <w:tcW w:w="500" w:type="dxa"/>
          </w:tcPr>
          <w:p w14:paraId="5B13B403">
            <w:pPr>
              <w:jc w:val="center"/>
              <w:rPr>
                <w:rFonts w:ascii="Times New Roman" w:hAnsi="Times New Roman"/>
                <w:sz w:val="15"/>
                <w:szCs w:val="15"/>
              </w:rPr>
            </w:pPr>
            <w:r>
              <w:rPr>
                <w:rFonts w:ascii="Times New Roman" w:hAnsi="Times New Roman"/>
                <w:sz w:val="15"/>
                <w:szCs w:val="15"/>
              </w:rPr>
              <w:t>0.971</w:t>
            </w:r>
          </w:p>
        </w:tc>
        <w:tc>
          <w:tcPr>
            <w:tcW w:w="800" w:type="dxa"/>
          </w:tcPr>
          <w:p w14:paraId="1274E395">
            <w:pPr>
              <w:jc w:val="center"/>
              <w:rPr>
                <w:rFonts w:ascii="Times New Roman" w:hAnsi="Times New Roman"/>
                <w:sz w:val="15"/>
                <w:szCs w:val="15"/>
              </w:rPr>
            </w:pPr>
            <w:r>
              <w:rPr>
                <w:rFonts w:ascii="Times New Roman" w:hAnsi="Times New Roman"/>
                <w:sz w:val="15"/>
                <w:szCs w:val="15"/>
              </w:rPr>
              <w:t>0.942</w:t>
            </w:r>
          </w:p>
        </w:tc>
      </w:tr>
      <w:tr w14:paraId="328C273E">
        <w:tc>
          <w:tcPr>
            <w:tcW w:w="2200" w:type="dxa"/>
          </w:tcPr>
          <w:p w14:paraId="68792BC7">
            <w:pPr>
              <w:jc w:val="center"/>
              <w:rPr>
                <w:rFonts w:ascii="Times New Roman" w:hAnsi="Times New Roman"/>
                <w:sz w:val="15"/>
                <w:szCs w:val="15"/>
              </w:rPr>
            </w:pPr>
            <w:r>
              <w:rPr>
                <w:rFonts w:ascii="Times New Roman" w:hAnsi="Times New Roman"/>
                <w:sz w:val="15"/>
                <w:szCs w:val="15"/>
              </w:rPr>
              <w:t>Independent-source</w:t>
            </w:r>
          </w:p>
        </w:tc>
        <w:tc>
          <w:tcPr>
            <w:tcW w:w="600" w:type="dxa"/>
          </w:tcPr>
          <w:p w14:paraId="21F45B16">
            <w:pPr>
              <w:jc w:val="center"/>
              <w:rPr>
                <w:rFonts w:ascii="Times New Roman" w:hAnsi="Times New Roman"/>
                <w:sz w:val="15"/>
                <w:szCs w:val="15"/>
              </w:rPr>
            </w:pPr>
            <w:r>
              <w:rPr>
                <w:rFonts w:ascii="Times New Roman" w:hAnsi="Times New Roman"/>
                <w:sz w:val="15"/>
                <w:szCs w:val="15"/>
              </w:rPr>
              <w:t>HC</w:t>
            </w:r>
          </w:p>
        </w:tc>
        <w:tc>
          <w:tcPr>
            <w:tcW w:w="650" w:type="dxa"/>
          </w:tcPr>
          <w:p w14:paraId="676E7B4D">
            <w:pPr>
              <w:jc w:val="center"/>
              <w:rPr>
                <w:rFonts w:ascii="Times New Roman" w:hAnsi="Times New Roman"/>
                <w:sz w:val="15"/>
                <w:szCs w:val="15"/>
              </w:rPr>
            </w:pPr>
            <w:r>
              <w:rPr>
                <w:rFonts w:ascii="Times New Roman" w:hAnsi="Times New Roman"/>
                <w:sz w:val="15"/>
                <w:szCs w:val="15"/>
              </w:rPr>
              <w:t>ωg</w:t>
            </w:r>
          </w:p>
        </w:tc>
        <w:tc>
          <w:tcPr>
            <w:tcW w:w="600" w:type="dxa"/>
          </w:tcPr>
          <w:p w14:paraId="478A58FA">
            <w:pPr>
              <w:jc w:val="center"/>
              <w:rPr>
                <w:rFonts w:ascii="Times New Roman" w:hAnsi="Times New Roman"/>
                <w:sz w:val="15"/>
                <w:szCs w:val="15"/>
              </w:rPr>
            </w:pPr>
            <w:r>
              <w:rPr>
                <w:rFonts w:ascii="Times New Roman" w:hAnsi="Times New Roman"/>
                <w:sz w:val="15"/>
                <w:szCs w:val="15"/>
              </w:rPr>
              <w:t>980</w:t>
            </w:r>
          </w:p>
        </w:tc>
        <w:tc>
          <w:tcPr>
            <w:tcW w:w="750" w:type="dxa"/>
          </w:tcPr>
          <w:p w14:paraId="2AC20F08">
            <w:pPr>
              <w:jc w:val="center"/>
              <w:rPr>
                <w:rFonts w:ascii="Times New Roman" w:hAnsi="Times New Roman"/>
                <w:sz w:val="15"/>
                <w:szCs w:val="15"/>
              </w:rPr>
            </w:pPr>
            <w:r>
              <w:rPr>
                <w:rFonts w:ascii="Times New Roman" w:hAnsi="Times New Roman"/>
                <w:sz w:val="15"/>
                <w:szCs w:val="15"/>
              </w:rPr>
              <w:t>−0.0010</w:t>
            </w:r>
          </w:p>
        </w:tc>
        <w:tc>
          <w:tcPr>
            <w:tcW w:w="750" w:type="dxa"/>
          </w:tcPr>
          <w:p w14:paraId="625F7ABE">
            <w:pPr>
              <w:jc w:val="center"/>
              <w:rPr>
                <w:rFonts w:ascii="Times New Roman" w:hAnsi="Times New Roman"/>
                <w:sz w:val="15"/>
                <w:szCs w:val="15"/>
              </w:rPr>
            </w:pPr>
            <w:r>
              <w:rPr>
                <w:rFonts w:ascii="Times New Roman" w:hAnsi="Times New Roman"/>
                <w:sz w:val="15"/>
                <w:szCs w:val="15"/>
              </w:rPr>
              <w:t>0.0242</w:t>
            </w:r>
          </w:p>
        </w:tc>
        <w:tc>
          <w:tcPr>
            <w:tcW w:w="500" w:type="dxa"/>
          </w:tcPr>
          <w:p w14:paraId="2CE85810">
            <w:pPr>
              <w:jc w:val="center"/>
              <w:rPr>
                <w:rFonts w:ascii="Times New Roman" w:hAnsi="Times New Roman"/>
                <w:sz w:val="15"/>
                <w:szCs w:val="15"/>
              </w:rPr>
            </w:pPr>
            <w:r>
              <w:rPr>
                <w:rFonts w:ascii="Times New Roman" w:hAnsi="Times New Roman"/>
                <w:sz w:val="15"/>
                <w:szCs w:val="15"/>
              </w:rPr>
              <w:t>0.955</w:t>
            </w:r>
          </w:p>
        </w:tc>
        <w:tc>
          <w:tcPr>
            <w:tcW w:w="800" w:type="dxa"/>
          </w:tcPr>
          <w:p w14:paraId="30A34002">
            <w:pPr>
              <w:jc w:val="center"/>
              <w:rPr>
                <w:rFonts w:ascii="Times New Roman" w:hAnsi="Times New Roman"/>
                <w:sz w:val="15"/>
                <w:szCs w:val="15"/>
              </w:rPr>
            </w:pPr>
            <w:r>
              <w:rPr>
                <w:rFonts w:ascii="Times New Roman" w:hAnsi="Times New Roman"/>
                <w:sz w:val="15"/>
                <w:szCs w:val="15"/>
              </w:rPr>
              <w:t>0.946</w:t>
            </w:r>
          </w:p>
        </w:tc>
      </w:tr>
      <w:tr w14:paraId="1D3AA541">
        <w:tc>
          <w:tcPr>
            <w:tcW w:w="2200" w:type="dxa"/>
          </w:tcPr>
          <w:p w14:paraId="567F3D06">
            <w:pPr>
              <w:jc w:val="center"/>
              <w:rPr>
                <w:rFonts w:ascii="Times New Roman" w:hAnsi="Times New Roman"/>
                <w:sz w:val="15"/>
                <w:szCs w:val="15"/>
              </w:rPr>
            </w:pPr>
            <w:r>
              <w:rPr>
                <w:rFonts w:ascii="Times New Roman" w:hAnsi="Times New Roman"/>
                <w:sz w:val="15"/>
                <w:szCs w:val="15"/>
              </w:rPr>
              <w:t>Independent-source</w:t>
            </w:r>
          </w:p>
        </w:tc>
        <w:tc>
          <w:tcPr>
            <w:tcW w:w="600" w:type="dxa"/>
          </w:tcPr>
          <w:p w14:paraId="3D77FEB6">
            <w:pPr>
              <w:jc w:val="center"/>
              <w:rPr>
                <w:rFonts w:ascii="Times New Roman" w:hAnsi="Times New Roman"/>
                <w:sz w:val="15"/>
                <w:szCs w:val="15"/>
              </w:rPr>
            </w:pPr>
            <w:r>
              <w:rPr>
                <w:rFonts w:ascii="Times New Roman" w:hAnsi="Times New Roman"/>
                <w:sz w:val="15"/>
                <w:szCs w:val="15"/>
              </w:rPr>
              <w:t>MUD</w:t>
            </w:r>
          </w:p>
        </w:tc>
        <w:tc>
          <w:tcPr>
            <w:tcW w:w="650" w:type="dxa"/>
          </w:tcPr>
          <w:p w14:paraId="314502BA">
            <w:pPr>
              <w:jc w:val="center"/>
              <w:rPr>
                <w:rFonts w:ascii="Times New Roman" w:hAnsi="Times New Roman"/>
                <w:sz w:val="15"/>
                <w:szCs w:val="15"/>
              </w:rPr>
            </w:pPr>
            <w:r>
              <w:rPr>
                <w:rFonts w:ascii="Times New Roman" w:hAnsi="Times New Roman"/>
                <w:sz w:val="15"/>
                <w:szCs w:val="15"/>
              </w:rPr>
              <w:t>b0</w:t>
            </w:r>
          </w:p>
        </w:tc>
        <w:tc>
          <w:tcPr>
            <w:tcW w:w="600" w:type="dxa"/>
          </w:tcPr>
          <w:p w14:paraId="5C77BA9E">
            <w:pPr>
              <w:jc w:val="center"/>
              <w:rPr>
                <w:rFonts w:ascii="Times New Roman" w:hAnsi="Times New Roman"/>
                <w:sz w:val="15"/>
                <w:szCs w:val="15"/>
              </w:rPr>
            </w:pPr>
            <w:r>
              <w:rPr>
                <w:rFonts w:ascii="Times New Roman" w:hAnsi="Times New Roman"/>
                <w:sz w:val="15"/>
                <w:szCs w:val="15"/>
              </w:rPr>
              <w:t>760</w:t>
            </w:r>
          </w:p>
        </w:tc>
        <w:tc>
          <w:tcPr>
            <w:tcW w:w="750" w:type="dxa"/>
          </w:tcPr>
          <w:p w14:paraId="4A9DFE14">
            <w:pPr>
              <w:jc w:val="center"/>
              <w:rPr>
                <w:rFonts w:ascii="Times New Roman" w:hAnsi="Times New Roman"/>
                <w:sz w:val="15"/>
                <w:szCs w:val="15"/>
              </w:rPr>
            </w:pPr>
            <w:r>
              <w:rPr>
                <w:rFonts w:ascii="Times New Roman" w:hAnsi="Times New Roman"/>
                <w:sz w:val="15"/>
                <w:szCs w:val="15"/>
              </w:rPr>
              <w:t>−0.0024</w:t>
            </w:r>
          </w:p>
        </w:tc>
        <w:tc>
          <w:tcPr>
            <w:tcW w:w="750" w:type="dxa"/>
          </w:tcPr>
          <w:p w14:paraId="62F6A513">
            <w:pPr>
              <w:jc w:val="center"/>
              <w:rPr>
                <w:rFonts w:ascii="Times New Roman" w:hAnsi="Times New Roman"/>
                <w:sz w:val="15"/>
                <w:szCs w:val="15"/>
              </w:rPr>
            </w:pPr>
            <w:r>
              <w:rPr>
                <w:rFonts w:ascii="Times New Roman" w:hAnsi="Times New Roman"/>
                <w:sz w:val="15"/>
                <w:szCs w:val="15"/>
              </w:rPr>
              <w:t>0.0638</w:t>
            </w:r>
          </w:p>
        </w:tc>
        <w:tc>
          <w:tcPr>
            <w:tcW w:w="500" w:type="dxa"/>
          </w:tcPr>
          <w:p w14:paraId="398D6EEC">
            <w:pPr>
              <w:jc w:val="center"/>
              <w:rPr>
                <w:rFonts w:ascii="Times New Roman" w:hAnsi="Times New Roman"/>
                <w:sz w:val="15"/>
                <w:szCs w:val="15"/>
              </w:rPr>
            </w:pPr>
            <w:r>
              <w:rPr>
                <w:rFonts w:ascii="Times New Roman" w:hAnsi="Times New Roman"/>
                <w:sz w:val="15"/>
                <w:szCs w:val="15"/>
              </w:rPr>
              <w:t>0.959</w:t>
            </w:r>
          </w:p>
        </w:tc>
        <w:tc>
          <w:tcPr>
            <w:tcW w:w="800" w:type="dxa"/>
          </w:tcPr>
          <w:p w14:paraId="685AD20A">
            <w:pPr>
              <w:jc w:val="center"/>
              <w:rPr>
                <w:rFonts w:ascii="Times New Roman" w:hAnsi="Times New Roman"/>
                <w:sz w:val="15"/>
                <w:szCs w:val="15"/>
              </w:rPr>
            </w:pPr>
            <w:r>
              <w:rPr>
                <w:rFonts w:ascii="Times New Roman" w:hAnsi="Times New Roman"/>
                <w:sz w:val="15"/>
                <w:szCs w:val="15"/>
              </w:rPr>
              <w:t>0.951</w:t>
            </w:r>
          </w:p>
        </w:tc>
      </w:tr>
      <w:tr w14:paraId="056F91A5">
        <w:tc>
          <w:tcPr>
            <w:tcW w:w="2200" w:type="dxa"/>
          </w:tcPr>
          <w:p w14:paraId="6EA40934">
            <w:pPr>
              <w:jc w:val="center"/>
              <w:rPr>
                <w:rFonts w:ascii="Times New Roman" w:hAnsi="Times New Roman"/>
                <w:sz w:val="15"/>
                <w:szCs w:val="15"/>
              </w:rPr>
            </w:pPr>
            <w:r>
              <w:rPr>
                <w:rFonts w:ascii="Times New Roman" w:hAnsi="Times New Roman"/>
                <w:sz w:val="15"/>
                <w:szCs w:val="15"/>
              </w:rPr>
              <w:t>Independent-source</w:t>
            </w:r>
          </w:p>
        </w:tc>
        <w:tc>
          <w:tcPr>
            <w:tcW w:w="600" w:type="dxa"/>
          </w:tcPr>
          <w:p w14:paraId="7427EA1A">
            <w:pPr>
              <w:jc w:val="center"/>
              <w:rPr>
                <w:rFonts w:ascii="Times New Roman" w:hAnsi="Times New Roman"/>
                <w:sz w:val="15"/>
                <w:szCs w:val="15"/>
              </w:rPr>
            </w:pPr>
            <w:r>
              <w:rPr>
                <w:rFonts w:ascii="Times New Roman" w:hAnsi="Times New Roman"/>
                <w:sz w:val="15"/>
                <w:szCs w:val="15"/>
              </w:rPr>
              <w:t>MUD</w:t>
            </w:r>
          </w:p>
        </w:tc>
        <w:tc>
          <w:tcPr>
            <w:tcW w:w="650" w:type="dxa"/>
          </w:tcPr>
          <w:p w14:paraId="6BD85A1C">
            <w:pPr>
              <w:jc w:val="center"/>
              <w:rPr>
                <w:rFonts w:ascii="Times New Roman" w:hAnsi="Times New Roman"/>
                <w:sz w:val="15"/>
                <w:szCs w:val="15"/>
              </w:rPr>
            </w:pPr>
            <w:r>
              <w:rPr>
                <w:rFonts w:ascii="Times New Roman" w:hAnsi="Times New Roman"/>
                <w:sz w:val="15"/>
                <w:szCs w:val="15"/>
              </w:rPr>
              <w:t>ωp</w:t>
            </w:r>
          </w:p>
        </w:tc>
        <w:tc>
          <w:tcPr>
            <w:tcW w:w="600" w:type="dxa"/>
          </w:tcPr>
          <w:p w14:paraId="339959E3">
            <w:pPr>
              <w:jc w:val="center"/>
              <w:rPr>
                <w:rFonts w:ascii="Times New Roman" w:hAnsi="Times New Roman"/>
                <w:sz w:val="15"/>
                <w:szCs w:val="15"/>
              </w:rPr>
            </w:pPr>
            <w:r>
              <w:rPr>
                <w:rFonts w:ascii="Times New Roman" w:hAnsi="Times New Roman"/>
                <w:sz w:val="15"/>
                <w:szCs w:val="15"/>
              </w:rPr>
              <w:t>760</w:t>
            </w:r>
          </w:p>
        </w:tc>
        <w:tc>
          <w:tcPr>
            <w:tcW w:w="750" w:type="dxa"/>
          </w:tcPr>
          <w:p w14:paraId="629C985E">
            <w:pPr>
              <w:jc w:val="center"/>
              <w:rPr>
                <w:rFonts w:ascii="Times New Roman" w:hAnsi="Times New Roman"/>
                <w:sz w:val="15"/>
                <w:szCs w:val="15"/>
              </w:rPr>
            </w:pPr>
            <w:r>
              <w:rPr>
                <w:rFonts w:ascii="Times New Roman" w:hAnsi="Times New Roman"/>
                <w:sz w:val="15"/>
                <w:szCs w:val="15"/>
              </w:rPr>
              <w:t>−0.0000</w:t>
            </w:r>
          </w:p>
        </w:tc>
        <w:tc>
          <w:tcPr>
            <w:tcW w:w="750" w:type="dxa"/>
          </w:tcPr>
          <w:p w14:paraId="6CA71251">
            <w:pPr>
              <w:jc w:val="center"/>
              <w:rPr>
                <w:rFonts w:ascii="Times New Roman" w:hAnsi="Times New Roman"/>
                <w:sz w:val="15"/>
                <w:szCs w:val="15"/>
              </w:rPr>
            </w:pPr>
            <w:r>
              <w:rPr>
                <w:rFonts w:ascii="Times New Roman" w:hAnsi="Times New Roman"/>
                <w:sz w:val="15"/>
                <w:szCs w:val="15"/>
              </w:rPr>
              <w:t>0.0193</w:t>
            </w:r>
          </w:p>
        </w:tc>
        <w:tc>
          <w:tcPr>
            <w:tcW w:w="500" w:type="dxa"/>
          </w:tcPr>
          <w:p w14:paraId="339CD2A8">
            <w:pPr>
              <w:jc w:val="center"/>
              <w:rPr>
                <w:rFonts w:ascii="Times New Roman" w:hAnsi="Times New Roman"/>
                <w:sz w:val="15"/>
                <w:szCs w:val="15"/>
              </w:rPr>
            </w:pPr>
            <w:r>
              <w:rPr>
                <w:rFonts w:ascii="Times New Roman" w:hAnsi="Times New Roman"/>
                <w:sz w:val="15"/>
                <w:szCs w:val="15"/>
              </w:rPr>
              <w:t>0.939</w:t>
            </w:r>
          </w:p>
        </w:tc>
        <w:tc>
          <w:tcPr>
            <w:tcW w:w="800" w:type="dxa"/>
          </w:tcPr>
          <w:p w14:paraId="14A3AF76">
            <w:pPr>
              <w:jc w:val="center"/>
              <w:rPr>
                <w:rFonts w:ascii="Times New Roman" w:hAnsi="Times New Roman"/>
                <w:sz w:val="15"/>
                <w:szCs w:val="15"/>
              </w:rPr>
            </w:pPr>
            <w:r>
              <w:rPr>
                <w:rFonts w:ascii="Times New Roman" w:hAnsi="Times New Roman"/>
                <w:sz w:val="15"/>
                <w:szCs w:val="15"/>
              </w:rPr>
              <w:t>0.937</w:t>
            </w:r>
          </w:p>
        </w:tc>
      </w:tr>
      <w:tr w14:paraId="36D8E94E">
        <w:tc>
          <w:tcPr>
            <w:tcW w:w="2200" w:type="dxa"/>
          </w:tcPr>
          <w:p w14:paraId="536F3874">
            <w:pPr>
              <w:jc w:val="center"/>
              <w:rPr>
                <w:rFonts w:ascii="Times New Roman" w:hAnsi="Times New Roman"/>
                <w:sz w:val="15"/>
                <w:szCs w:val="15"/>
              </w:rPr>
            </w:pPr>
            <w:r>
              <w:rPr>
                <w:rFonts w:ascii="Times New Roman" w:hAnsi="Times New Roman"/>
                <w:sz w:val="15"/>
                <w:szCs w:val="15"/>
              </w:rPr>
              <w:t>Independent-source</w:t>
            </w:r>
          </w:p>
        </w:tc>
        <w:tc>
          <w:tcPr>
            <w:tcW w:w="600" w:type="dxa"/>
          </w:tcPr>
          <w:p w14:paraId="3FF912AD">
            <w:pPr>
              <w:jc w:val="center"/>
              <w:rPr>
                <w:rFonts w:ascii="Times New Roman" w:hAnsi="Times New Roman"/>
                <w:sz w:val="15"/>
                <w:szCs w:val="15"/>
              </w:rPr>
            </w:pPr>
            <w:r>
              <w:rPr>
                <w:rFonts w:ascii="Times New Roman" w:hAnsi="Times New Roman"/>
                <w:sz w:val="15"/>
                <w:szCs w:val="15"/>
              </w:rPr>
              <w:t>MUD</w:t>
            </w:r>
          </w:p>
        </w:tc>
        <w:tc>
          <w:tcPr>
            <w:tcW w:w="650" w:type="dxa"/>
          </w:tcPr>
          <w:p w14:paraId="2FCA3C5F">
            <w:pPr>
              <w:jc w:val="center"/>
              <w:rPr>
                <w:rFonts w:ascii="Times New Roman" w:hAnsi="Times New Roman"/>
                <w:sz w:val="15"/>
                <w:szCs w:val="15"/>
              </w:rPr>
            </w:pPr>
            <w:r>
              <w:rPr>
                <w:rFonts w:ascii="Times New Roman" w:hAnsi="Times New Roman"/>
                <w:sz w:val="15"/>
                <w:szCs w:val="15"/>
              </w:rPr>
              <w:t>ωg</w:t>
            </w:r>
          </w:p>
        </w:tc>
        <w:tc>
          <w:tcPr>
            <w:tcW w:w="600" w:type="dxa"/>
          </w:tcPr>
          <w:p w14:paraId="0C37DB7B">
            <w:pPr>
              <w:jc w:val="center"/>
              <w:rPr>
                <w:rFonts w:ascii="Times New Roman" w:hAnsi="Times New Roman"/>
                <w:sz w:val="15"/>
                <w:szCs w:val="15"/>
              </w:rPr>
            </w:pPr>
            <w:r>
              <w:rPr>
                <w:rFonts w:ascii="Times New Roman" w:hAnsi="Times New Roman"/>
                <w:sz w:val="15"/>
                <w:szCs w:val="15"/>
              </w:rPr>
              <w:t>760</w:t>
            </w:r>
          </w:p>
        </w:tc>
        <w:tc>
          <w:tcPr>
            <w:tcW w:w="750" w:type="dxa"/>
          </w:tcPr>
          <w:p w14:paraId="7864865B">
            <w:pPr>
              <w:jc w:val="center"/>
              <w:rPr>
                <w:rFonts w:ascii="Times New Roman" w:hAnsi="Times New Roman"/>
                <w:sz w:val="15"/>
                <w:szCs w:val="15"/>
              </w:rPr>
            </w:pPr>
            <w:r>
              <w:rPr>
                <w:rFonts w:ascii="Times New Roman" w:hAnsi="Times New Roman"/>
                <w:sz w:val="15"/>
                <w:szCs w:val="15"/>
              </w:rPr>
              <w:t>−0.0006</w:t>
            </w:r>
          </w:p>
        </w:tc>
        <w:tc>
          <w:tcPr>
            <w:tcW w:w="750" w:type="dxa"/>
          </w:tcPr>
          <w:p w14:paraId="1A0F67F5">
            <w:pPr>
              <w:jc w:val="center"/>
              <w:rPr>
                <w:rFonts w:ascii="Times New Roman" w:hAnsi="Times New Roman"/>
                <w:sz w:val="15"/>
                <w:szCs w:val="15"/>
              </w:rPr>
            </w:pPr>
            <w:r>
              <w:rPr>
                <w:rFonts w:ascii="Times New Roman" w:hAnsi="Times New Roman"/>
                <w:sz w:val="15"/>
                <w:szCs w:val="15"/>
              </w:rPr>
              <w:t>0.0183</w:t>
            </w:r>
          </w:p>
        </w:tc>
        <w:tc>
          <w:tcPr>
            <w:tcW w:w="500" w:type="dxa"/>
          </w:tcPr>
          <w:p w14:paraId="0D4EFEF6">
            <w:pPr>
              <w:jc w:val="center"/>
              <w:rPr>
                <w:rFonts w:ascii="Times New Roman" w:hAnsi="Times New Roman"/>
                <w:sz w:val="15"/>
                <w:szCs w:val="15"/>
              </w:rPr>
            </w:pPr>
            <w:r>
              <w:rPr>
                <w:rFonts w:ascii="Times New Roman" w:hAnsi="Times New Roman"/>
                <w:sz w:val="15"/>
                <w:szCs w:val="15"/>
              </w:rPr>
              <w:t>0.966</w:t>
            </w:r>
          </w:p>
        </w:tc>
        <w:tc>
          <w:tcPr>
            <w:tcW w:w="800" w:type="dxa"/>
          </w:tcPr>
          <w:p w14:paraId="23AC3615">
            <w:pPr>
              <w:jc w:val="center"/>
              <w:rPr>
                <w:rFonts w:ascii="Times New Roman" w:hAnsi="Times New Roman"/>
                <w:sz w:val="15"/>
                <w:szCs w:val="15"/>
              </w:rPr>
            </w:pPr>
            <w:r>
              <w:rPr>
                <w:rFonts w:ascii="Times New Roman" w:hAnsi="Times New Roman"/>
                <w:sz w:val="15"/>
                <w:szCs w:val="15"/>
              </w:rPr>
              <w:t>0.954</w:t>
            </w:r>
          </w:p>
        </w:tc>
      </w:tr>
      <w:tr w14:paraId="005DBD26">
        <w:tc>
          <w:tcPr>
            <w:tcW w:w="2200" w:type="dxa"/>
          </w:tcPr>
          <w:p w14:paraId="52D4467D">
            <w:pPr>
              <w:jc w:val="center"/>
              <w:rPr>
                <w:rFonts w:ascii="Times New Roman" w:hAnsi="Times New Roman"/>
                <w:sz w:val="15"/>
                <w:szCs w:val="15"/>
              </w:rPr>
            </w:pPr>
            <w:r>
              <w:rPr>
                <w:rFonts w:ascii="Times New Roman" w:hAnsi="Times New Roman"/>
                <w:sz w:val="15"/>
                <w:szCs w:val="15"/>
              </w:rPr>
              <w:t>Equal-weight composite</w:t>
            </w:r>
          </w:p>
        </w:tc>
        <w:tc>
          <w:tcPr>
            <w:tcW w:w="600" w:type="dxa"/>
          </w:tcPr>
          <w:p w14:paraId="78F80F82">
            <w:pPr>
              <w:jc w:val="center"/>
              <w:rPr>
                <w:rFonts w:ascii="Times New Roman" w:hAnsi="Times New Roman"/>
                <w:sz w:val="15"/>
                <w:szCs w:val="15"/>
              </w:rPr>
            </w:pPr>
            <w:r>
              <w:rPr>
                <w:rFonts w:ascii="Times New Roman" w:hAnsi="Times New Roman"/>
                <w:sz w:val="15"/>
                <w:szCs w:val="15"/>
              </w:rPr>
              <w:t>HC</w:t>
            </w:r>
          </w:p>
        </w:tc>
        <w:tc>
          <w:tcPr>
            <w:tcW w:w="650" w:type="dxa"/>
          </w:tcPr>
          <w:p w14:paraId="2AD209FD">
            <w:pPr>
              <w:jc w:val="center"/>
              <w:rPr>
                <w:rFonts w:ascii="Times New Roman" w:hAnsi="Times New Roman"/>
                <w:sz w:val="15"/>
                <w:szCs w:val="15"/>
              </w:rPr>
            </w:pPr>
            <w:r>
              <w:rPr>
                <w:rFonts w:ascii="Times New Roman" w:hAnsi="Times New Roman"/>
                <w:sz w:val="15"/>
                <w:szCs w:val="15"/>
              </w:rPr>
              <w:t>b0</w:t>
            </w:r>
          </w:p>
        </w:tc>
        <w:tc>
          <w:tcPr>
            <w:tcW w:w="600" w:type="dxa"/>
          </w:tcPr>
          <w:p w14:paraId="5CDB826F">
            <w:pPr>
              <w:jc w:val="center"/>
              <w:rPr>
                <w:rFonts w:ascii="Times New Roman" w:hAnsi="Times New Roman"/>
                <w:sz w:val="15"/>
                <w:szCs w:val="15"/>
              </w:rPr>
            </w:pPr>
            <w:r>
              <w:rPr>
                <w:rFonts w:ascii="Times New Roman" w:hAnsi="Times New Roman"/>
                <w:sz w:val="15"/>
                <w:szCs w:val="15"/>
              </w:rPr>
              <w:t>980</w:t>
            </w:r>
          </w:p>
        </w:tc>
        <w:tc>
          <w:tcPr>
            <w:tcW w:w="750" w:type="dxa"/>
          </w:tcPr>
          <w:p w14:paraId="2FA81273">
            <w:pPr>
              <w:jc w:val="center"/>
              <w:rPr>
                <w:rFonts w:ascii="Times New Roman" w:hAnsi="Times New Roman"/>
                <w:sz w:val="15"/>
                <w:szCs w:val="15"/>
              </w:rPr>
            </w:pPr>
            <w:r>
              <w:rPr>
                <w:rFonts w:ascii="Times New Roman" w:hAnsi="Times New Roman"/>
                <w:sz w:val="15"/>
                <w:szCs w:val="15"/>
              </w:rPr>
              <w:t>0.0054</w:t>
            </w:r>
          </w:p>
        </w:tc>
        <w:tc>
          <w:tcPr>
            <w:tcW w:w="750" w:type="dxa"/>
          </w:tcPr>
          <w:p w14:paraId="5061084D">
            <w:pPr>
              <w:jc w:val="center"/>
              <w:rPr>
                <w:rFonts w:ascii="Times New Roman" w:hAnsi="Times New Roman"/>
                <w:sz w:val="15"/>
                <w:szCs w:val="15"/>
              </w:rPr>
            </w:pPr>
            <w:r>
              <w:rPr>
                <w:rFonts w:ascii="Times New Roman" w:hAnsi="Times New Roman"/>
                <w:sz w:val="15"/>
                <w:szCs w:val="15"/>
              </w:rPr>
              <w:t>0.0850</w:t>
            </w:r>
          </w:p>
        </w:tc>
        <w:tc>
          <w:tcPr>
            <w:tcW w:w="500" w:type="dxa"/>
          </w:tcPr>
          <w:p w14:paraId="40FA7D8A">
            <w:pPr>
              <w:jc w:val="center"/>
              <w:rPr>
                <w:rFonts w:ascii="Times New Roman" w:hAnsi="Times New Roman"/>
                <w:sz w:val="15"/>
                <w:szCs w:val="15"/>
              </w:rPr>
            </w:pPr>
            <w:r>
              <w:rPr>
                <w:rFonts w:ascii="Times New Roman" w:hAnsi="Times New Roman"/>
                <w:sz w:val="15"/>
                <w:szCs w:val="15"/>
              </w:rPr>
              <w:t>0.919</w:t>
            </w:r>
          </w:p>
        </w:tc>
        <w:tc>
          <w:tcPr>
            <w:tcW w:w="800" w:type="dxa"/>
          </w:tcPr>
          <w:p w14:paraId="5CB4D51C">
            <w:pPr>
              <w:jc w:val="center"/>
              <w:rPr>
                <w:rFonts w:ascii="Times New Roman" w:hAnsi="Times New Roman"/>
                <w:sz w:val="15"/>
                <w:szCs w:val="15"/>
              </w:rPr>
            </w:pPr>
            <w:r>
              <w:rPr>
                <w:rFonts w:ascii="Times New Roman" w:hAnsi="Times New Roman"/>
                <w:sz w:val="15"/>
                <w:szCs w:val="15"/>
              </w:rPr>
              <w:t>0.953</w:t>
            </w:r>
          </w:p>
        </w:tc>
      </w:tr>
      <w:tr w14:paraId="6B8441A5">
        <w:tc>
          <w:tcPr>
            <w:tcW w:w="2200" w:type="dxa"/>
          </w:tcPr>
          <w:p w14:paraId="48D106F8">
            <w:pPr>
              <w:jc w:val="center"/>
              <w:rPr>
                <w:rFonts w:ascii="Times New Roman" w:hAnsi="Times New Roman"/>
                <w:sz w:val="15"/>
                <w:szCs w:val="15"/>
              </w:rPr>
            </w:pPr>
            <w:r>
              <w:rPr>
                <w:rFonts w:ascii="Times New Roman" w:hAnsi="Times New Roman"/>
                <w:sz w:val="15"/>
                <w:szCs w:val="15"/>
              </w:rPr>
              <w:t>Equal-weight composite</w:t>
            </w:r>
          </w:p>
        </w:tc>
        <w:tc>
          <w:tcPr>
            <w:tcW w:w="600" w:type="dxa"/>
          </w:tcPr>
          <w:p w14:paraId="20F4FF70">
            <w:pPr>
              <w:jc w:val="center"/>
              <w:rPr>
                <w:rFonts w:ascii="Times New Roman" w:hAnsi="Times New Roman"/>
                <w:sz w:val="15"/>
                <w:szCs w:val="15"/>
              </w:rPr>
            </w:pPr>
            <w:r>
              <w:rPr>
                <w:rFonts w:ascii="Times New Roman" w:hAnsi="Times New Roman"/>
                <w:sz w:val="15"/>
                <w:szCs w:val="15"/>
              </w:rPr>
              <w:t>HC</w:t>
            </w:r>
          </w:p>
        </w:tc>
        <w:tc>
          <w:tcPr>
            <w:tcW w:w="650" w:type="dxa"/>
          </w:tcPr>
          <w:p w14:paraId="26BB92B9">
            <w:pPr>
              <w:jc w:val="center"/>
              <w:rPr>
                <w:rFonts w:ascii="Times New Roman" w:hAnsi="Times New Roman"/>
                <w:sz w:val="15"/>
                <w:szCs w:val="15"/>
              </w:rPr>
            </w:pPr>
            <w:r>
              <w:rPr>
                <w:rFonts w:ascii="Times New Roman" w:hAnsi="Times New Roman"/>
                <w:sz w:val="15"/>
                <w:szCs w:val="15"/>
              </w:rPr>
              <w:t>ωs</w:t>
            </w:r>
          </w:p>
        </w:tc>
        <w:tc>
          <w:tcPr>
            <w:tcW w:w="600" w:type="dxa"/>
          </w:tcPr>
          <w:p w14:paraId="41D1C26B">
            <w:pPr>
              <w:jc w:val="center"/>
              <w:rPr>
                <w:rFonts w:ascii="Times New Roman" w:hAnsi="Times New Roman"/>
                <w:sz w:val="15"/>
                <w:szCs w:val="15"/>
              </w:rPr>
            </w:pPr>
            <w:r>
              <w:rPr>
                <w:rFonts w:ascii="Times New Roman" w:hAnsi="Times New Roman"/>
                <w:sz w:val="15"/>
                <w:szCs w:val="15"/>
              </w:rPr>
              <w:t>980</w:t>
            </w:r>
          </w:p>
        </w:tc>
        <w:tc>
          <w:tcPr>
            <w:tcW w:w="750" w:type="dxa"/>
          </w:tcPr>
          <w:p w14:paraId="26A534CE">
            <w:pPr>
              <w:jc w:val="center"/>
              <w:rPr>
                <w:rFonts w:ascii="Times New Roman" w:hAnsi="Times New Roman"/>
                <w:sz w:val="15"/>
                <w:szCs w:val="15"/>
              </w:rPr>
            </w:pPr>
            <w:r>
              <w:rPr>
                <w:rFonts w:ascii="Times New Roman" w:hAnsi="Times New Roman"/>
                <w:sz w:val="15"/>
                <w:szCs w:val="15"/>
              </w:rPr>
              <w:t>−0.0028</w:t>
            </w:r>
          </w:p>
        </w:tc>
        <w:tc>
          <w:tcPr>
            <w:tcW w:w="750" w:type="dxa"/>
          </w:tcPr>
          <w:p w14:paraId="64B36596">
            <w:pPr>
              <w:jc w:val="center"/>
              <w:rPr>
                <w:rFonts w:ascii="Times New Roman" w:hAnsi="Times New Roman"/>
                <w:sz w:val="15"/>
                <w:szCs w:val="15"/>
              </w:rPr>
            </w:pPr>
            <w:r>
              <w:rPr>
                <w:rFonts w:ascii="Times New Roman" w:hAnsi="Times New Roman"/>
                <w:sz w:val="15"/>
                <w:szCs w:val="15"/>
              </w:rPr>
              <w:t>0.0382</w:t>
            </w:r>
          </w:p>
        </w:tc>
        <w:tc>
          <w:tcPr>
            <w:tcW w:w="500" w:type="dxa"/>
          </w:tcPr>
          <w:p w14:paraId="6721CB16">
            <w:pPr>
              <w:jc w:val="center"/>
              <w:rPr>
                <w:rFonts w:ascii="Times New Roman" w:hAnsi="Times New Roman"/>
                <w:sz w:val="15"/>
                <w:szCs w:val="15"/>
              </w:rPr>
            </w:pPr>
            <w:r>
              <w:rPr>
                <w:rFonts w:ascii="Times New Roman" w:hAnsi="Times New Roman"/>
                <w:sz w:val="15"/>
                <w:szCs w:val="15"/>
              </w:rPr>
              <w:t>0.973</w:t>
            </w:r>
          </w:p>
        </w:tc>
        <w:tc>
          <w:tcPr>
            <w:tcW w:w="800" w:type="dxa"/>
          </w:tcPr>
          <w:p w14:paraId="354ED0DA">
            <w:pPr>
              <w:jc w:val="center"/>
              <w:rPr>
                <w:rFonts w:ascii="Times New Roman" w:hAnsi="Times New Roman"/>
                <w:sz w:val="15"/>
                <w:szCs w:val="15"/>
              </w:rPr>
            </w:pPr>
            <w:r>
              <w:rPr>
                <w:rFonts w:ascii="Times New Roman" w:hAnsi="Times New Roman"/>
                <w:sz w:val="15"/>
                <w:szCs w:val="15"/>
              </w:rPr>
              <w:t>0.948</w:t>
            </w:r>
          </w:p>
        </w:tc>
      </w:tr>
      <w:tr w14:paraId="4D4277EF">
        <w:tc>
          <w:tcPr>
            <w:tcW w:w="2200" w:type="dxa"/>
          </w:tcPr>
          <w:p w14:paraId="4BDE4CB1">
            <w:pPr>
              <w:jc w:val="center"/>
              <w:rPr>
                <w:rFonts w:ascii="Times New Roman" w:hAnsi="Times New Roman"/>
                <w:sz w:val="15"/>
                <w:szCs w:val="15"/>
              </w:rPr>
            </w:pPr>
            <w:r>
              <w:rPr>
                <w:rFonts w:ascii="Times New Roman" w:hAnsi="Times New Roman"/>
                <w:sz w:val="15"/>
                <w:szCs w:val="15"/>
              </w:rPr>
              <w:t>Equal-weight composite</w:t>
            </w:r>
          </w:p>
        </w:tc>
        <w:tc>
          <w:tcPr>
            <w:tcW w:w="600" w:type="dxa"/>
          </w:tcPr>
          <w:p w14:paraId="6F30DFDC">
            <w:pPr>
              <w:jc w:val="center"/>
              <w:rPr>
                <w:rFonts w:ascii="Times New Roman" w:hAnsi="Times New Roman"/>
                <w:sz w:val="15"/>
                <w:szCs w:val="15"/>
              </w:rPr>
            </w:pPr>
            <w:r>
              <w:rPr>
                <w:rFonts w:ascii="Times New Roman" w:hAnsi="Times New Roman"/>
                <w:sz w:val="15"/>
                <w:szCs w:val="15"/>
              </w:rPr>
              <w:t>MUD</w:t>
            </w:r>
          </w:p>
        </w:tc>
        <w:tc>
          <w:tcPr>
            <w:tcW w:w="650" w:type="dxa"/>
          </w:tcPr>
          <w:p w14:paraId="1DD5768F">
            <w:pPr>
              <w:jc w:val="center"/>
              <w:rPr>
                <w:rFonts w:ascii="Times New Roman" w:hAnsi="Times New Roman"/>
                <w:sz w:val="15"/>
                <w:szCs w:val="15"/>
              </w:rPr>
            </w:pPr>
            <w:r>
              <w:rPr>
                <w:rFonts w:ascii="Times New Roman" w:hAnsi="Times New Roman"/>
                <w:sz w:val="15"/>
                <w:szCs w:val="15"/>
              </w:rPr>
              <w:t>b0</w:t>
            </w:r>
          </w:p>
        </w:tc>
        <w:tc>
          <w:tcPr>
            <w:tcW w:w="600" w:type="dxa"/>
          </w:tcPr>
          <w:p w14:paraId="6C88EE88">
            <w:pPr>
              <w:jc w:val="center"/>
              <w:rPr>
                <w:rFonts w:ascii="Times New Roman" w:hAnsi="Times New Roman"/>
                <w:sz w:val="15"/>
                <w:szCs w:val="15"/>
              </w:rPr>
            </w:pPr>
            <w:r>
              <w:rPr>
                <w:rFonts w:ascii="Times New Roman" w:hAnsi="Times New Roman"/>
                <w:sz w:val="15"/>
                <w:szCs w:val="15"/>
              </w:rPr>
              <w:t>760</w:t>
            </w:r>
          </w:p>
        </w:tc>
        <w:tc>
          <w:tcPr>
            <w:tcW w:w="750" w:type="dxa"/>
          </w:tcPr>
          <w:p w14:paraId="60A5DB1A">
            <w:pPr>
              <w:jc w:val="center"/>
              <w:rPr>
                <w:rFonts w:ascii="Times New Roman" w:hAnsi="Times New Roman"/>
                <w:sz w:val="15"/>
                <w:szCs w:val="15"/>
              </w:rPr>
            </w:pPr>
            <w:r>
              <w:rPr>
                <w:rFonts w:ascii="Times New Roman" w:hAnsi="Times New Roman"/>
                <w:sz w:val="15"/>
                <w:szCs w:val="15"/>
              </w:rPr>
              <w:t>−0.0005</w:t>
            </w:r>
          </w:p>
        </w:tc>
        <w:tc>
          <w:tcPr>
            <w:tcW w:w="750" w:type="dxa"/>
          </w:tcPr>
          <w:p w14:paraId="5542F6CF">
            <w:pPr>
              <w:jc w:val="center"/>
              <w:rPr>
                <w:rFonts w:ascii="Times New Roman" w:hAnsi="Times New Roman"/>
                <w:sz w:val="15"/>
                <w:szCs w:val="15"/>
              </w:rPr>
            </w:pPr>
            <w:r>
              <w:rPr>
                <w:rFonts w:ascii="Times New Roman" w:hAnsi="Times New Roman"/>
                <w:sz w:val="15"/>
                <w:szCs w:val="15"/>
              </w:rPr>
              <w:t>0.0703</w:t>
            </w:r>
          </w:p>
        </w:tc>
        <w:tc>
          <w:tcPr>
            <w:tcW w:w="500" w:type="dxa"/>
          </w:tcPr>
          <w:p w14:paraId="015707A5">
            <w:pPr>
              <w:jc w:val="center"/>
              <w:rPr>
                <w:rFonts w:ascii="Times New Roman" w:hAnsi="Times New Roman"/>
                <w:sz w:val="15"/>
                <w:szCs w:val="15"/>
              </w:rPr>
            </w:pPr>
            <w:r>
              <w:rPr>
                <w:rFonts w:ascii="Times New Roman" w:hAnsi="Times New Roman"/>
                <w:sz w:val="15"/>
                <w:szCs w:val="15"/>
              </w:rPr>
              <w:t>0.951</w:t>
            </w:r>
          </w:p>
        </w:tc>
        <w:tc>
          <w:tcPr>
            <w:tcW w:w="800" w:type="dxa"/>
          </w:tcPr>
          <w:p w14:paraId="2FDA9DB8">
            <w:pPr>
              <w:jc w:val="center"/>
              <w:rPr>
                <w:rFonts w:ascii="Times New Roman" w:hAnsi="Times New Roman"/>
                <w:sz w:val="15"/>
                <w:szCs w:val="15"/>
              </w:rPr>
            </w:pPr>
            <w:r>
              <w:rPr>
                <w:rFonts w:ascii="Times New Roman" w:hAnsi="Times New Roman"/>
                <w:sz w:val="15"/>
                <w:szCs w:val="15"/>
              </w:rPr>
              <w:t>0.945</w:t>
            </w:r>
          </w:p>
        </w:tc>
      </w:tr>
      <w:tr w14:paraId="207FB8E8">
        <w:tc>
          <w:tcPr>
            <w:tcW w:w="2200" w:type="dxa"/>
          </w:tcPr>
          <w:p w14:paraId="0AEEF3B0">
            <w:pPr>
              <w:jc w:val="center"/>
              <w:rPr>
                <w:rFonts w:ascii="Times New Roman" w:hAnsi="Times New Roman"/>
                <w:sz w:val="15"/>
                <w:szCs w:val="15"/>
              </w:rPr>
            </w:pPr>
            <w:r>
              <w:rPr>
                <w:rFonts w:ascii="Times New Roman" w:hAnsi="Times New Roman"/>
                <w:sz w:val="15"/>
                <w:szCs w:val="15"/>
              </w:rPr>
              <w:t>Equal-weight composite</w:t>
            </w:r>
          </w:p>
        </w:tc>
        <w:tc>
          <w:tcPr>
            <w:tcW w:w="600" w:type="dxa"/>
          </w:tcPr>
          <w:p w14:paraId="45530EB5">
            <w:pPr>
              <w:jc w:val="center"/>
              <w:rPr>
                <w:rFonts w:ascii="Times New Roman" w:hAnsi="Times New Roman"/>
                <w:sz w:val="15"/>
                <w:szCs w:val="15"/>
              </w:rPr>
            </w:pPr>
            <w:r>
              <w:rPr>
                <w:rFonts w:ascii="Times New Roman" w:hAnsi="Times New Roman"/>
                <w:sz w:val="15"/>
                <w:szCs w:val="15"/>
              </w:rPr>
              <w:t>MUD</w:t>
            </w:r>
          </w:p>
        </w:tc>
        <w:tc>
          <w:tcPr>
            <w:tcW w:w="650" w:type="dxa"/>
          </w:tcPr>
          <w:p w14:paraId="3E4B4020">
            <w:pPr>
              <w:jc w:val="center"/>
              <w:rPr>
                <w:rFonts w:ascii="Times New Roman" w:hAnsi="Times New Roman"/>
                <w:sz w:val="15"/>
                <w:szCs w:val="15"/>
              </w:rPr>
            </w:pPr>
            <w:r>
              <w:rPr>
                <w:rFonts w:ascii="Times New Roman" w:hAnsi="Times New Roman"/>
                <w:sz w:val="15"/>
                <w:szCs w:val="15"/>
              </w:rPr>
              <w:t>ωs</w:t>
            </w:r>
          </w:p>
        </w:tc>
        <w:tc>
          <w:tcPr>
            <w:tcW w:w="600" w:type="dxa"/>
          </w:tcPr>
          <w:p w14:paraId="39F1D93D">
            <w:pPr>
              <w:jc w:val="center"/>
              <w:rPr>
                <w:rFonts w:ascii="Times New Roman" w:hAnsi="Times New Roman"/>
                <w:sz w:val="15"/>
                <w:szCs w:val="15"/>
              </w:rPr>
            </w:pPr>
            <w:r>
              <w:rPr>
                <w:rFonts w:ascii="Times New Roman" w:hAnsi="Times New Roman"/>
                <w:sz w:val="15"/>
                <w:szCs w:val="15"/>
              </w:rPr>
              <w:t>760</w:t>
            </w:r>
          </w:p>
        </w:tc>
        <w:tc>
          <w:tcPr>
            <w:tcW w:w="750" w:type="dxa"/>
          </w:tcPr>
          <w:p w14:paraId="752EC748">
            <w:pPr>
              <w:jc w:val="center"/>
              <w:rPr>
                <w:rFonts w:ascii="Times New Roman" w:hAnsi="Times New Roman"/>
                <w:sz w:val="15"/>
                <w:szCs w:val="15"/>
              </w:rPr>
            </w:pPr>
            <w:r>
              <w:rPr>
                <w:rFonts w:ascii="Times New Roman" w:hAnsi="Times New Roman"/>
                <w:sz w:val="15"/>
                <w:szCs w:val="15"/>
              </w:rPr>
              <w:t>0.0013</w:t>
            </w:r>
          </w:p>
        </w:tc>
        <w:tc>
          <w:tcPr>
            <w:tcW w:w="750" w:type="dxa"/>
          </w:tcPr>
          <w:p w14:paraId="4D06C97B">
            <w:pPr>
              <w:jc w:val="center"/>
              <w:rPr>
                <w:rFonts w:ascii="Times New Roman" w:hAnsi="Times New Roman"/>
                <w:sz w:val="15"/>
                <w:szCs w:val="15"/>
              </w:rPr>
            </w:pPr>
            <w:r>
              <w:rPr>
                <w:rFonts w:ascii="Times New Roman" w:hAnsi="Times New Roman"/>
                <w:sz w:val="15"/>
                <w:szCs w:val="15"/>
              </w:rPr>
              <w:t>0.0259</w:t>
            </w:r>
          </w:p>
        </w:tc>
        <w:tc>
          <w:tcPr>
            <w:tcW w:w="500" w:type="dxa"/>
          </w:tcPr>
          <w:p w14:paraId="476D59E7">
            <w:pPr>
              <w:jc w:val="center"/>
              <w:rPr>
                <w:rFonts w:ascii="Times New Roman" w:hAnsi="Times New Roman"/>
                <w:sz w:val="15"/>
                <w:szCs w:val="15"/>
              </w:rPr>
            </w:pPr>
            <w:r>
              <w:rPr>
                <w:rFonts w:ascii="Times New Roman" w:hAnsi="Times New Roman"/>
                <w:sz w:val="15"/>
                <w:szCs w:val="15"/>
              </w:rPr>
              <w:t>0.971</w:t>
            </w:r>
          </w:p>
        </w:tc>
        <w:tc>
          <w:tcPr>
            <w:tcW w:w="800" w:type="dxa"/>
          </w:tcPr>
          <w:p w14:paraId="617E48F7">
            <w:pPr>
              <w:jc w:val="center"/>
              <w:rPr>
                <w:rFonts w:ascii="Times New Roman" w:hAnsi="Times New Roman"/>
                <w:sz w:val="15"/>
                <w:szCs w:val="15"/>
              </w:rPr>
            </w:pPr>
            <w:r>
              <w:rPr>
                <w:rFonts w:ascii="Times New Roman" w:hAnsi="Times New Roman"/>
                <w:sz w:val="15"/>
                <w:szCs w:val="15"/>
              </w:rPr>
              <w:t>0.962</w:t>
            </w:r>
          </w:p>
        </w:tc>
      </w:tr>
      <w:tr w14:paraId="75E3025B">
        <w:tc>
          <w:tcPr>
            <w:tcW w:w="2200" w:type="dxa"/>
          </w:tcPr>
          <w:p w14:paraId="1B90FDC0">
            <w:pPr>
              <w:jc w:val="center"/>
              <w:rPr>
                <w:rFonts w:ascii="Times New Roman" w:hAnsi="Times New Roman"/>
                <w:sz w:val="15"/>
                <w:szCs w:val="15"/>
              </w:rPr>
            </w:pPr>
            <w:r>
              <w:rPr>
                <w:rFonts w:ascii="Times New Roman" w:hAnsi="Times New Roman"/>
                <w:sz w:val="15"/>
                <w:szCs w:val="15"/>
              </w:rPr>
              <w:t>Convergence-amplification</w:t>
            </w:r>
          </w:p>
        </w:tc>
        <w:tc>
          <w:tcPr>
            <w:tcW w:w="600" w:type="dxa"/>
          </w:tcPr>
          <w:p w14:paraId="1F902A46">
            <w:pPr>
              <w:jc w:val="center"/>
              <w:rPr>
                <w:rFonts w:ascii="Times New Roman" w:hAnsi="Times New Roman"/>
                <w:sz w:val="15"/>
                <w:szCs w:val="15"/>
              </w:rPr>
            </w:pPr>
            <w:r>
              <w:rPr>
                <w:rFonts w:ascii="Times New Roman" w:hAnsi="Times New Roman"/>
                <w:sz w:val="15"/>
                <w:szCs w:val="15"/>
              </w:rPr>
              <w:t>HC</w:t>
            </w:r>
          </w:p>
        </w:tc>
        <w:tc>
          <w:tcPr>
            <w:tcW w:w="650" w:type="dxa"/>
          </w:tcPr>
          <w:p w14:paraId="27F12521">
            <w:pPr>
              <w:jc w:val="center"/>
              <w:rPr>
                <w:rFonts w:ascii="Times New Roman" w:hAnsi="Times New Roman"/>
                <w:sz w:val="15"/>
                <w:szCs w:val="15"/>
              </w:rPr>
            </w:pPr>
            <w:r>
              <w:rPr>
                <w:rFonts w:ascii="Times New Roman" w:hAnsi="Times New Roman"/>
                <w:sz w:val="15"/>
                <w:szCs w:val="15"/>
              </w:rPr>
              <w:t>b0</w:t>
            </w:r>
          </w:p>
        </w:tc>
        <w:tc>
          <w:tcPr>
            <w:tcW w:w="600" w:type="dxa"/>
          </w:tcPr>
          <w:p w14:paraId="6909FA7B">
            <w:pPr>
              <w:jc w:val="center"/>
              <w:rPr>
                <w:rFonts w:ascii="Times New Roman" w:hAnsi="Times New Roman"/>
                <w:sz w:val="15"/>
                <w:szCs w:val="15"/>
              </w:rPr>
            </w:pPr>
            <w:r>
              <w:rPr>
                <w:rFonts w:ascii="Times New Roman" w:hAnsi="Times New Roman"/>
                <w:sz w:val="15"/>
                <w:szCs w:val="15"/>
              </w:rPr>
              <w:t>980</w:t>
            </w:r>
          </w:p>
        </w:tc>
        <w:tc>
          <w:tcPr>
            <w:tcW w:w="750" w:type="dxa"/>
          </w:tcPr>
          <w:p w14:paraId="345B7627">
            <w:pPr>
              <w:jc w:val="center"/>
              <w:rPr>
                <w:rFonts w:ascii="Times New Roman" w:hAnsi="Times New Roman"/>
                <w:sz w:val="15"/>
                <w:szCs w:val="15"/>
              </w:rPr>
            </w:pPr>
            <w:r>
              <w:rPr>
                <w:rFonts w:ascii="Times New Roman" w:hAnsi="Times New Roman"/>
                <w:sz w:val="15"/>
                <w:szCs w:val="15"/>
              </w:rPr>
              <w:t>0.0003</w:t>
            </w:r>
          </w:p>
        </w:tc>
        <w:tc>
          <w:tcPr>
            <w:tcW w:w="750" w:type="dxa"/>
          </w:tcPr>
          <w:p w14:paraId="40ACF87D">
            <w:pPr>
              <w:jc w:val="center"/>
              <w:rPr>
                <w:rFonts w:ascii="Times New Roman" w:hAnsi="Times New Roman"/>
                <w:sz w:val="15"/>
                <w:szCs w:val="15"/>
              </w:rPr>
            </w:pPr>
            <w:r>
              <w:rPr>
                <w:rFonts w:ascii="Times New Roman" w:hAnsi="Times New Roman"/>
                <w:sz w:val="15"/>
                <w:szCs w:val="15"/>
              </w:rPr>
              <w:t>0.0786</w:t>
            </w:r>
          </w:p>
        </w:tc>
        <w:tc>
          <w:tcPr>
            <w:tcW w:w="500" w:type="dxa"/>
          </w:tcPr>
          <w:p w14:paraId="514A5522">
            <w:pPr>
              <w:jc w:val="center"/>
              <w:rPr>
                <w:rFonts w:ascii="Times New Roman" w:hAnsi="Times New Roman"/>
                <w:sz w:val="15"/>
                <w:szCs w:val="15"/>
              </w:rPr>
            </w:pPr>
            <w:r>
              <w:rPr>
                <w:rFonts w:ascii="Times New Roman" w:hAnsi="Times New Roman"/>
                <w:sz w:val="15"/>
                <w:szCs w:val="15"/>
              </w:rPr>
              <w:t>0.931</w:t>
            </w:r>
          </w:p>
        </w:tc>
        <w:tc>
          <w:tcPr>
            <w:tcW w:w="800" w:type="dxa"/>
          </w:tcPr>
          <w:p w14:paraId="1EDC1C2B">
            <w:pPr>
              <w:jc w:val="center"/>
              <w:rPr>
                <w:rFonts w:ascii="Times New Roman" w:hAnsi="Times New Roman"/>
                <w:sz w:val="15"/>
                <w:szCs w:val="15"/>
              </w:rPr>
            </w:pPr>
            <w:r>
              <w:rPr>
                <w:rFonts w:ascii="Times New Roman" w:hAnsi="Times New Roman"/>
                <w:sz w:val="15"/>
                <w:szCs w:val="15"/>
              </w:rPr>
              <w:t>0.947</w:t>
            </w:r>
          </w:p>
        </w:tc>
      </w:tr>
      <w:tr w14:paraId="5BDA789B">
        <w:tc>
          <w:tcPr>
            <w:tcW w:w="2200" w:type="dxa"/>
          </w:tcPr>
          <w:p w14:paraId="62B4AFF2">
            <w:pPr>
              <w:jc w:val="center"/>
              <w:rPr>
                <w:rFonts w:ascii="Times New Roman" w:hAnsi="Times New Roman"/>
                <w:sz w:val="15"/>
                <w:szCs w:val="15"/>
              </w:rPr>
            </w:pPr>
            <w:r>
              <w:rPr>
                <w:rFonts w:ascii="Times New Roman" w:hAnsi="Times New Roman"/>
                <w:sz w:val="15"/>
                <w:szCs w:val="15"/>
              </w:rPr>
              <w:t>Convergence-amplification</w:t>
            </w:r>
          </w:p>
        </w:tc>
        <w:tc>
          <w:tcPr>
            <w:tcW w:w="600" w:type="dxa"/>
          </w:tcPr>
          <w:p w14:paraId="3CA5F85F">
            <w:pPr>
              <w:jc w:val="center"/>
              <w:rPr>
                <w:rFonts w:ascii="Times New Roman" w:hAnsi="Times New Roman"/>
                <w:sz w:val="15"/>
                <w:szCs w:val="15"/>
              </w:rPr>
            </w:pPr>
            <w:r>
              <w:rPr>
                <w:rFonts w:ascii="Times New Roman" w:hAnsi="Times New Roman"/>
                <w:sz w:val="15"/>
                <w:szCs w:val="15"/>
              </w:rPr>
              <w:t>HC</w:t>
            </w:r>
          </w:p>
        </w:tc>
        <w:tc>
          <w:tcPr>
            <w:tcW w:w="650" w:type="dxa"/>
          </w:tcPr>
          <w:p w14:paraId="63B7CF52">
            <w:pPr>
              <w:jc w:val="center"/>
              <w:rPr>
                <w:rFonts w:ascii="Times New Roman" w:hAnsi="Times New Roman"/>
                <w:sz w:val="15"/>
                <w:szCs w:val="15"/>
              </w:rPr>
            </w:pPr>
            <w:r>
              <w:rPr>
                <w:rFonts w:ascii="Times New Roman" w:hAnsi="Times New Roman"/>
                <w:sz w:val="15"/>
                <w:szCs w:val="15"/>
              </w:rPr>
              <w:t>ωp</w:t>
            </w:r>
          </w:p>
        </w:tc>
        <w:tc>
          <w:tcPr>
            <w:tcW w:w="600" w:type="dxa"/>
          </w:tcPr>
          <w:p w14:paraId="50448F54">
            <w:pPr>
              <w:jc w:val="center"/>
              <w:rPr>
                <w:rFonts w:ascii="Times New Roman" w:hAnsi="Times New Roman"/>
                <w:sz w:val="15"/>
                <w:szCs w:val="15"/>
              </w:rPr>
            </w:pPr>
            <w:r>
              <w:rPr>
                <w:rFonts w:ascii="Times New Roman" w:hAnsi="Times New Roman"/>
                <w:sz w:val="15"/>
                <w:szCs w:val="15"/>
              </w:rPr>
              <w:t>980</w:t>
            </w:r>
          </w:p>
        </w:tc>
        <w:tc>
          <w:tcPr>
            <w:tcW w:w="750" w:type="dxa"/>
          </w:tcPr>
          <w:p w14:paraId="774882D5">
            <w:pPr>
              <w:jc w:val="center"/>
              <w:rPr>
                <w:rFonts w:ascii="Times New Roman" w:hAnsi="Times New Roman"/>
                <w:sz w:val="15"/>
                <w:szCs w:val="15"/>
              </w:rPr>
            </w:pPr>
            <w:r>
              <w:rPr>
                <w:rFonts w:ascii="Times New Roman" w:hAnsi="Times New Roman"/>
                <w:sz w:val="15"/>
                <w:szCs w:val="15"/>
              </w:rPr>
              <w:t>−0.0006</w:t>
            </w:r>
          </w:p>
        </w:tc>
        <w:tc>
          <w:tcPr>
            <w:tcW w:w="750" w:type="dxa"/>
          </w:tcPr>
          <w:p w14:paraId="17D6EF1A">
            <w:pPr>
              <w:jc w:val="center"/>
              <w:rPr>
                <w:rFonts w:ascii="Times New Roman" w:hAnsi="Times New Roman"/>
                <w:sz w:val="15"/>
                <w:szCs w:val="15"/>
              </w:rPr>
            </w:pPr>
            <w:r>
              <w:rPr>
                <w:rFonts w:ascii="Times New Roman" w:hAnsi="Times New Roman"/>
                <w:sz w:val="15"/>
                <w:szCs w:val="15"/>
              </w:rPr>
              <w:t>0.0338</w:t>
            </w:r>
          </w:p>
        </w:tc>
        <w:tc>
          <w:tcPr>
            <w:tcW w:w="500" w:type="dxa"/>
          </w:tcPr>
          <w:p w14:paraId="319E03B4">
            <w:pPr>
              <w:jc w:val="center"/>
              <w:rPr>
                <w:rFonts w:ascii="Times New Roman" w:hAnsi="Times New Roman"/>
                <w:sz w:val="15"/>
                <w:szCs w:val="15"/>
              </w:rPr>
            </w:pPr>
            <w:r>
              <w:rPr>
                <w:rFonts w:ascii="Times New Roman" w:hAnsi="Times New Roman"/>
                <w:sz w:val="15"/>
                <w:szCs w:val="15"/>
              </w:rPr>
              <w:t>0.954</w:t>
            </w:r>
          </w:p>
        </w:tc>
        <w:tc>
          <w:tcPr>
            <w:tcW w:w="800" w:type="dxa"/>
          </w:tcPr>
          <w:p w14:paraId="1C5A34D5">
            <w:pPr>
              <w:jc w:val="center"/>
              <w:rPr>
                <w:rFonts w:ascii="Times New Roman" w:hAnsi="Times New Roman"/>
                <w:sz w:val="15"/>
                <w:szCs w:val="15"/>
              </w:rPr>
            </w:pPr>
            <w:r>
              <w:rPr>
                <w:rFonts w:ascii="Times New Roman" w:hAnsi="Times New Roman"/>
                <w:sz w:val="15"/>
                <w:szCs w:val="15"/>
              </w:rPr>
              <w:t>0.873</w:t>
            </w:r>
          </w:p>
        </w:tc>
      </w:tr>
      <w:tr w14:paraId="769D049F">
        <w:tc>
          <w:tcPr>
            <w:tcW w:w="2200" w:type="dxa"/>
          </w:tcPr>
          <w:p w14:paraId="406E1CC7">
            <w:pPr>
              <w:jc w:val="center"/>
              <w:rPr>
                <w:rFonts w:ascii="Times New Roman" w:hAnsi="Times New Roman"/>
                <w:sz w:val="15"/>
                <w:szCs w:val="15"/>
              </w:rPr>
            </w:pPr>
            <w:r>
              <w:rPr>
                <w:rFonts w:ascii="Times New Roman" w:hAnsi="Times New Roman"/>
                <w:sz w:val="15"/>
                <w:szCs w:val="15"/>
              </w:rPr>
              <w:t>Convergence-amplification</w:t>
            </w:r>
          </w:p>
        </w:tc>
        <w:tc>
          <w:tcPr>
            <w:tcW w:w="600" w:type="dxa"/>
          </w:tcPr>
          <w:p w14:paraId="79C9899E">
            <w:pPr>
              <w:jc w:val="center"/>
              <w:rPr>
                <w:rFonts w:ascii="Times New Roman" w:hAnsi="Times New Roman"/>
                <w:sz w:val="15"/>
                <w:szCs w:val="15"/>
              </w:rPr>
            </w:pPr>
            <w:r>
              <w:rPr>
                <w:rFonts w:ascii="Times New Roman" w:hAnsi="Times New Roman"/>
                <w:sz w:val="15"/>
                <w:szCs w:val="15"/>
              </w:rPr>
              <w:t>HC</w:t>
            </w:r>
          </w:p>
        </w:tc>
        <w:tc>
          <w:tcPr>
            <w:tcW w:w="650" w:type="dxa"/>
          </w:tcPr>
          <w:p w14:paraId="4B862098">
            <w:pPr>
              <w:jc w:val="center"/>
              <w:rPr>
                <w:rFonts w:ascii="Times New Roman" w:hAnsi="Times New Roman"/>
                <w:sz w:val="15"/>
                <w:szCs w:val="15"/>
              </w:rPr>
            </w:pPr>
            <w:r>
              <w:rPr>
                <w:rFonts w:ascii="Times New Roman" w:hAnsi="Times New Roman"/>
                <w:sz w:val="15"/>
                <w:szCs w:val="15"/>
              </w:rPr>
              <w:t>ωg</w:t>
            </w:r>
          </w:p>
        </w:tc>
        <w:tc>
          <w:tcPr>
            <w:tcW w:w="600" w:type="dxa"/>
          </w:tcPr>
          <w:p w14:paraId="580EEB12">
            <w:pPr>
              <w:jc w:val="center"/>
              <w:rPr>
                <w:rFonts w:ascii="Times New Roman" w:hAnsi="Times New Roman"/>
                <w:sz w:val="15"/>
                <w:szCs w:val="15"/>
              </w:rPr>
            </w:pPr>
            <w:r>
              <w:rPr>
                <w:rFonts w:ascii="Times New Roman" w:hAnsi="Times New Roman"/>
                <w:sz w:val="15"/>
                <w:szCs w:val="15"/>
              </w:rPr>
              <w:t>980</w:t>
            </w:r>
          </w:p>
        </w:tc>
        <w:tc>
          <w:tcPr>
            <w:tcW w:w="750" w:type="dxa"/>
          </w:tcPr>
          <w:p w14:paraId="5E9832B5">
            <w:pPr>
              <w:jc w:val="center"/>
              <w:rPr>
                <w:rFonts w:ascii="Times New Roman" w:hAnsi="Times New Roman"/>
                <w:sz w:val="15"/>
                <w:szCs w:val="15"/>
              </w:rPr>
            </w:pPr>
            <w:r>
              <w:rPr>
                <w:rFonts w:ascii="Times New Roman" w:hAnsi="Times New Roman"/>
                <w:sz w:val="15"/>
                <w:szCs w:val="15"/>
              </w:rPr>
              <w:t>−0.0007</w:t>
            </w:r>
          </w:p>
        </w:tc>
        <w:tc>
          <w:tcPr>
            <w:tcW w:w="750" w:type="dxa"/>
          </w:tcPr>
          <w:p w14:paraId="2F2A0D3D">
            <w:pPr>
              <w:jc w:val="center"/>
              <w:rPr>
                <w:rFonts w:ascii="Times New Roman" w:hAnsi="Times New Roman"/>
                <w:sz w:val="15"/>
                <w:szCs w:val="15"/>
              </w:rPr>
            </w:pPr>
            <w:r>
              <w:rPr>
                <w:rFonts w:ascii="Times New Roman" w:hAnsi="Times New Roman"/>
                <w:sz w:val="15"/>
                <w:szCs w:val="15"/>
              </w:rPr>
              <w:t>0.0323</w:t>
            </w:r>
          </w:p>
        </w:tc>
        <w:tc>
          <w:tcPr>
            <w:tcW w:w="500" w:type="dxa"/>
          </w:tcPr>
          <w:p w14:paraId="6EB8D2A2">
            <w:pPr>
              <w:jc w:val="center"/>
              <w:rPr>
                <w:rFonts w:ascii="Times New Roman" w:hAnsi="Times New Roman"/>
                <w:sz w:val="15"/>
                <w:szCs w:val="15"/>
              </w:rPr>
            </w:pPr>
            <w:r>
              <w:rPr>
                <w:rFonts w:ascii="Times New Roman" w:hAnsi="Times New Roman"/>
                <w:sz w:val="15"/>
                <w:szCs w:val="15"/>
              </w:rPr>
              <w:t>0.906</w:t>
            </w:r>
          </w:p>
        </w:tc>
        <w:tc>
          <w:tcPr>
            <w:tcW w:w="800" w:type="dxa"/>
          </w:tcPr>
          <w:p w14:paraId="3BA7F521">
            <w:pPr>
              <w:jc w:val="center"/>
              <w:rPr>
                <w:rFonts w:ascii="Times New Roman" w:hAnsi="Times New Roman"/>
                <w:sz w:val="15"/>
                <w:szCs w:val="15"/>
              </w:rPr>
            </w:pPr>
            <w:r>
              <w:rPr>
                <w:rFonts w:ascii="Times New Roman" w:hAnsi="Times New Roman"/>
                <w:sz w:val="15"/>
                <w:szCs w:val="15"/>
              </w:rPr>
              <w:t>0.876</w:t>
            </w:r>
          </w:p>
        </w:tc>
      </w:tr>
      <w:tr w14:paraId="101DD80F">
        <w:tc>
          <w:tcPr>
            <w:tcW w:w="2200" w:type="dxa"/>
          </w:tcPr>
          <w:p w14:paraId="7DC02B2D">
            <w:pPr>
              <w:jc w:val="center"/>
              <w:rPr>
                <w:rFonts w:ascii="Times New Roman" w:hAnsi="Times New Roman"/>
                <w:sz w:val="15"/>
                <w:szCs w:val="15"/>
              </w:rPr>
            </w:pPr>
            <w:r>
              <w:rPr>
                <w:rFonts w:ascii="Times New Roman" w:hAnsi="Times New Roman"/>
                <w:sz w:val="15"/>
                <w:szCs w:val="15"/>
              </w:rPr>
              <w:t>Convergence-amplification</w:t>
            </w:r>
          </w:p>
        </w:tc>
        <w:tc>
          <w:tcPr>
            <w:tcW w:w="600" w:type="dxa"/>
          </w:tcPr>
          <w:p w14:paraId="58F4B023">
            <w:pPr>
              <w:jc w:val="center"/>
              <w:rPr>
                <w:rFonts w:ascii="Times New Roman" w:hAnsi="Times New Roman"/>
                <w:sz w:val="15"/>
                <w:szCs w:val="15"/>
              </w:rPr>
            </w:pPr>
            <w:r>
              <w:rPr>
                <w:rFonts w:ascii="Times New Roman" w:hAnsi="Times New Roman"/>
                <w:sz w:val="15"/>
                <w:szCs w:val="15"/>
              </w:rPr>
              <w:t>HC</w:t>
            </w:r>
          </w:p>
        </w:tc>
        <w:tc>
          <w:tcPr>
            <w:tcW w:w="650" w:type="dxa"/>
          </w:tcPr>
          <w:p w14:paraId="1C37445B">
            <w:pPr>
              <w:jc w:val="center"/>
              <w:rPr>
                <w:rFonts w:ascii="Times New Roman" w:hAnsi="Times New Roman"/>
                <w:sz w:val="15"/>
                <w:szCs w:val="15"/>
              </w:rPr>
            </w:pPr>
            <w:r>
              <w:rPr>
                <w:rFonts w:ascii="Times New Roman" w:hAnsi="Times New Roman"/>
                <w:sz w:val="15"/>
                <w:szCs w:val="15"/>
              </w:rPr>
              <w:t>γ</w:t>
            </w:r>
          </w:p>
        </w:tc>
        <w:tc>
          <w:tcPr>
            <w:tcW w:w="600" w:type="dxa"/>
          </w:tcPr>
          <w:p w14:paraId="13F455AE">
            <w:pPr>
              <w:jc w:val="center"/>
              <w:rPr>
                <w:rFonts w:ascii="Times New Roman" w:hAnsi="Times New Roman"/>
                <w:sz w:val="15"/>
                <w:szCs w:val="15"/>
              </w:rPr>
            </w:pPr>
            <w:r>
              <w:rPr>
                <w:rFonts w:ascii="Times New Roman" w:hAnsi="Times New Roman"/>
                <w:sz w:val="15"/>
                <w:szCs w:val="15"/>
              </w:rPr>
              <w:t>980</w:t>
            </w:r>
          </w:p>
        </w:tc>
        <w:tc>
          <w:tcPr>
            <w:tcW w:w="750" w:type="dxa"/>
          </w:tcPr>
          <w:p w14:paraId="417B8030">
            <w:pPr>
              <w:jc w:val="center"/>
              <w:rPr>
                <w:rFonts w:ascii="Times New Roman" w:hAnsi="Times New Roman"/>
                <w:sz w:val="15"/>
                <w:szCs w:val="15"/>
              </w:rPr>
            </w:pPr>
            <w:r>
              <w:rPr>
                <w:rFonts w:ascii="Times New Roman" w:hAnsi="Times New Roman"/>
                <w:sz w:val="15"/>
                <w:szCs w:val="15"/>
              </w:rPr>
              <w:t>23.0166</w:t>
            </w:r>
          </w:p>
        </w:tc>
        <w:tc>
          <w:tcPr>
            <w:tcW w:w="750" w:type="dxa"/>
          </w:tcPr>
          <w:p w14:paraId="7B4820DC">
            <w:pPr>
              <w:jc w:val="center"/>
              <w:rPr>
                <w:rFonts w:ascii="Times New Roman" w:hAnsi="Times New Roman"/>
                <w:sz w:val="15"/>
                <w:szCs w:val="15"/>
              </w:rPr>
            </w:pPr>
            <w:r>
              <w:rPr>
                <w:rFonts w:ascii="Times New Roman" w:hAnsi="Times New Roman"/>
                <w:sz w:val="15"/>
                <w:szCs w:val="15"/>
              </w:rPr>
              <w:t>116.7681</w:t>
            </w:r>
          </w:p>
        </w:tc>
        <w:tc>
          <w:tcPr>
            <w:tcW w:w="500" w:type="dxa"/>
          </w:tcPr>
          <w:p w14:paraId="1A539E12">
            <w:pPr>
              <w:jc w:val="center"/>
              <w:rPr>
                <w:rFonts w:ascii="Times New Roman" w:hAnsi="Times New Roman"/>
                <w:sz w:val="15"/>
                <w:szCs w:val="15"/>
              </w:rPr>
            </w:pPr>
            <w:r>
              <w:rPr>
                <w:rFonts w:ascii="Times New Roman" w:hAnsi="Times New Roman"/>
                <w:sz w:val="15"/>
                <w:szCs w:val="15"/>
              </w:rPr>
              <w:t>0.366</w:t>
            </w:r>
          </w:p>
        </w:tc>
        <w:tc>
          <w:tcPr>
            <w:tcW w:w="800" w:type="dxa"/>
          </w:tcPr>
          <w:p w14:paraId="106137FC">
            <w:pPr>
              <w:jc w:val="center"/>
              <w:rPr>
                <w:rFonts w:ascii="Times New Roman" w:hAnsi="Times New Roman"/>
                <w:sz w:val="15"/>
                <w:szCs w:val="15"/>
              </w:rPr>
            </w:pPr>
            <w:r>
              <w:rPr>
                <w:rFonts w:ascii="Times New Roman" w:hAnsi="Times New Roman"/>
                <w:sz w:val="15"/>
                <w:szCs w:val="15"/>
              </w:rPr>
              <w:t>0.867</w:t>
            </w:r>
          </w:p>
        </w:tc>
      </w:tr>
      <w:tr w14:paraId="304B4085">
        <w:tc>
          <w:tcPr>
            <w:tcW w:w="2200" w:type="dxa"/>
          </w:tcPr>
          <w:p w14:paraId="28A9AD82">
            <w:pPr>
              <w:jc w:val="center"/>
              <w:rPr>
                <w:rFonts w:ascii="Times New Roman" w:hAnsi="Times New Roman"/>
                <w:sz w:val="15"/>
                <w:szCs w:val="15"/>
              </w:rPr>
            </w:pPr>
            <w:r>
              <w:rPr>
                <w:rFonts w:ascii="Times New Roman" w:hAnsi="Times New Roman"/>
                <w:sz w:val="15"/>
                <w:szCs w:val="15"/>
              </w:rPr>
              <w:t>Convergence-amplification</w:t>
            </w:r>
          </w:p>
        </w:tc>
        <w:tc>
          <w:tcPr>
            <w:tcW w:w="600" w:type="dxa"/>
          </w:tcPr>
          <w:p w14:paraId="67E838DD">
            <w:pPr>
              <w:jc w:val="center"/>
              <w:rPr>
                <w:rFonts w:ascii="Times New Roman" w:hAnsi="Times New Roman"/>
                <w:sz w:val="15"/>
                <w:szCs w:val="15"/>
              </w:rPr>
            </w:pPr>
            <w:r>
              <w:rPr>
                <w:rFonts w:ascii="Times New Roman" w:hAnsi="Times New Roman"/>
                <w:sz w:val="15"/>
                <w:szCs w:val="15"/>
              </w:rPr>
              <w:t>MUD</w:t>
            </w:r>
          </w:p>
        </w:tc>
        <w:tc>
          <w:tcPr>
            <w:tcW w:w="650" w:type="dxa"/>
          </w:tcPr>
          <w:p w14:paraId="33914D0B">
            <w:pPr>
              <w:jc w:val="center"/>
              <w:rPr>
                <w:rFonts w:ascii="Times New Roman" w:hAnsi="Times New Roman"/>
                <w:sz w:val="15"/>
                <w:szCs w:val="15"/>
              </w:rPr>
            </w:pPr>
            <w:r>
              <w:rPr>
                <w:rFonts w:ascii="Times New Roman" w:hAnsi="Times New Roman"/>
                <w:sz w:val="15"/>
                <w:szCs w:val="15"/>
              </w:rPr>
              <w:t>b0</w:t>
            </w:r>
          </w:p>
        </w:tc>
        <w:tc>
          <w:tcPr>
            <w:tcW w:w="600" w:type="dxa"/>
          </w:tcPr>
          <w:p w14:paraId="4B3BA371">
            <w:pPr>
              <w:jc w:val="center"/>
              <w:rPr>
                <w:rFonts w:ascii="Times New Roman" w:hAnsi="Times New Roman"/>
                <w:sz w:val="15"/>
                <w:szCs w:val="15"/>
              </w:rPr>
            </w:pPr>
            <w:r>
              <w:rPr>
                <w:rFonts w:ascii="Times New Roman" w:hAnsi="Times New Roman"/>
                <w:sz w:val="15"/>
                <w:szCs w:val="15"/>
              </w:rPr>
              <w:t>760</w:t>
            </w:r>
          </w:p>
        </w:tc>
        <w:tc>
          <w:tcPr>
            <w:tcW w:w="750" w:type="dxa"/>
          </w:tcPr>
          <w:p w14:paraId="7C953F81">
            <w:pPr>
              <w:jc w:val="center"/>
              <w:rPr>
                <w:rFonts w:ascii="Times New Roman" w:hAnsi="Times New Roman"/>
                <w:sz w:val="15"/>
                <w:szCs w:val="15"/>
              </w:rPr>
            </w:pPr>
            <w:r>
              <w:rPr>
                <w:rFonts w:ascii="Times New Roman" w:hAnsi="Times New Roman"/>
                <w:sz w:val="15"/>
                <w:szCs w:val="15"/>
              </w:rPr>
              <w:t>−0.0026</w:t>
            </w:r>
          </w:p>
        </w:tc>
        <w:tc>
          <w:tcPr>
            <w:tcW w:w="750" w:type="dxa"/>
          </w:tcPr>
          <w:p w14:paraId="2603E0DE">
            <w:pPr>
              <w:jc w:val="center"/>
              <w:rPr>
                <w:rFonts w:ascii="Times New Roman" w:hAnsi="Times New Roman"/>
                <w:sz w:val="15"/>
                <w:szCs w:val="15"/>
              </w:rPr>
            </w:pPr>
            <w:r>
              <w:rPr>
                <w:rFonts w:ascii="Times New Roman" w:hAnsi="Times New Roman"/>
                <w:sz w:val="15"/>
                <w:szCs w:val="15"/>
              </w:rPr>
              <w:t>0.0670</w:t>
            </w:r>
          </w:p>
        </w:tc>
        <w:tc>
          <w:tcPr>
            <w:tcW w:w="500" w:type="dxa"/>
          </w:tcPr>
          <w:p w14:paraId="07A9E782">
            <w:pPr>
              <w:jc w:val="center"/>
              <w:rPr>
                <w:rFonts w:ascii="Times New Roman" w:hAnsi="Times New Roman"/>
                <w:sz w:val="15"/>
                <w:szCs w:val="15"/>
              </w:rPr>
            </w:pPr>
            <w:r>
              <w:rPr>
                <w:rFonts w:ascii="Times New Roman" w:hAnsi="Times New Roman"/>
                <w:sz w:val="15"/>
                <w:szCs w:val="15"/>
              </w:rPr>
              <w:t>0.956</w:t>
            </w:r>
          </w:p>
        </w:tc>
        <w:tc>
          <w:tcPr>
            <w:tcW w:w="800" w:type="dxa"/>
          </w:tcPr>
          <w:p w14:paraId="68228239">
            <w:pPr>
              <w:jc w:val="center"/>
              <w:rPr>
                <w:rFonts w:ascii="Times New Roman" w:hAnsi="Times New Roman"/>
                <w:sz w:val="15"/>
                <w:szCs w:val="15"/>
              </w:rPr>
            </w:pPr>
            <w:r>
              <w:rPr>
                <w:rFonts w:ascii="Times New Roman" w:hAnsi="Times New Roman"/>
                <w:sz w:val="15"/>
                <w:szCs w:val="15"/>
              </w:rPr>
              <w:t>0.939</w:t>
            </w:r>
          </w:p>
        </w:tc>
      </w:tr>
      <w:tr w14:paraId="62845C13">
        <w:tc>
          <w:tcPr>
            <w:tcW w:w="2200" w:type="dxa"/>
          </w:tcPr>
          <w:p w14:paraId="60B1CA28">
            <w:pPr>
              <w:jc w:val="center"/>
              <w:rPr>
                <w:rFonts w:ascii="Times New Roman" w:hAnsi="Times New Roman"/>
                <w:sz w:val="15"/>
                <w:szCs w:val="15"/>
              </w:rPr>
            </w:pPr>
            <w:r>
              <w:rPr>
                <w:rFonts w:ascii="Times New Roman" w:hAnsi="Times New Roman"/>
                <w:sz w:val="15"/>
                <w:szCs w:val="15"/>
              </w:rPr>
              <w:t>Convergence-amplification</w:t>
            </w:r>
          </w:p>
        </w:tc>
        <w:tc>
          <w:tcPr>
            <w:tcW w:w="600" w:type="dxa"/>
          </w:tcPr>
          <w:p w14:paraId="73AF059D">
            <w:pPr>
              <w:jc w:val="center"/>
              <w:rPr>
                <w:rFonts w:ascii="Times New Roman" w:hAnsi="Times New Roman"/>
                <w:sz w:val="15"/>
                <w:szCs w:val="15"/>
              </w:rPr>
            </w:pPr>
            <w:r>
              <w:rPr>
                <w:rFonts w:ascii="Times New Roman" w:hAnsi="Times New Roman"/>
                <w:sz w:val="15"/>
                <w:szCs w:val="15"/>
              </w:rPr>
              <w:t>MUD</w:t>
            </w:r>
          </w:p>
        </w:tc>
        <w:tc>
          <w:tcPr>
            <w:tcW w:w="650" w:type="dxa"/>
          </w:tcPr>
          <w:p w14:paraId="24A28F3C">
            <w:pPr>
              <w:jc w:val="center"/>
              <w:rPr>
                <w:rFonts w:ascii="Times New Roman" w:hAnsi="Times New Roman"/>
                <w:sz w:val="15"/>
                <w:szCs w:val="15"/>
              </w:rPr>
            </w:pPr>
            <w:r>
              <w:rPr>
                <w:rFonts w:ascii="Times New Roman" w:hAnsi="Times New Roman"/>
                <w:sz w:val="15"/>
                <w:szCs w:val="15"/>
              </w:rPr>
              <w:t>ωp</w:t>
            </w:r>
          </w:p>
        </w:tc>
        <w:tc>
          <w:tcPr>
            <w:tcW w:w="600" w:type="dxa"/>
          </w:tcPr>
          <w:p w14:paraId="0B0CA4C1">
            <w:pPr>
              <w:jc w:val="center"/>
              <w:rPr>
                <w:rFonts w:ascii="Times New Roman" w:hAnsi="Times New Roman"/>
                <w:sz w:val="15"/>
                <w:szCs w:val="15"/>
              </w:rPr>
            </w:pPr>
            <w:r>
              <w:rPr>
                <w:rFonts w:ascii="Times New Roman" w:hAnsi="Times New Roman"/>
                <w:sz w:val="15"/>
                <w:szCs w:val="15"/>
              </w:rPr>
              <w:t>760</w:t>
            </w:r>
          </w:p>
        </w:tc>
        <w:tc>
          <w:tcPr>
            <w:tcW w:w="750" w:type="dxa"/>
          </w:tcPr>
          <w:p w14:paraId="6EB6DC0E">
            <w:pPr>
              <w:jc w:val="center"/>
              <w:rPr>
                <w:rFonts w:ascii="Times New Roman" w:hAnsi="Times New Roman"/>
                <w:sz w:val="15"/>
                <w:szCs w:val="15"/>
              </w:rPr>
            </w:pPr>
            <w:r>
              <w:rPr>
                <w:rFonts w:ascii="Times New Roman" w:hAnsi="Times New Roman"/>
                <w:sz w:val="15"/>
                <w:szCs w:val="15"/>
              </w:rPr>
              <w:t>−0.0005</w:t>
            </w:r>
          </w:p>
        </w:tc>
        <w:tc>
          <w:tcPr>
            <w:tcW w:w="750" w:type="dxa"/>
          </w:tcPr>
          <w:p w14:paraId="4BB2ACAA">
            <w:pPr>
              <w:jc w:val="center"/>
              <w:rPr>
                <w:rFonts w:ascii="Times New Roman" w:hAnsi="Times New Roman"/>
                <w:sz w:val="15"/>
                <w:szCs w:val="15"/>
              </w:rPr>
            </w:pPr>
            <w:r>
              <w:rPr>
                <w:rFonts w:ascii="Times New Roman" w:hAnsi="Times New Roman"/>
                <w:sz w:val="15"/>
                <w:szCs w:val="15"/>
              </w:rPr>
              <w:t>0.0267</w:t>
            </w:r>
          </w:p>
        </w:tc>
        <w:tc>
          <w:tcPr>
            <w:tcW w:w="500" w:type="dxa"/>
          </w:tcPr>
          <w:p w14:paraId="4F080E75">
            <w:pPr>
              <w:jc w:val="center"/>
              <w:rPr>
                <w:rFonts w:ascii="Times New Roman" w:hAnsi="Times New Roman"/>
                <w:sz w:val="15"/>
                <w:szCs w:val="15"/>
              </w:rPr>
            </w:pPr>
            <w:r>
              <w:rPr>
                <w:rFonts w:ascii="Times New Roman" w:hAnsi="Times New Roman"/>
                <w:sz w:val="15"/>
                <w:szCs w:val="15"/>
              </w:rPr>
              <w:t>0.897</w:t>
            </w:r>
          </w:p>
        </w:tc>
        <w:tc>
          <w:tcPr>
            <w:tcW w:w="800" w:type="dxa"/>
          </w:tcPr>
          <w:p w14:paraId="1864CF35">
            <w:pPr>
              <w:jc w:val="center"/>
              <w:rPr>
                <w:rFonts w:ascii="Times New Roman" w:hAnsi="Times New Roman"/>
                <w:sz w:val="15"/>
                <w:szCs w:val="15"/>
              </w:rPr>
            </w:pPr>
            <w:r>
              <w:rPr>
                <w:rFonts w:ascii="Times New Roman" w:hAnsi="Times New Roman"/>
                <w:sz w:val="15"/>
                <w:szCs w:val="15"/>
              </w:rPr>
              <w:t>0.824</w:t>
            </w:r>
          </w:p>
        </w:tc>
      </w:tr>
      <w:tr w14:paraId="12E386A8">
        <w:tc>
          <w:tcPr>
            <w:tcW w:w="2200" w:type="dxa"/>
          </w:tcPr>
          <w:p w14:paraId="3D8AA5C6">
            <w:pPr>
              <w:jc w:val="center"/>
              <w:rPr>
                <w:rFonts w:ascii="Times New Roman" w:hAnsi="Times New Roman"/>
                <w:sz w:val="15"/>
                <w:szCs w:val="15"/>
              </w:rPr>
            </w:pPr>
            <w:r>
              <w:rPr>
                <w:rFonts w:ascii="Times New Roman" w:hAnsi="Times New Roman"/>
                <w:sz w:val="15"/>
                <w:szCs w:val="15"/>
              </w:rPr>
              <w:t>Convergence-amplification</w:t>
            </w:r>
          </w:p>
        </w:tc>
        <w:tc>
          <w:tcPr>
            <w:tcW w:w="600" w:type="dxa"/>
          </w:tcPr>
          <w:p w14:paraId="52793B4E">
            <w:pPr>
              <w:jc w:val="center"/>
              <w:rPr>
                <w:rFonts w:ascii="Times New Roman" w:hAnsi="Times New Roman"/>
                <w:sz w:val="15"/>
                <w:szCs w:val="15"/>
              </w:rPr>
            </w:pPr>
            <w:r>
              <w:rPr>
                <w:rFonts w:ascii="Times New Roman" w:hAnsi="Times New Roman"/>
                <w:sz w:val="15"/>
                <w:szCs w:val="15"/>
              </w:rPr>
              <w:t>MUD</w:t>
            </w:r>
          </w:p>
        </w:tc>
        <w:tc>
          <w:tcPr>
            <w:tcW w:w="650" w:type="dxa"/>
          </w:tcPr>
          <w:p w14:paraId="7FE49A6D">
            <w:pPr>
              <w:jc w:val="center"/>
              <w:rPr>
                <w:rFonts w:ascii="Times New Roman" w:hAnsi="Times New Roman"/>
                <w:sz w:val="15"/>
                <w:szCs w:val="15"/>
              </w:rPr>
            </w:pPr>
            <w:r>
              <w:rPr>
                <w:rFonts w:ascii="Times New Roman" w:hAnsi="Times New Roman"/>
                <w:sz w:val="15"/>
                <w:szCs w:val="15"/>
              </w:rPr>
              <w:t>ωg</w:t>
            </w:r>
          </w:p>
        </w:tc>
        <w:tc>
          <w:tcPr>
            <w:tcW w:w="600" w:type="dxa"/>
          </w:tcPr>
          <w:p w14:paraId="56B5D36C">
            <w:pPr>
              <w:jc w:val="center"/>
              <w:rPr>
                <w:rFonts w:ascii="Times New Roman" w:hAnsi="Times New Roman"/>
                <w:sz w:val="15"/>
                <w:szCs w:val="15"/>
              </w:rPr>
            </w:pPr>
            <w:r>
              <w:rPr>
                <w:rFonts w:ascii="Times New Roman" w:hAnsi="Times New Roman"/>
                <w:sz w:val="15"/>
                <w:szCs w:val="15"/>
              </w:rPr>
              <w:t>760</w:t>
            </w:r>
          </w:p>
        </w:tc>
        <w:tc>
          <w:tcPr>
            <w:tcW w:w="750" w:type="dxa"/>
          </w:tcPr>
          <w:p w14:paraId="1C92B27A">
            <w:pPr>
              <w:jc w:val="center"/>
              <w:rPr>
                <w:rFonts w:ascii="Times New Roman" w:hAnsi="Times New Roman"/>
                <w:sz w:val="15"/>
                <w:szCs w:val="15"/>
              </w:rPr>
            </w:pPr>
            <w:r>
              <w:rPr>
                <w:rFonts w:ascii="Times New Roman" w:hAnsi="Times New Roman"/>
                <w:sz w:val="15"/>
                <w:szCs w:val="15"/>
              </w:rPr>
              <w:t>−0.0003</w:t>
            </w:r>
          </w:p>
        </w:tc>
        <w:tc>
          <w:tcPr>
            <w:tcW w:w="750" w:type="dxa"/>
          </w:tcPr>
          <w:p w14:paraId="056670F0">
            <w:pPr>
              <w:jc w:val="center"/>
              <w:rPr>
                <w:rFonts w:ascii="Times New Roman" w:hAnsi="Times New Roman"/>
                <w:sz w:val="15"/>
                <w:szCs w:val="15"/>
              </w:rPr>
            </w:pPr>
            <w:r>
              <w:rPr>
                <w:rFonts w:ascii="Times New Roman" w:hAnsi="Times New Roman"/>
                <w:sz w:val="15"/>
                <w:szCs w:val="15"/>
              </w:rPr>
              <w:t>0.0238</w:t>
            </w:r>
          </w:p>
        </w:tc>
        <w:tc>
          <w:tcPr>
            <w:tcW w:w="500" w:type="dxa"/>
          </w:tcPr>
          <w:p w14:paraId="7205B0AA">
            <w:pPr>
              <w:jc w:val="center"/>
              <w:rPr>
                <w:rFonts w:ascii="Times New Roman" w:hAnsi="Times New Roman"/>
                <w:sz w:val="15"/>
                <w:szCs w:val="15"/>
              </w:rPr>
            </w:pPr>
            <w:r>
              <w:rPr>
                <w:rFonts w:ascii="Times New Roman" w:hAnsi="Times New Roman"/>
                <w:sz w:val="15"/>
                <w:szCs w:val="15"/>
              </w:rPr>
              <w:t>0.914</w:t>
            </w:r>
          </w:p>
        </w:tc>
        <w:tc>
          <w:tcPr>
            <w:tcW w:w="800" w:type="dxa"/>
          </w:tcPr>
          <w:p w14:paraId="63BBFB2F">
            <w:pPr>
              <w:jc w:val="center"/>
              <w:rPr>
                <w:rFonts w:ascii="Times New Roman" w:hAnsi="Times New Roman"/>
                <w:sz w:val="15"/>
                <w:szCs w:val="15"/>
              </w:rPr>
            </w:pPr>
            <w:r>
              <w:rPr>
                <w:rFonts w:ascii="Times New Roman" w:hAnsi="Times New Roman"/>
                <w:sz w:val="15"/>
                <w:szCs w:val="15"/>
              </w:rPr>
              <w:t>0.841</w:t>
            </w:r>
          </w:p>
        </w:tc>
      </w:tr>
      <w:tr w14:paraId="4EAF467B">
        <w:tc>
          <w:tcPr>
            <w:tcW w:w="2200" w:type="dxa"/>
          </w:tcPr>
          <w:p w14:paraId="46812739">
            <w:pPr>
              <w:jc w:val="center"/>
              <w:rPr>
                <w:rFonts w:ascii="Times New Roman" w:hAnsi="Times New Roman"/>
                <w:sz w:val="15"/>
                <w:szCs w:val="15"/>
              </w:rPr>
            </w:pPr>
            <w:r>
              <w:rPr>
                <w:rFonts w:ascii="Times New Roman" w:hAnsi="Times New Roman"/>
                <w:sz w:val="15"/>
                <w:szCs w:val="15"/>
              </w:rPr>
              <w:t>Convergence-amplification</w:t>
            </w:r>
          </w:p>
        </w:tc>
        <w:tc>
          <w:tcPr>
            <w:tcW w:w="600" w:type="dxa"/>
          </w:tcPr>
          <w:p w14:paraId="53B2F98F">
            <w:pPr>
              <w:jc w:val="center"/>
              <w:rPr>
                <w:rFonts w:ascii="Times New Roman" w:hAnsi="Times New Roman"/>
                <w:sz w:val="15"/>
                <w:szCs w:val="15"/>
              </w:rPr>
            </w:pPr>
            <w:r>
              <w:rPr>
                <w:rFonts w:ascii="Times New Roman" w:hAnsi="Times New Roman"/>
                <w:sz w:val="15"/>
                <w:szCs w:val="15"/>
              </w:rPr>
              <w:t>MUD</w:t>
            </w:r>
          </w:p>
        </w:tc>
        <w:tc>
          <w:tcPr>
            <w:tcW w:w="650" w:type="dxa"/>
          </w:tcPr>
          <w:p w14:paraId="2EC9A96C">
            <w:pPr>
              <w:jc w:val="center"/>
              <w:rPr>
                <w:rFonts w:ascii="Times New Roman" w:hAnsi="Times New Roman"/>
                <w:sz w:val="15"/>
                <w:szCs w:val="15"/>
              </w:rPr>
            </w:pPr>
            <w:r>
              <w:rPr>
                <w:rFonts w:ascii="Times New Roman" w:hAnsi="Times New Roman"/>
                <w:sz w:val="15"/>
                <w:szCs w:val="15"/>
              </w:rPr>
              <w:t>γ</w:t>
            </w:r>
          </w:p>
        </w:tc>
        <w:tc>
          <w:tcPr>
            <w:tcW w:w="600" w:type="dxa"/>
          </w:tcPr>
          <w:p w14:paraId="687B7B35">
            <w:pPr>
              <w:jc w:val="center"/>
              <w:rPr>
                <w:rFonts w:ascii="Times New Roman" w:hAnsi="Times New Roman"/>
                <w:sz w:val="15"/>
                <w:szCs w:val="15"/>
              </w:rPr>
            </w:pPr>
            <w:r>
              <w:rPr>
                <w:rFonts w:ascii="Times New Roman" w:hAnsi="Times New Roman"/>
                <w:sz w:val="15"/>
                <w:szCs w:val="15"/>
              </w:rPr>
              <w:t>760</w:t>
            </w:r>
          </w:p>
        </w:tc>
        <w:tc>
          <w:tcPr>
            <w:tcW w:w="750" w:type="dxa"/>
          </w:tcPr>
          <w:p w14:paraId="7D7A3D2D">
            <w:pPr>
              <w:jc w:val="center"/>
              <w:rPr>
                <w:rFonts w:ascii="Times New Roman" w:hAnsi="Times New Roman"/>
                <w:sz w:val="15"/>
                <w:szCs w:val="15"/>
              </w:rPr>
            </w:pPr>
            <w:r>
              <w:rPr>
                <w:rFonts w:ascii="Times New Roman" w:hAnsi="Times New Roman"/>
                <w:sz w:val="15"/>
                <w:szCs w:val="15"/>
              </w:rPr>
              <w:t>9.4982</w:t>
            </w:r>
          </w:p>
        </w:tc>
        <w:tc>
          <w:tcPr>
            <w:tcW w:w="750" w:type="dxa"/>
          </w:tcPr>
          <w:p w14:paraId="1C841776">
            <w:pPr>
              <w:jc w:val="center"/>
              <w:rPr>
                <w:rFonts w:ascii="Times New Roman" w:hAnsi="Times New Roman"/>
                <w:sz w:val="15"/>
                <w:szCs w:val="15"/>
              </w:rPr>
            </w:pPr>
            <w:r>
              <w:rPr>
                <w:rFonts w:ascii="Times New Roman" w:hAnsi="Times New Roman"/>
                <w:sz w:val="15"/>
                <w:szCs w:val="15"/>
              </w:rPr>
              <w:t>165.8011</w:t>
            </w:r>
          </w:p>
        </w:tc>
        <w:tc>
          <w:tcPr>
            <w:tcW w:w="500" w:type="dxa"/>
          </w:tcPr>
          <w:p w14:paraId="6F76C5C1">
            <w:pPr>
              <w:jc w:val="center"/>
              <w:rPr>
                <w:rFonts w:ascii="Times New Roman" w:hAnsi="Times New Roman"/>
                <w:sz w:val="15"/>
                <w:szCs w:val="15"/>
              </w:rPr>
            </w:pPr>
            <w:r>
              <w:rPr>
                <w:rFonts w:ascii="Times New Roman" w:hAnsi="Times New Roman"/>
                <w:sz w:val="15"/>
                <w:szCs w:val="15"/>
              </w:rPr>
              <w:t>0.295</w:t>
            </w:r>
          </w:p>
        </w:tc>
        <w:tc>
          <w:tcPr>
            <w:tcW w:w="800" w:type="dxa"/>
          </w:tcPr>
          <w:p w14:paraId="201204F1">
            <w:pPr>
              <w:jc w:val="center"/>
              <w:rPr>
                <w:rFonts w:ascii="Times New Roman" w:hAnsi="Times New Roman"/>
                <w:sz w:val="15"/>
                <w:szCs w:val="15"/>
              </w:rPr>
            </w:pPr>
            <w:r>
              <w:rPr>
                <w:rFonts w:ascii="Times New Roman" w:hAnsi="Times New Roman"/>
                <w:sz w:val="15"/>
                <w:szCs w:val="15"/>
              </w:rPr>
              <w:t>0.757</w:t>
            </w:r>
          </w:p>
        </w:tc>
      </w:tr>
    </w:tbl>
    <w:p w14:paraId="25A3E6B4">
      <w:pPr>
        <w:spacing w:after="0" w:line="240" w:lineRule="auto"/>
        <w:rPr>
          <w:rFonts w:ascii="Times New Roman Regular" w:hAnsi="Times New Roman Regular" w:cs="Times New Roman Regular"/>
          <w:sz w:val="18"/>
          <w:szCs w:val="18"/>
        </w:rPr>
      </w:pPr>
      <w:r>
        <w:rPr>
          <w:rFonts w:ascii="Times New Roman Regular" w:hAnsi="Times New Roman Regular" w:cs="Times New Roman Regular"/>
          <w:sz w:val="18"/>
          <w:szCs w:val="18"/>
        </w:rPr>
        <w:t>Bias is the recovered value minus the generating value. Coverage denotes empirical coverage of nominal 95% Wald intervals. Refits equal the number of participants multiplied by 20 simulations.</w:t>
      </w:r>
    </w:p>
    <w:p w14:paraId="5B50CA8A">
      <w:pPr>
        <w:keepNext/>
        <w:pageBreakBefore/>
        <w:spacing w:after="0" w:line="240" w:lineRule="auto"/>
        <w:rPr>
          <w:rFonts w:ascii="Times New Roman" w:hAnsi="Times New Roman"/>
          <w:b/>
          <w:sz w:val="20"/>
          <w:szCs w:val="20"/>
        </w:rPr>
      </w:pPr>
      <w:r>
        <w:rPr>
          <w:rFonts w:ascii="Times New Roman" w:hAnsi="Times New Roman"/>
          <w:b/>
          <w:sz w:val="20"/>
          <w:szCs w:val="20"/>
        </w:rPr>
        <w:t>Supplementary Table 9 | Leave-one-participant-out prediction performance of the equal-weight composite model.</w:t>
      </w:r>
    </w:p>
    <w:tbl>
      <w:tblPr>
        <w:tblStyle w:val="6"/>
        <w:tblW w:w="0" w:type="auto"/>
        <w:tblInd w:w="0" w:type="dxa"/>
        <w:tblLayout w:type="autofit"/>
        <w:tblCellMar>
          <w:top w:w="0" w:type="dxa"/>
          <w:left w:w="108" w:type="dxa"/>
          <w:bottom w:w="0" w:type="dxa"/>
          <w:right w:w="108" w:type="dxa"/>
        </w:tblCellMar>
      </w:tblPr>
      <w:tblGrid>
        <w:gridCol w:w="600"/>
        <w:gridCol w:w="1186"/>
        <w:gridCol w:w="554"/>
        <w:gridCol w:w="625"/>
        <w:gridCol w:w="554"/>
        <w:gridCol w:w="1402"/>
        <w:gridCol w:w="1694"/>
        <w:gridCol w:w="1907"/>
      </w:tblGrid>
      <w:tr w14:paraId="17C1E82B">
        <w:tc>
          <w:tcPr>
            <w:tcW w:w="0" w:type="auto"/>
          </w:tcPr>
          <w:p w14:paraId="046FEFC2">
            <w:pPr>
              <w:jc w:val="center"/>
              <w:rPr>
                <w:rFonts w:ascii="Times New Roman" w:hAnsi="Times New Roman"/>
                <w:sz w:val="15"/>
                <w:szCs w:val="15"/>
              </w:rPr>
            </w:pPr>
            <w:r>
              <w:rPr>
                <w:rFonts w:ascii="Times New Roman" w:hAnsi="Times New Roman"/>
                <w:sz w:val="15"/>
                <w:szCs w:val="15"/>
              </w:rPr>
              <w:t>Group</w:t>
            </w:r>
          </w:p>
        </w:tc>
        <w:tc>
          <w:tcPr>
            <w:tcW w:w="0" w:type="auto"/>
          </w:tcPr>
          <w:p w14:paraId="1F13AADA">
            <w:pPr>
              <w:jc w:val="center"/>
              <w:rPr>
                <w:rFonts w:ascii="Times New Roman" w:hAnsi="Times New Roman"/>
                <w:sz w:val="15"/>
                <w:szCs w:val="15"/>
              </w:rPr>
            </w:pPr>
            <w:r>
              <w:rPr>
                <w:rFonts w:ascii="Times New Roman" w:hAnsi="Times New Roman"/>
                <w:sz w:val="15"/>
                <w:szCs w:val="15"/>
              </w:rPr>
              <w:t>n
(participants; trials)</w:t>
            </w:r>
          </w:p>
        </w:tc>
        <w:tc>
          <w:tcPr>
            <w:tcW w:w="0" w:type="auto"/>
          </w:tcPr>
          <w:p w14:paraId="3C9AE7CD">
            <w:pPr>
              <w:jc w:val="center"/>
              <w:rPr>
                <w:rFonts w:ascii="Times New Roman" w:hAnsi="Times New Roman"/>
                <w:sz w:val="15"/>
                <w:szCs w:val="15"/>
              </w:rPr>
            </w:pPr>
            <w:r>
              <w:rPr>
                <w:rFonts w:ascii="Times New Roman" w:hAnsi="Times New Roman"/>
                <w:sz w:val="15"/>
                <w:szCs w:val="15"/>
              </w:rPr>
              <w:t>r</w:t>
            </w:r>
          </w:p>
        </w:tc>
        <w:tc>
          <w:tcPr>
            <w:tcW w:w="0" w:type="auto"/>
          </w:tcPr>
          <w:p w14:paraId="15A30390">
            <w:pPr>
              <w:jc w:val="center"/>
              <w:rPr>
                <w:rFonts w:ascii="Times New Roman" w:hAnsi="Times New Roman"/>
                <w:sz w:val="15"/>
                <w:szCs w:val="15"/>
              </w:rPr>
            </w:pPr>
            <w:r>
              <w:rPr>
                <w:rFonts w:ascii="Times New Roman" w:hAnsi="Times New Roman"/>
                <w:sz w:val="15"/>
                <w:szCs w:val="15"/>
              </w:rPr>
              <w:t>RMSE</w:t>
            </w:r>
          </w:p>
        </w:tc>
        <w:tc>
          <w:tcPr>
            <w:tcW w:w="0" w:type="auto"/>
          </w:tcPr>
          <w:p w14:paraId="5F1F7CCD">
            <w:pPr>
              <w:jc w:val="center"/>
              <w:rPr>
                <w:rFonts w:ascii="Times New Roman" w:hAnsi="Times New Roman"/>
                <w:sz w:val="15"/>
                <w:szCs w:val="15"/>
              </w:rPr>
            </w:pPr>
            <w:r>
              <w:rPr>
                <w:rFonts w:ascii="Times New Roman" w:hAnsi="Times New Roman"/>
                <w:sz w:val="15"/>
                <w:szCs w:val="15"/>
              </w:rPr>
              <w:t>MAE</w:t>
            </w:r>
          </w:p>
        </w:tc>
        <w:tc>
          <w:tcPr>
            <w:tcW w:w="0" w:type="auto"/>
          </w:tcPr>
          <w:p w14:paraId="0F2C2380">
            <w:pPr>
              <w:jc w:val="center"/>
              <w:rPr>
                <w:rFonts w:ascii="Times New Roman" w:hAnsi="Times New Roman"/>
                <w:sz w:val="15"/>
                <w:szCs w:val="15"/>
              </w:rPr>
            </w:pPr>
            <w:r>
              <w:rPr>
                <w:rFonts w:ascii="Times New Roman" w:hAnsi="Times New Roman"/>
                <w:sz w:val="15"/>
                <w:szCs w:val="15"/>
              </w:rPr>
              <w:t>MSE reduction vs
no update
(95% CI)</w:t>
            </w:r>
          </w:p>
        </w:tc>
        <w:tc>
          <w:tcPr>
            <w:tcW w:w="0" w:type="auto"/>
          </w:tcPr>
          <w:p w14:paraId="18429F4E">
            <w:pPr>
              <w:jc w:val="center"/>
              <w:rPr>
                <w:rFonts w:ascii="Times New Roman" w:hAnsi="Times New Roman"/>
                <w:sz w:val="15"/>
                <w:szCs w:val="15"/>
              </w:rPr>
            </w:pPr>
            <w:r>
              <w:rPr>
                <w:rFonts w:ascii="Times New Roman" w:hAnsi="Times New Roman"/>
                <w:sz w:val="15"/>
                <w:szCs w:val="15"/>
              </w:rPr>
              <w:t>MSE reduction vs
intercept-only
(95% CI)</w:t>
            </w:r>
          </w:p>
        </w:tc>
        <w:tc>
          <w:tcPr>
            <w:tcW w:w="0" w:type="auto"/>
          </w:tcPr>
          <w:p w14:paraId="528A0D29">
            <w:pPr>
              <w:jc w:val="center"/>
              <w:rPr>
                <w:rFonts w:ascii="Times New Roman" w:hAnsi="Times New Roman"/>
                <w:sz w:val="15"/>
                <w:szCs w:val="15"/>
              </w:rPr>
            </w:pPr>
            <w:r>
              <w:rPr>
                <w:rFonts w:ascii="Times New Roman" w:hAnsi="Times New Roman"/>
                <w:sz w:val="15"/>
                <w:szCs w:val="15"/>
              </w:rPr>
              <w:t>Source-specific
increment vs composite
(95% CI)</w:t>
            </w:r>
          </w:p>
        </w:tc>
      </w:tr>
      <w:tr w14:paraId="418796D4">
        <w:tc>
          <w:tcPr>
            <w:tcW w:w="0" w:type="auto"/>
          </w:tcPr>
          <w:p w14:paraId="5EE70C2F">
            <w:pPr>
              <w:jc w:val="center"/>
              <w:rPr>
                <w:rFonts w:ascii="Times New Roman" w:hAnsi="Times New Roman"/>
                <w:sz w:val="15"/>
                <w:szCs w:val="15"/>
              </w:rPr>
            </w:pPr>
            <w:r>
              <w:rPr>
                <w:rFonts w:ascii="Times New Roman" w:hAnsi="Times New Roman"/>
                <w:sz w:val="15"/>
                <w:szCs w:val="15"/>
              </w:rPr>
              <w:t>HC</w:t>
            </w:r>
          </w:p>
        </w:tc>
        <w:tc>
          <w:tcPr>
            <w:tcW w:w="0" w:type="auto"/>
          </w:tcPr>
          <w:p w14:paraId="0ED06E02">
            <w:pPr>
              <w:jc w:val="center"/>
              <w:rPr>
                <w:rFonts w:ascii="Times New Roman" w:hAnsi="Times New Roman"/>
                <w:sz w:val="15"/>
                <w:szCs w:val="15"/>
              </w:rPr>
            </w:pPr>
            <w:r>
              <w:rPr>
                <w:rFonts w:ascii="Times New Roman" w:hAnsi="Times New Roman"/>
                <w:sz w:val="15"/>
                <w:szCs w:val="15"/>
              </w:rPr>
              <w:t>49; 7,497</w:t>
            </w:r>
          </w:p>
        </w:tc>
        <w:tc>
          <w:tcPr>
            <w:tcW w:w="0" w:type="auto"/>
          </w:tcPr>
          <w:p w14:paraId="7E948C48">
            <w:pPr>
              <w:jc w:val="center"/>
              <w:rPr>
                <w:rFonts w:ascii="Times New Roman" w:hAnsi="Times New Roman"/>
                <w:sz w:val="15"/>
                <w:szCs w:val="15"/>
              </w:rPr>
            </w:pPr>
            <w:r>
              <w:rPr>
                <w:rFonts w:ascii="Times New Roman" w:hAnsi="Times New Roman"/>
                <w:sz w:val="15"/>
                <w:szCs w:val="15"/>
              </w:rPr>
              <w:t>0.328</w:t>
            </w:r>
          </w:p>
        </w:tc>
        <w:tc>
          <w:tcPr>
            <w:tcW w:w="0" w:type="auto"/>
          </w:tcPr>
          <w:p w14:paraId="09A0DE0E">
            <w:pPr>
              <w:jc w:val="center"/>
              <w:rPr>
                <w:rFonts w:ascii="Times New Roman" w:hAnsi="Times New Roman"/>
                <w:sz w:val="15"/>
                <w:szCs w:val="15"/>
              </w:rPr>
            </w:pPr>
            <w:r>
              <w:rPr>
                <w:rFonts w:ascii="Times New Roman" w:hAnsi="Times New Roman"/>
                <w:sz w:val="15"/>
                <w:szCs w:val="15"/>
              </w:rPr>
              <w:t>1.080</w:t>
            </w:r>
          </w:p>
        </w:tc>
        <w:tc>
          <w:tcPr>
            <w:tcW w:w="0" w:type="auto"/>
          </w:tcPr>
          <w:p w14:paraId="0A966CAF">
            <w:pPr>
              <w:jc w:val="center"/>
              <w:rPr>
                <w:rFonts w:ascii="Times New Roman" w:hAnsi="Times New Roman"/>
                <w:sz w:val="15"/>
                <w:szCs w:val="15"/>
              </w:rPr>
            </w:pPr>
            <w:r>
              <w:rPr>
                <w:rFonts w:ascii="Times New Roman" w:hAnsi="Times New Roman"/>
                <w:sz w:val="15"/>
                <w:szCs w:val="15"/>
              </w:rPr>
              <w:t>0.722</w:t>
            </w:r>
          </w:p>
        </w:tc>
        <w:tc>
          <w:tcPr>
            <w:tcW w:w="0" w:type="auto"/>
          </w:tcPr>
          <w:p w14:paraId="0F998F4A">
            <w:pPr>
              <w:jc w:val="center"/>
              <w:rPr>
                <w:rFonts w:ascii="Times New Roman" w:hAnsi="Times New Roman"/>
                <w:sz w:val="15"/>
                <w:szCs w:val="15"/>
              </w:rPr>
            </w:pPr>
            <w:r>
              <w:rPr>
                <w:rFonts w:ascii="Times New Roman" w:hAnsi="Times New Roman"/>
                <w:sz w:val="15"/>
                <w:szCs w:val="15"/>
              </w:rPr>
              <w:t>11.3% [6.9%, 14.6%]</w:t>
            </w:r>
          </w:p>
        </w:tc>
        <w:tc>
          <w:tcPr>
            <w:tcW w:w="0" w:type="auto"/>
          </w:tcPr>
          <w:p w14:paraId="5C000C12">
            <w:pPr>
              <w:jc w:val="center"/>
              <w:rPr>
                <w:rFonts w:ascii="Times New Roman" w:hAnsi="Times New Roman"/>
                <w:sz w:val="15"/>
                <w:szCs w:val="15"/>
              </w:rPr>
            </w:pPr>
            <w:r>
              <w:rPr>
                <w:rFonts w:ascii="Times New Roman" w:hAnsi="Times New Roman"/>
                <w:sz w:val="15"/>
                <w:szCs w:val="15"/>
              </w:rPr>
              <w:t>10.9% [6.6%, 14.2%]</w:t>
            </w:r>
          </w:p>
        </w:tc>
        <w:tc>
          <w:tcPr>
            <w:tcW w:w="0" w:type="auto"/>
          </w:tcPr>
          <w:p w14:paraId="7ADB3AE3">
            <w:pPr>
              <w:jc w:val="center"/>
              <w:rPr>
                <w:rFonts w:ascii="Times New Roman" w:hAnsi="Times New Roman"/>
                <w:sz w:val="15"/>
                <w:szCs w:val="15"/>
              </w:rPr>
            </w:pPr>
            <w:r>
              <w:rPr>
                <w:rFonts w:ascii="Times New Roman" w:hAnsi="Times New Roman"/>
                <w:sz w:val="15"/>
                <w:szCs w:val="15"/>
              </w:rPr>
              <w:t>0.7% [−0.3%, 1.6%]</w:t>
            </w:r>
          </w:p>
        </w:tc>
      </w:tr>
      <w:tr w14:paraId="3275B888">
        <w:tc>
          <w:tcPr>
            <w:tcW w:w="0" w:type="auto"/>
          </w:tcPr>
          <w:p w14:paraId="7E90C0E3">
            <w:pPr>
              <w:jc w:val="center"/>
              <w:rPr>
                <w:rFonts w:ascii="Times New Roman" w:hAnsi="Times New Roman"/>
                <w:sz w:val="15"/>
                <w:szCs w:val="15"/>
              </w:rPr>
            </w:pPr>
            <w:r>
              <w:rPr>
                <w:rFonts w:ascii="Times New Roman" w:hAnsi="Times New Roman"/>
                <w:sz w:val="15"/>
                <w:szCs w:val="15"/>
              </w:rPr>
              <w:t>MUD</w:t>
            </w:r>
          </w:p>
        </w:tc>
        <w:tc>
          <w:tcPr>
            <w:tcW w:w="0" w:type="auto"/>
          </w:tcPr>
          <w:p w14:paraId="23F2ADBA">
            <w:pPr>
              <w:jc w:val="center"/>
              <w:rPr>
                <w:rFonts w:ascii="Times New Roman" w:hAnsi="Times New Roman"/>
                <w:sz w:val="15"/>
                <w:szCs w:val="15"/>
              </w:rPr>
            </w:pPr>
            <w:r>
              <w:rPr>
                <w:rFonts w:ascii="Times New Roman" w:hAnsi="Times New Roman"/>
                <w:sz w:val="15"/>
                <w:szCs w:val="15"/>
              </w:rPr>
              <w:t>38; 5,813</w:t>
            </w:r>
          </w:p>
        </w:tc>
        <w:tc>
          <w:tcPr>
            <w:tcW w:w="0" w:type="auto"/>
          </w:tcPr>
          <w:p w14:paraId="57AF677C">
            <w:pPr>
              <w:jc w:val="center"/>
              <w:rPr>
                <w:rFonts w:ascii="Times New Roman" w:hAnsi="Times New Roman"/>
                <w:sz w:val="15"/>
                <w:szCs w:val="15"/>
              </w:rPr>
            </w:pPr>
            <w:r>
              <w:rPr>
                <w:rFonts w:ascii="Times New Roman" w:hAnsi="Times New Roman"/>
                <w:sz w:val="15"/>
                <w:szCs w:val="15"/>
              </w:rPr>
              <w:t>0.163</w:t>
            </w:r>
          </w:p>
        </w:tc>
        <w:tc>
          <w:tcPr>
            <w:tcW w:w="0" w:type="auto"/>
          </w:tcPr>
          <w:p w14:paraId="43A69985">
            <w:pPr>
              <w:jc w:val="center"/>
              <w:rPr>
                <w:rFonts w:ascii="Times New Roman" w:hAnsi="Times New Roman"/>
                <w:sz w:val="15"/>
                <w:szCs w:val="15"/>
              </w:rPr>
            </w:pPr>
            <w:r>
              <w:rPr>
                <w:rFonts w:ascii="Times New Roman" w:hAnsi="Times New Roman"/>
                <w:sz w:val="15"/>
                <w:szCs w:val="15"/>
              </w:rPr>
              <w:t>0.806</w:t>
            </w:r>
          </w:p>
        </w:tc>
        <w:tc>
          <w:tcPr>
            <w:tcW w:w="0" w:type="auto"/>
          </w:tcPr>
          <w:p w14:paraId="3B3D2ACC">
            <w:pPr>
              <w:jc w:val="center"/>
              <w:rPr>
                <w:rFonts w:ascii="Times New Roman" w:hAnsi="Times New Roman"/>
                <w:sz w:val="15"/>
                <w:szCs w:val="15"/>
              </w:rPr>
            </w:pPr>
            <w:r>
              <w:rPr>
                <w:rFonts w:ascii="Times New Roman" w:hAnsi="Times New Roman"/>
                <w:sz w:val="15"/>
                <w:szCs w:val="15"/>
              </w:rPr>
              <w:t>0.383</w:t>
            </w:r>
          </w:p>
        </w:tc>
        <w:tc>
          <w:tcPr>
            <w:tcW w:w="0" w:type="auto"/>
          </w:tcPr>
          <w:p w14:paraId="6C0AE021">
            <w:pPr>
              <w:jc w:val="center"/>
              <w:rPr>
                <w:rFonts w:ascii="Times New Roman" w:hAnsi="Times New Roman"/>
                <w:sz w:val="15"/>
                <w:szCs w:val="15"/>
              </w:rPr>
            </w:pPr>
            <w:r>
              <w:rPr>
                <w:rFonts w:ascii="Times New Roman" w:hAnsi="Times New Roman"/>
                <w:sz w:val="15"/>
                <w:szCs w:val="15"/>
              </w:rPr>
              <w:t>2.7% [−0.7%, 5.2%]</w:t>
            </w:r>
          </w:p>
        </w:tc>
        <w:tc>
          <w:tcPr>
            <w:tcW w:w="0" w:type="auto"/>
          </w:tcPr>
          <w:p w14:paraId="25F50B2B">
            <w:pPr>
              <w:jc w:val="center"/>
              <w:rPr>
                <w:rFonts w:ascii="Times New Roman" w:hAnsi="Times New Roman"/>
                <w:sz w:val="15"/>
                <w:szCs w:val="15"/>
              </w:rPr>
            </w:pPr>
            <w:r>
              <w:rPr>
                <w:rFonts w:ascii="Times New Roman" w:hAnsi="Times New Roman"/>
                <w:sz w:val="15"/>
                <w:szCs w:val="15"/>
              </w:rPr>
              <w:t>3.0% [0.2%, 5.2%]</w:t>
            </w:r>
          </w:p>
        </w:tc>
        <w:tc>
          <w:tcPr>
            <w:tcW w:w="0" w:type="auto"/>
          </w:tcPr>
          <w:p w14:paraId="4ADC05FC">
            <w:pPr>
              <w:jc w:val="center"/>
              <w:rPr>
                <w:rFonts w:ascii="Times New Roman" w:hAnsi="Times New Roman"/>
                <w:sz w:val="15"/>
                <w:szCs w:val="15"/>
              </w:rPr>
            </w:pPr>
            <w:r>
              <w:rPr>
                <w:rFonts w:ascii="Times New Roman" w:hAnsi="Times New Roman"/>
                <w:sz w:val="15"/>
                <w:szCs w:val="15"/>
              </w:rPr>
              <w:t>−0.1% [−0.5%, 0.0%]</w:t>
            </w:r>
          </w:p>
        </w:tc>
      </w:tr>
    </w:tbl>
    <w:p w14:paraId="3FFCF7BE">
      <w:pPr>
        <w:spacing w:after="0" w:line="240" w:lineRule="auto"/>
        <w:rPr>
          <w:rFonts w:ascii="Times New Roman Regular" w:hAnsi="Times New Roman Regular" w:cs="Times New Roman Regular"/>
          <w:sz w:val="18"/>
          <w:szCs w:val="18"/>
        </w:rPr>
      </w:pPr>
      <w:r>
        <w:rPr>
          <w:rFonts w:ascii="Times New Roman Regular" w:hAnsi="Times New Roman Regular" w:cs="Times New Roman Regular"/>
          <w:sz w:val="18"/>
          <w:szCs w:val="18"/>
        </w:rPr>
        <w:t>Pearson's r, RMSE, and MAE compare observed and predicted trial-wise rating change (ΔR) for the equal-weight composite model. Relative MSE reduction = 100 × [1 − MSEmodel/MSEbaseline]; positive values indicate lower error. MSE was aggregated across all held-out trials within each diagnostic group. Confidence intervals are participant-cluster bootstrap 95% CIs, retaining all trials from each resampled participant. The source-specific increment compares the source-specific model with the equal-weight composite model; negative values indicate higher source-specific MSE.</w:t>
      </w:r>
    </w:p>
    <w:p w14:paraId="41B6458B">
      <w:pPr>
        <w:jc w:val="both"/>
      </w:pPr>
    </w:p>
    <w:p w14:paraId="38576DCF">
      <w:pPr>
        <w:jc w:val="center"/>
      </w:pPr>
    </w:p>
    <w:p w14:paraId="291DA6D6">
      <w:pPr>
        <w:jc w:val="center"/>
      </w:pPr>
    </w:p>
    <w:p w14:paraId="016F0F00">
      <w:pPr>
        <w:jc w:val="center"/>
      </w:pPr>
    </w:p>
    <w:p w14:paraId="17114C0E">
      <w:pPr>
        <w:jc w:val="center"/>
      </w:pPr>
    </w:p>
    <w:p w14:paraId="0C16D8FE">
      <w:pPr>
        <w:jc w:val="center"/>
      </w:pPr>
    </w:p>
    <w:p w14:paraId="0EBA93A1">
      <w:pPr>
        <w:jc w:val="center"/>
      </w:pPr>
    </w:p>
    <w:p w14:paraId="010A52AF">
      <w:pPr>
        <w:jc w:val="center"/>
      </w:pPr>
    </w:p>
    <w:p w14:paraId="786C457F">
      <w:pPr>
        <w:jc w:val="center"/>
      </w:pPr>
    </w:p>
    <w:p w14:paraId="09518559">
      <w:pPr>
        <w:jc w:val="center"/>
      </w:pPr>
    </w:p>
    <w:p w14:paraId="441C0E97">
      <w:pPr>
        <w:jc w:val="center"/>
      </w:pPr>
    </w:p>
    <w:p w14:paraId="32A5C4C4">
      <w:pPr>
        <w:jc w:val="center"/>
      </w:pPr>
    </w:p>
    <w:p w14:paraId="2EB6CC28">
      <w:pPr>
        <w:jc w:val="center"/>
      </w:pPr>
    </w:p>
    <w:p w14:paraId="22136EB9">
      <w:pPr>
        <w:jc w:val="center"/>
      </w:pPr>
    </w:p>
    <w:p w14:paraId="3F4C4EE5">
      <w:pPr>
        <w:jc w:val="center"/>
      </w:pPr>
    </w:p>
    <w:p w14:paraId="7A34F115">
      <w:pPr>
        <w:jc w:val="center"/>
      </w:pPr>
    </w:p>
    <w:p w14:paraId="7A6D91BB"/>
    <w:p w14:paraId="5FCDF575">
      <w:pPr>
        <w:jc w:val="center"/>
      </w:pPr>
      <w:r>
        <w:drawing>
          <wp:inline distT="0" distB="0" distL="114300" distR="114300">
            <wp:extent cx="5274310" cy="3367405"/>
            <wp:effectExtent l="0" t="0" r="8890" b="10795"/>
            <wp:docPr id="4" name="Supplementary 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ary Figure S1"/>
                    <pic:cNvPicPr>
                      <a:picLocks noChangeAspect="1"/>
                    </pic:cNvPicPr>
                  </pic:nvPicPr>
                  <pic:blipFill>
                    <a:blip r:embed="rId6"/>
                    <a:stretch>
                      <a:fillRect/>
                    </a:stretch>
                  </pic:blipFill>
                  <pic:spPr>
                    <a:xfrm>
                      <a:off x="0" y="0"/>
                      <a:ext cx="5274310" cy="3367405"/>
                    </a:xfrm>
                    <a:prstGeom prst="rect">
                      <a:avLst/>
                    </a:prstGeom>
                    <a:noFill/>
                    <a:ln>
                      <a:noFill/>
                    </a:ln>
                  </pic:spPr>
                </pic:pic>
              </a:graphicData>
            </a:graphic>
          </wp:inline>
        </w:drawing>
      </w:r>
    </w:p>
    <w:p w14:paraId="3368A0F7">
      <w:pPr>
        <w:jc w:val="left"/>
      </w:pPr>
      <w:r>
        <w:t xml:space="preserve">Supplementary Figure S1 | Simulation-based model-identifiability analysis. </w:t>
      </w:r>
    </w:p>
    <w:p w14:paraId="4D1C57DD">
      <w:pPr>
        <w:jc w:val="left"/>
        <w:rPr>
          <w:rFonts w:ascii="Times New Roman Regular" w:hAnsi="Times New Roman Regular" w:cs="Times New Roman Regular"/>
          <w:sz w:val="18"/>
          <w:szCs w:val="18"/>
        </w:rPr>
      </w:pPr>
      <w:r>
        <w:rPr>
          <w:rFonts w:ascii="Times New Roman Regular" w:hAnsi="Times New Roman Regular" w:cs="Times New Roman Regular"/>
          <w:sz w:val="18"/>
          <w:szCs w:val="18"/>
        </w:rPr>
        <w:t>Across the parameter grid, correct recovery ranged from 0.15–0.75 for the independent-source model, 0.95–0.98 for the equal-weight composite model, and 0.02–0.58 for the convergence-amplification model. Reduced recovery was concentrated when source weights were near equal or γ was close to zero, where candidate models yield closely matched trial-wise predictions. Although the equal-weight composite model showed high recovery when it generated the data, this pattern partly reflects its simpler and partially nested structure.</w:t>
      </w:r>
    </w:p>
    <w:p w14:paraId="779E1DDE">
      <w:pPr>
        <w:jc w:val="left"/>
        <w:rPr>
          <w:rFonts w:hint="eastAsia" w:ascii="Times New Roman Regular" w:hAnsi="Times New Roman Regular" w:cs="Times New Roman Regular"/>
          <w:sz w:val="18"/>
          <w:szCs w:val="18"/>
          <w:lang w:val="en-US" w:eastAsia="zh-CN"/>
        </w:rPr>
      </w:pPr>
      <w:r>
        <w:rPr>
          <w:rFonts w:ascii="Times New Roman Regular" w:hAnsi="Times New Roman Regular" w:cs="Times New Roman Regular"/>
          <w:sz w:val="18"/>
          <w:szCs w:val="18"/>
        </w:rPr>
        <w:t>(A) Confusion matrix for empirical-parameter model recovery, with generating models in rows and recovered models in columns. (B–D) Recovery accuracy for the independent-source, equal-weight composite, and convergence-amplification models across residual-noise multipliers and peer–societal signal correlations. (E) Recovery of the convergence-amplification model across residual noise and γ. (F) Pairwise misclassification probabilities between the independent-source and equal-weight composite models under asymmetric, moderate, and near-equal source-weight structures. Each parameter cell is based on 100 simulations.</w:t>
      </w:r>
    </w:p>
    <w:sectPr>
      <w:pgSz w:w="11906" w:h="16838"/>
      <w:pgMar w:top="1440" w:right="1800" w:bottom="1440" w:left="1800" w:header="851" w:footer="992" w:gutter="0"/>
      <w:pgBorders>
        <w:top w:val="single" w:color="auto" w:sz="4" w:space="1"/>
        <w:left w:val="none" w:sz="0" w:space="0"/>
        <w:bottom w:val="single" w:color="auto" w:sz="4" w:space="1"/>
        <w:right w:val="none" w:sz="0" w:space="0"/>
      </w:pgBorders>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赵迪" w:date="2026-08-27T13:00:50Z" w:initials="">
    <w:p w14:paraId="37DD1193">
      <w:r>
        <w:t>请给出 craving 量表名称、范围、中心化方式、MUD样本有效 n、完整模型公式、系数和95% CI，而不仅是选定 F 检验。若 HC 无 craving 数据，应说明该模型仅在 MUD 内拟合，df约39的含义也要明确。</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7DD119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Cambria Math">
    <w:altName w:val="Kingsoft Math"/>
    <w:panose1 w:val="02040503050406030204"/>
    <w:charset w:val="00"/>
    <w:family w:val="roman"/>
    <w:pitch w:val="default"/>
    <w:sig w:usb0="00000000" w:usb1="00000000" w:usb2="00000000" w:usb3="00000000" w:csb0="0000019F" w:csb1="00000000"/>
  </w:font>
  <w:font w:name="DejaVu Math TeX Gyre">
    <w:panose1 w:val="02000503000000000000"/>
    <w:charset w:val="00"/>
    <w:family w:val="auto"/>
    <w:pitch w:val="default"/>
    <w:sig w:usb0="A10000EF" w:usb1="4201F9EE" w:usb2="02000000" w:usb3="00000000" w:csb0="60000193" w:csb1="0DD40000"/>
  </w:font>
  <w:font w:name="Arial Regular">
    <w:panose1 w:val="020B06040202020902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Math">
    <w:panose1 w:val="02040503050406030204"/>
    <w:charset w:val="00"/>
    <w:family w:val="auto"/>
    <w:pitch w:val="default"/>
    <w:sig w:usb0="80000087" w:usb1="00002068" w:usb2="00000000" w:usb3="00000000" w:csb0="2000019F"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赵迪">
    <w15:presenceInfo w15:providerId="None" w15:userId="赵迪"/>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38"/>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5NTk5OGM5NTdlZmMwZGQ3N2VmMGVjMDY4MzAxMmMifQ=="/>
  </w:docVars>
  <w:rsids>
    <w:rsidRoot w:val="5BDE3F61"/>
    <w:rsid w:val="1E7D71C4"/>
    <w:rsid w:val="23B636E1"/>
    <w:rsid w:val="2DFB7734"/>
    <w:rsid w:val="367E5D24"/>
    <w:rsid w:val="36F7C87B"/>
    <w:rsid w:val="37CF3F52"/>
    <w:rsid w:val="387D9807"/>
    <w:rsid w:val="38B75E84"/>
    <w:rsid w:val="3F4C68C0"/>
    <w:rsid w:val="4CFD2662"/>
    <w:rsid w:val="4FEFB030"/>
    <w:rsid w:val="5BDE3F61"/>
    <w:rsid w:val="5F5F6A69"/>
    <w:rsid w:val="5FED890B"/>
    <w:rsid w:val="5FFB2C85"/>
    <w:rsid w:val="63FEFAC8"/>
    <w:rsid w:val="69FB1673"/>
    <w:rsid w:val="6DDA796B"/>
    <w:rsid w:val="6EFF0818"/>
    <w:rsid w:val="6F7FDDCB"/>
    <w:rsid w:val="733F6B7E"/>
    <w:rsid w:val="76DD633C"/>
    <w:rsid w:val="76FD7B3D"/>
    <w:rsid w:val="77FFC8A5"/>
    <w:rsid w:val="79EE89A3"/>
    <w:rsid w:val="7BBF4413"/>
    <w:rsid w:val="7BFE97F9"/>
    <w:rsid w:val="7E0F4040"/>
    <w:rsid w:val="7E4E9C18"/>
    <w:rsid w:val="7EA8B1F4"/>
    <w:rsid w:val="7EEAE7CC"/>
    <w:rsid w:val="7EEFF220"/>
    <w:rsid w:val="7F5D3B36"/>
    <w:rsid w:val="7FDE5D39"/>
    <w:rsid w:val="9F3EA8DA"/>
    <w:rsid w:val="AB7F8905"/>
    <w:rsid w:val="B6AEF7C9"/>
    <w:rsid w:val="B9FF89EB"/>
    <w:rsid w:val="BD7D833B"/>
    <w:rsid w:val="BDBDD8A6"/>
    <w:rsid w:val="CFDF7714"/>
    <w:rsid w:val="D47F811A"/>
    <w:rsid w:val="D7F7EAE9"/>
    <w:rsid w:val="DBDDFF72"/>
    <w:rsid w:val="DD3F16C1"/>
    <w:rsid w:val="DFDD902A"/>
    <w:rsid w:val="DFFA2863"/>
    <w:rsid w:val="EB5D7ABB"/>
    <w:rsid w:val="EB7E891F"/>
    <w:rsid w:val="F7C7D592"/>
    <w:rsid w:val="F7FD4FEA"/>
    <w:rsid w:val="F8BBA052"/>
    <w:rsid w:val="FBAEB060"/>
    <w:rsid w:val="FBFF4F85"/>
    <w:rsid w:val="FBFF9204"/>
    <w:rsid w:val="FD47CABA"/>
    <w:rsid w:val="FD7EFB75"/>
    <w:rsid w:val="FDFEB48A"/>
    <w:rsid w:val="FE370844"/>
    <w:rsid w:val="FEE354F4"/>
    <w:rsid w:val="FEF708EC"/>
    <w:rsid w:val="FEFBD844"/>
    <w:rsid w:val="FF7E2A47"/>
    <w:rsid w:val="FFE3F09F"/>
    <w:rsid w:val="FFFD35E2"/>
    <w:rsid w:val="FFFD5177"/>
    <w:rsid w:val="FFFD8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2</TotalTime>
  <ScaleCrop>false</ScaleCrop>
  <LinksUpToDate>false</LinksUpToDate>
  <CharactersWithSpaces>0</CharactersWithSpaces>
  <Application>WPS Office_6.12.0.8899_F1E327BC-269C-435d-A152-05C5408002CA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2026-06-22T23:46:00Z</dcterms:created>
  <dc:creator>念</dc:creator>
  <cp:lastModifiedBy>李雨桐</cp:lastModifiedBy>
  <dcterms:modified xsi:type="dcterms:W3CDTF">2026-09-28T23:52:19Z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2052-6.12.0.8899</vt:lpwstr>
  </property>
  <property fmtid="{D5CDD505-2E9C-101B-9397-08002B2CF9AE}" pid="3" name="ICV">
    <vt:lpwstr>BD91CF24FF947825EC30BA6A53CA1A05_43</vt:lpwstr>
  </property>
</Properties>
</file>