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CA050">
      <w:pPr>
        <w:spacing w:line="480" w:lineRule="auto"/>
        <w:ind w:left="420" w:firstLine="42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Supp</w:t>
      </w:r>
      <w:r>
        <w:rPr>
          <w:rFonts w:hint="eastAsia" w:ascii="Times New Roman" w:hAnsi="Times New Roman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lementary</w:t>
      </w:r>
      <w:r>
        <w:rPr>
          <w:rFonts w:ascii="Times New Roman" w:hAnsi="Times New Roman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Material</w:t>
      </w:r>
    </w:p>
    <w:p w14:paraId="4563231F">
      <w:pPr>
        <w:autoSpaceDE w:val="0"/>
        <w:spacing w:line="480" w:lineRule="auto"/>
        <w:rPr>
          <w:rFonts w:hint="default" w:ascii="Times New Roman" w:hAnsi="Times New Roman" w:eastAsia="等线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Times New Roman" w:hAnsi="Times New Roman" w:eastAsia="等线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standardContextual"/>
        </w:rPr>
        <w:t>Preparation of a high specificity imidacloprid monoclonal antibody and its application in homogeneous fluorescence immunoassay based on hydrogel beads assembling CdSe/ZnS quantum dots</w:t>
      </w:r>
    </w:p>
    <w:p w14:paraId="304487F7">
      <w:pPr>
        <w:autoSpaceDE w:val="0"/>
        <w:spacing w:line="480" w:lineRule="auto"/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Zixin Jin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,b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,</w:t>
      </w:r>
      <w:r>
        <w:rPr>
          <w:rFonts w:hint="eastAsia" w:ascii="Times New Roman" w:hAnsi="Times New Roman" w:eastAsia="宋体" w:cs="Calibri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Minghui Guo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,c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,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Zhiwei Liu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,c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,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Yuqing Yang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,c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 xml:space="preserve">,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Meiyi Sun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,c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,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Ziwuzhen Wang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,c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,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Hongyu Shi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,c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,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Shuo Wang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d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,</w:t>
      </w:r>
      <w:r>
        <w:rPr>
          <w:rFonts w:hint="eastAsia" w:ascii="Times New Roman" w:hAnsi="Times New Roman" w:eastAsia="宋体" w:cs="Calibri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Wei Sheng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a,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c,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  <w14:ligatures w14:val="none"/>
        </w:rPr>
        <w:t>*</w:t>
      </w:r>
    </w:p>
    <w:p w14:paraId="1AE9F99D">
      <w:pPr>
        <w:tabs>
          <w:tab w:val="left" w:pos="1623"/>
        </w:tabs>
        <w:spacing w:line="480" w:lineRule="auto"/>
        <w:contextualSpacing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  <w14:ligatures w14:val="none"/>
        </w:rPr>
      </w:pPr>
    </w:p>
    <w:p w14:paraId="07222FFD">
      <w:pPr>
        <w:tabs>
          <w:tab w:val="left" w:pos="1623"/>
        </w:tabs>
        <w:spacing w:line="480" w:lineRule="auto"/>
        <w:contextualSpacing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8"/>
          <w:highlight w:val="none"/>
          <w14:textFill>
            <w14:solidFill>
              <w14:schemeClr w14:val="tx1"/>
            </w14:solidFill>
          </w14:textFill>
          <w14:ligatures w14:val="none"/>
        </w:rPr>
      </w:pPr>
    </w:p>
    <w:p w14:paraId="67F00159">
      <w:pPr>
        <w:spacing w:line="480" w:lineRule="auto"/>
        <w:contextualSpacing/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a</w:t>
      </w:r>
      <w:r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  <w:t>State Key Laboratory of Food Nutrition and Safety, Key Laboratory of Food Quality and Health of Tianjin, Tianjin University of Science and Technology, Tianjin, 300457, China.</w:t>
      </w:r>
    </w:p>
    <w:p w14:paraId="0DCEEAAC">
      <w:pPr>
        <w:spacing w:line="480" w:lineRule="auto"/>
        <w:contextualSpacing/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宋体" w:cs="Times New Roman"/>
          <w:iCs/>
          <w:color w:val="000000" w:themeColor="text1"/>
          <w:kern w:val="0"/>
          <w:sz w:val="24"/>
          <w:szCs w:val="22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b</w:t>
      </w:r>
      <w:r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  <w:t>College of Biotechnology, Tianjin University of Science and Technology, Tianjin, 300457, China.</w:t>
      </w:r>
    </w:p>
    <w:p w14:paraId="505B3078">
      <w:pPr>
        <w:spacing w:line="480" w:lineRule="auto"/>
        <w:contextualSpacing/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宋体" w:cs="Times New Roman"/>
          <w:iCs/>
          <w:color w:val="000000" w:themeColor="text1"/>
          <w:kern w:val="0"/>
          <w:sz w:val="24"/>
          <w:szCs w:val="22"/>
          <w:highlight w:val="none"/>
          <w:vertAlign w:val="superscript"/>
          <w:lang w:val="en-US" w:eastAsia="zh-CN"/>
          <w14:textFill>
            <w14:solidFill>
              <w14:schemeClr w14:val="tx1"/>
            </w14:solidFill>
          </w14:textFill>
          <w14:ligatures w14:val="none"/>
        </w:rPr>
        <w:t>c</w:t>
      </w:r>
      <w:r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  <w:t>College of Food Science and Engineering, Tianjin University of Science and Technology, Tianjin, 300457, China.</w:t>
      </w:r>
    </w:p>
    <w:p w14:paraId="437F81E9">
      <w:pPr>
        <w:spacing w:line="480" w:lineRule="auto"/>
        <w:contextualSpacing/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>d</w:t>
      </w:r>
      <w:r>
        <w:rPr>
          <w:rFonts w:hint="eastAsia"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  <w:t>Tianjin Key Laboratory of Food Science and Health, School of Medicine, Nankai University, Tianjin, 300071, China.</w:t>
      </w:r>
    </w:p>
    <w:p w14:paraId="1D7B4816">
      <w:pPr>
        <w:spacing w:line="480" w:lineRule="auto"/>
        <w:contextualSpacing/>
        <w:rPr>
          <w:rFonts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:vertAlign w:val="superscript"/>
          <w14:textFill>
            <w14:solidFill>
              <w14:schemeClr w14:val="tx1"/>
            </w14:solidFill>
          </w14:textFill>
          <w14:ligatures w14:val="none"/>
        </w:rPr>
        <w:t xml:space="preserve">* </w:t>
      </w:r>
      <w:r>
        <w:rPr>
          <w:rFonts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  <w:t xml:space="preserve">Corresponding author: Wei Sheng, email: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shengwei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junchen@163.com</w:t>
      </w:r>
    </w:p>
    <w:p w14:paraId="6873F3DC">
      <w:pPr>
        <w:spacing w:line="480" w:lineRule="auto"/>
        <w:ind w:firstLine="2880" w:firstLineChars="1200"/>
        <w:contextualSpacing/>
        <w:rPr>
          <w:rFonts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  <w:t>Tel: +86 22 6091 2483</w:t>
      </w:r>
    </w:p>
    <w:p w14:paraId="08582A5A">
      <w:pPr>
        <w:spacing w:line="480" w:lineRule="auto"/>
        <w:ind w:firstLine="2880" w:firstLineChars="1200"/>
        <w:rPr>
          <w:rFonts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Times New Roman" w:cs="Times New Roman"/>
          <w:iCs/>
          <w:color w:val="000000" w:themeColor="text1"/>
          <w:kern w:val="0"/>
          <w:sz w:val="24"/>
          <w:szCs w:val="22"/>
          <w:highlight w:val="none"/>
          <w14:textFill>
            <w14:solidFill>
              <w14:schemeClr w14:val="tx1"/>
            </w14:solidFill>
          </w14:textFill>
          <w14:ligatures w14:val="none"/>
        </w:rPr>
        <w:t>Fax: +86 22 6091 2489</w:t>
      </w:r>
    </w:p>
    <w:p w14:paraId="01E5A3C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5C0D9D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99754E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42EBF5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D072B3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4F4D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Content</w:t>
      </w:r>
    </w:p>
    <w:p w14:paraId="631C5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Supplementary experimental methods</w:t>
      </w:r>
    </w:p>
    <w:p w14:paraId="1E290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Test procedure of ELISA for detecting 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IMI</w:t>
      </w:r>
    </w:p>
    <w:p w14:paraId="06F0F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等线" w:cs="Times New Roman"/>
          <w:b w:val="0"/>
          <w:bCs w:val="0"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Sample treatment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HPLC</w:t>
      </w:r>
    </w:p>
    <w:p w14:paraId="71689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Figures</w:t>
      </w:r>
    </w:p>
    <w:p w14:paraId="7767A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Fig. S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 XPS characterization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of fluorescen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ce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signal probe.</w:t>
      </w:r>
    </w:p>
    <w:p w14:paraId="18DB3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Tables</w:t>
      </w:r>
    </w:p>
    <w:p w14:paraId="16F47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 PS MT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default" w:ascii="Times New Roman" w:hAnsi="Times New Roman" w:eastAsia="Times New Roman PS MT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Parameters of liquid phase instruments</w:t>
      </w:r>
    </w:p>
    <w:p w14:paraId="7D92F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 PS MT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Antiserum data after the fourth immunization</w:t>
      </w:r>
    </w:p>
    <w:p w14:paraId="34C1B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 An overview on the reported assays for determination of 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IMI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 w14:paraId="62036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EE2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37C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DD1D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AE7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EA00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BDBE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5299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B9D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CC0C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36A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6F50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D468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Test procedure of ELISA for detecting </w:t>
      </w:r>
      <w:r>
        <w:rPr>
          <w:rFonts w:hint="eastAsia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IMI</w:t>
      </w:r>
    </w:p>
    <w:p w14:paraId="7CCFB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First, the 96-well plates were coated with IMI-OVA diluted in CBS (100 μL/well) and incubated at 37°C for 3 h. After three washes with PBST (250 μL/well), the plates were blocked with blocking buffer (200 μL/well) at 37°C for 1 h and washed three times with PBST. Subsequently, 50 μL of standard solution and 50 μL of antibody were added to each well, followed by incubation at 37°C for 1 h and four washing cycles. Then, 100 μL of HRP-conjugated secondary antibody was added to each well, and the plates were incubated at 37°C for 30 min. Following five washes with PBST, 100 μL of substrate solution was added to each well. After a 15-min incubation at 37°C, the absorbance was measured using a Multiskan Spectrum microplate reader. </w:t>
      </w:r>
    </w:p>
    <w:p w14:paraId="687D6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等线" w:cs="Times New Roman"/>
          <w:b/>
          <w:bCs/>
          <w:i w:val="0"/>
          <w:i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Sample treatment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HPLC</w:t>
      </w:r>
    </w:p>
    <w:p w14:paraId="0D811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Sample pretreatment for HPLC analysis was performed as follows. Homogenized samples (apple, tomato, and cucumber) spiked with IMI at concentrations of 50, 100, and 200 μg kg⁻¹ were weighed (20 g) into centrifuge tubes containing 40 mL of acetonitrile and vortexed for 1 min. Following the addition of 5 g of NaCl, the mixtures were vortexed for another minute and centrifuged at 3000 rpm for 5 min. Subsequently, 20 mL of the supernatant was transferred to a pear-shaped flask and concentrated to dryness using a rotary evaporator. The resulting residue was reconstituted in 2 mL of 25% aqueous acetonitrile, sonicated for 30 s, and stored at 4°C pending purification. Purification was conducted using a C₁₈ solid-phase extraction (SPE) cartridge. Prior to loading, the cartridge was sequentially preconditioned with 5 mL of acetonitrile followed by 5 mL of 25% aqueous acetonitrile. After loading 2 mL of the extract, the cartridge was washed successively with 10 mL of 0.02 mol L⁻¹ NaOH solution and 10 mL of deionized water, and then dried under vacuum. Finally, the retained IMI was eluted slowly with 2 mL of acetonitrile. The eluate was collected, adjusted to a fixed volume, filtered through an organic microporous membrane, and subjected to HPLC analysis.</w:t>
      </w:r>
    </w:p>
    <w:p w14:paraId="51C01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459F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6BEFB274">
      <w:pP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Fig. S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 XPS characterization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of fluorescen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ce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signal probes.</w:t>
      </w:r>
    </w:p>
    <w:p w14:paraId="3DD9D566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0500" cy="2538730"/>
            <wp:effectExtent l="0" t="0" r="6350" b="4445"/>
            <wp:docPr id="1" name="图片 1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3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FA875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AA52D9F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DFC76B7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9B50A84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211AD62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6FDB1E4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07E3EFC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253E2FE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7BF3956">
      <w:pPr>
        <w:jc w:val="center"/>
        <w:rPr>
          <w:rFonts w:hint="eastAsia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AD3526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5E5193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619C6C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827EA0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F7100F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BF5E25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13D7BF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84D48C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667632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156F03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6BC0E5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41028A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6C857D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90E086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B905BD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6B23EB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F7D437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809043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72271C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CB8CCB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3C6E82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BDB9D33">
      <w:pPr>
        <w:spacing w:line="480" w:lineRule="auto"/>
        <w:jc w:val="both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 PS MT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default" w:ascii="Times New Roman" w:hAnsi="Times New Roman" w:eastAsia="Times New Roman PS MT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Parameters of liquid phase instruments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4"/>
        <w:gridCol w:w="5658"/>
      </w:tblGrid>
      <w:tr w14:paraId="7DC15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3BCB29DF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etecting condition</w:t>
            </w: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565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B249FE5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ondition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parameter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</w:tc>
      </w:tr>
      <w:tr w14:paraId="6948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CA8B525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Chromatography column</w:t>
            </w:r>
          </w:p>
        </w:tc>
        <w:tc>
          <w:tcPr>
            <w:tcW w:w="565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AC4CBBB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Waters symmetry C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:vertAlign w:val="subscript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(3.5 μm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50 mm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4.6 mm)</w:t>
            </w:r>
          </w:p>
        </w:tc>
      </w:tr>
      <w:tr w14:paraId="05281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80BD85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Mobile phase</w:t>
            </w: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7D3EEF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Gradient elution: 0.1% acetic acid aqueous solution as the mobile phase (85%), acetonitrile (15%)</w:t>
            </w:r>
          </w:p>
        </w:tc>
      </w:tr>
      <w:tr w14:paraId="77878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2A814A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Flow rate</w:t>
            </w: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667CD">
            <w:pPr>
              <w:spacing w:line="480" w:lineRule="auto"/>
              <w:jc w:val="center"/>
              <w:rPr>
                <w:rFonts w:hint="default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 mL min</w:t>
            </w:r>
            <w:r>
              <w:rPr>
                <w:rFonts w:hint="eastAsia" w:ascii="Times New Roman PS MT" w:hAnsi="Times New Roman PS MT" w:eastAsia="宋体" w:cs="Times New Roman PS MT"/>
                <w:b w:val="0"/>
                <w:bCs w:val="0"/>
                <w:color w:val="000000" w:themeColor="text1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</w:t>
            </w:r>
          </w:p>
        </w:tc>
      </w:tr>
      <w:tr w14:paraId="2507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DEDD8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Detection wavelength</w:t>
            </w: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574D41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270 nm</w:t>
            </w:r>
          </w:p>
        </w:tc>
      </w:tr>
      <w:tr w14:paraId="0F4A5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0956F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Injection volume</w:t>
            </w: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F0CC45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 μL</w:t>
            </w:r>
          </w:p>
        </w:tc>
      </w:tr>
      <w:tr w14:paraId="7ED84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58F009D">
            <w:pPr>
              <w:spacing w:line="480" w:lineRule="auto"/>
              <w:jc w:val="center"/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Column temperature</w:t>
            </w:r>
          </w:p>
        </w:tc>
        <w:tc>
          <w:tcPr>
            <w:tcW w:w="565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918503F">
            <w:pPr>
              <w:spacing w:line="480" w:lineRule="auto"/>
              <w:jc w:val="center"/>
              <w:rPr>
                <w:rFonts w:hint="default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PS MT" w:hAnsi="Times New Roman PS MT" w:eastAsia="宋体" w:cs="Times New Roman PS MT"/>
                <w:b w:val="0"/>
                <w:bCs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°C</w:t>
            </w:r>
          </w:p>
        </w:tc>
      </w:tr>
    </w:tbl>
    <w:p w14:paraId="65C40D7E">
      <w:pPr>
        <w:rPr>
          <w:rFonts w:hint="eastAsia" w:ascii="Times New Roman PS MT" w:hAnsi="Times New Roman PS MT" w:eastAsia="宋体" w:cs="Times New Roman PS MT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56A5BDD">
      <w:pPr>
        <w:rPr>
          <w:rFonts w:hint="eastAsia" w:ascii="Times New Roman PS MT" w:hAnsi="Times New Roman PS MT" w:eastAsia="宋体" w:cs="Times New Roman PS MT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F0AB61C">
      <w:pPr>
        <w:rPr>
          <w:rFonts w:hint="eastAsia" w:ascii="Times New Roman PS MT" w:hAnsi="Times New Roman PS MT" w:eastAsia="宋体" w:cs="Times New Roman PS MT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E86AC1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CE6A274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1E8497E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CC8368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BEAA2A5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0F367BD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C8B757A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D70EBF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F5F90D1">
      <w:pP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0FBAB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952E2B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B26E3F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19181E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533B29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2EDC7D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40B9D9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95E7D0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ADA5E1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B2DAABD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79E3E9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156A53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9D76C49">
      <w:pP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B595135">
      <w:pP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843BEE7">
      <w:pPr>
        <w:spacing w:line="480" w:lineRule="auto"/>
        <w:rPr>
          <w:rFonts w:hint="eastAsia" w:ascii="Times New Roman PS MT" w:hAnsi="Times New Roman PS MT" w:eastAsia="宋体" w:cs="Times New Roman PS MT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 PS MT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Antiserum data after the fourth immunization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B260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576E056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Number</w:t>
            </w:r>
          </w:p>
        </w:tc>
        <w:tc>
          <w:tcPr>
            <w:tcW w:w="213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49E4AD8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potency</w:t>
            </w:r>
          </w:p>
        </w:tc>
        <w:tc>
          <w:tcPr>
            <w:tcW w:w="213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62112A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OD</w:t>
            </w: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213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867E94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Inhibition rate</w:t>
            </w:r>
          </w:p>
        </w:tc>
      </w:tr>
      <w:tr w14:paraId="58825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D0DB06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009A3D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1:4000</w:t>
            </w:r>
          </w:p>
        </w:tc>
        <w:tc>
          <w:tcPr>
            <w:tcW w:w="21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1DA67A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1.01</w:t>
            </w:r>
          </w:p>
        </w:tc>
        <w:tc>
          <w:tcPr>
            <w:tcW w:w="21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7D9951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</w:tr>
      <w:tr w14:paraId="03CAD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6D230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948FC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1:8000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C5166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9429C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</w:tr>
      <w:tr w14:paraId="1E220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FF6B4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238C9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1:6000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BE7F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E976C9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24A1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1FB9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415FB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1:6000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06CC8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0.82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868F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</w:tr>
      <w:tr w14:paraId="43E76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009F6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32BF7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1:6000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BE57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D59A2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</w:tr>
      <w:tr w14:paraId="07A0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1DADC3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31BAC39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1:8000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B717F6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A25318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</w:tbl>
    <w:p w14:paraId="3A5FA150">
      <w:pPr>
        <w:spacing w:line="480" w:lineRule="auto"/>
        <w:rPr>
          <w:rFonts w:hint="eastAsia" w:ascii="Times New Roman PS MT" w:hAnsi="Times New Roman PS MT" w:eastAsia="宋体" w:cs="Times New Roman PS MT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96D4BB7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1F662BC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7FA3085A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C310719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02B6905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6518BDC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69BE246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097FF37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FB94BC5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CF80284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7EE4F1F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DFD31E3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9AAB53A">
      <w:pPr>
        <w:jc w:val="both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微软雅黑" w:cs="Times New Roman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 xml:space="preserve"> An overview on the reported assays for determination of 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IMI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 w14:paraId="7DBC3093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4"/>
        <w:gridCol w:w="4287"/>
        <w:gridCol w:w="2314"/>
        <w:gridCol w:w="1789"/>
      </w:tblGrid>
      <w:tr w14:paraId="67484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40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47F2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both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Assay</w:t>
            </w:r>
          </w:p>
        </w:tc>
        <w:tc>
          <w:tcPr>
            <w:tcW w:w="1512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D781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Materials</w:t>
            </w:r>
          </w:p>
        </w:tc>
        <w:tc>
          <w:tcPr>
            <w:tcW w:w="816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A6A2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LOD for IMI</w:t>
            </w:r>
          </w:p>
        </w:tc>
        <w:tc>
          <w:tcPr>
            <w:tcW w:w="631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0A08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</w:tr>
      <w:tr w14:paraId="21CC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40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0FA54A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Enzyme-linked immunosorbent assay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(ELISA)</w:t>
            </w:r>
          </w:p>
        </w:tc>
        <w:tc>
          <w:tcPr>
            <w:tcW w:w="151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330A7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Horseradish peroxidase (HRP)</w:t>
            </w:r>
          </w:p>
        </w:tc>
        <w:tc>
          <w:tcPr>
            <w:tcW w:w="81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432E8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0.024 ng/mL</w:t>
            </w:r>
          </w:p>
        </w:tc>
        <w:tc>
          <w:tcPr>
            <w:tcW w:w="631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</w:tcPr>
          <w:p w14:paraId="4FB59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[1]</w:t>
            </w:r>
          </w:p>
        </w:tc>
      </w:tr>
      <w:tr w14:paraId="25C0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D27A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ind w:left="0" w:firstLine="0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Enzyme-linked immunosorbent assay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(ELISA)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443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Horseradish peroxidase (HRP)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3C7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ng/mL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7D9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[2]</w:t>
            </w:r>
          </w:p>
        </w:tc>
      </w:tr>
      <w:tr w14:paraId="5B78C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51F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QBIC THz metamaterial sensing method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8D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THz metamaterial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C5F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0.072 mg/kg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FC6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[3]</w:t>
            </w:r>
          </w:p>
        </w:tc>
      </w:tr>
      <w:tr w14:paraId="3DFCA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D26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luorescence aptamer sensing method</w:t>
            </w: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DE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AuNPs </w:t>
            </w: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and graphene quantum dots</w:t>
            </w: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(GQD)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EC0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52.42 ng/mL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E61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[4]</w:t>
            </w:r>
          </w:p>
        </w:tc>
      </w:tr>
      <w:tr w14:paraId="3645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DC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Fluorescent molecularly imprinted hydrogel sensing strip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E9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N-doped carbon dots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246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0.065 μg/mL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B82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[5]</w:t>
            </w:r>
          </w:p>
        </w:tc>
      </w:tr>
      <w:tr w14:paraId="10B5C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F8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luorescence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smartphone-machine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earning integrated platform 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91A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Red-emitting fluorescence probe (Eu-IMDC)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9BC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 nM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F88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[6]</w:t>
            </w:r>
          </w:p>
        </w:tc>
      </w:tr>
      <w:tr w14:paraId="60FA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D5D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Surface enhanced Raman scattering (SERS) technology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38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Ag/AuNPs-TiO</w:t>
            </w: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-OCC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3F0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4.1×1</w:t>
            </w: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-6</w:t>
            </w: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μg/mL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36B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[7]</w:t>
            </w:r>
          </w:p>
        </w:tc>
      </w:tr>
      <w:tr w14:paraId="1C10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DBB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Enzyme-linked immunosorbent assay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(ELISA)</w:t>
            </w:r>
          </w:p>
        </w:tc>
        <w:tc>
          <w:tcPr>
            <w:tcW w:w="15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A3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Horseradish peroxidase (HRP)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DC0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 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µg</w:t>
            </w:r>
            <w:r>
              <w:rPr>
                <w:rFonts w:hint="eastAsia" w:ascii="Times New Roman PS MT" w:hAnsi="Times New Roman PS MT" w:eastAsia="宋体" w:cs="Times New Roman PS MT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9E8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This work</w:t>
            </w:r>
          </w:p>
        </w:tc>
      </w:tr>
      <w:tr w14:paraId="0ECEB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1C8AB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Homogeneous fluorescence immunoassay</w:t>
            </w:r>
          </w:p>
        </w:tc>
        <w:tc>
          <w:tcPr>
            <w:tcW w:w="151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0A525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Hydrogel beads assembling CdSe/ZnS QDs</w:t>
            </w:r>
          </w:p>
        </w:tc>
        <w:tc>
          <w:tcPr>
            <w:tcW w:w="81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0B361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eastAsia="等线" w:cs="Times New Roman"/>
                <w:b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5.62×10</w:t>
            </w:r>
            <w:r>
              <w:rPr>
                <w:rFonts w:hint="eastAsia" w:ascii="Times New Roman PS MT" w:hAnsi="Times New Roman PS MT" w:eastAsia="宋体" w:cs="Times New Roman PS MT"/>
                <w:b w:val="0"/>
                <w:bCs w:val="0"/>
                <w:color w:val="000000" w:themeColor="text1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-4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µg</w:t>
            </w:r>
            <w:r>
              <w:rPr>
                <w:rFonts w:hint="eastAsia" w:ascii="Times New Roman PS MT" w:hAnsi="Times New Roman PS MT" w:eastAsia="宋体" w:cs="Times New Roman PS MT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 PS MT" w:hAnsi="Times New Roman PS MT" w:eastAsia="Times New Roman PS MT" w:cs="Times New Roman PS MT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L</w:t>
            </w:r>
          </w:p>
        </w:tc>
        <w:tc>
          <w:tcPr>
            <w:tcW w:w="63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</w:tcPr>
          <w:p w14:paraId="42AA5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eastAsia" w:ascii="Times New Roman" w:hAnsi="Times New Roman" w:eastAsia="微软雅黑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466408">
      <w:pPr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79BB9B9">
      <w:pPr>
        <w:jc w:val="both"/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Reference</w:t>
      </w:r>
    </w:p>
    <w:p w14:paraId="0AD9479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G. Tan, Y. Zhao, M. Wang, X. Chen, B. Wang, Q.X. Li, Ultrasensitive quantitation of imidacloprid in vegetables by colloidal gold and time-resolved fluorescent nanobead traced lateral flow immunoassays, Food Chemistry 311 (2020) 126055. https://doi.org/10.1016/j.foodchem.2019.126055.</w:t>
      </w:r>
    </w:p>
    <w:p w14:paraId="3755B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Y. Wang, J.a. Qin, J. Zhang, Z. Jin, J. Luo, M. Yang, Rapid screening of imidacloprid residue in grains and medicinal herbs: A newly designed hapten and monoclonal antibody, Journal of Pharmaceutical and Biomedical Analysis 219 (2022) 114931. https://doi.org/10.1016/j.jpba.2022.114931.</w:t>
      </w:r>
    </w:p>
    <w:p w14:paraId="51B19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L. Ma, X. Yang, C. Wang, R. Zhou, Z. Yang, L. Sun, Z. Guo, J. Cai, X. Zou, Quasi-bound states in the continuum empowered terahertz metamaterial sensor for imidacloprid detection in fruits, Sensors and Actuators B: Chemical 455 (2026) 139633. https://doi.org/10.1016/j.snb.2026.139633.</w:t>
      </w:r>
    </w:p>
    <w:p w14:paraId="7DC2D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Y. Huang, X. Liu, T. Feng, X. Wang, Selective Label-Free Detection of Imidacloprid by a Graphene Quantum Dot Fluorescent Probe, International Journal of Molecular Sciences, 2025, p. 2714. https://doi.org/10.3390/ijms26062714.</w:t>
      </w:r>
    </w:p>
    <w:p w14:paraId="7E250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M. Pan, M. Gao, J. Cui, R. Gao, H. Li, J. Sun, W. Chen, S. Wang, Fluorescent molecularly imprinted hydrogel sensing strip based on nitrogen-doped carbon dots and inverse opal photonic crystals applying for effective detection for imidacloprid in fruits and vegetables, Food Chemistry 477 (2025) 143497. https://doi.org/10.1016/j.foodchem.2025.143497.</w:t>
      </w:r>
    </w:p>
    <w:p w14:paraId="124A2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Z. Cheng, X. Liu, R. Li, X. Liu, X. Zhang, X. Feng, L. Zhou, A fluorescence probe-smartphone-machine learning integrated platform for the visual and intelligent detection of imidacloprid in agricultural products, Food Chemistry 483 (2025) 144197. https://doi.org/10.1016/j.foodchem.2025.144197.</w:t>
      </w:r>
    </w:p>
    <w:p w14:paraId="134EE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X. Dong, X. Yan, Y. Yuan, Y. Xia, T. Yue, Regenerated SERS substrate based on Ag/AuNPs-TiO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vertAlign w:val="sub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-oxidized carbon cloth for detection of imidacloprid, Food Chemistry 451 (2024) 139515. https://doi.org/10.1016/j.foodchem.2024.139515.</w:t>
      </w:r>
      <w:bookmarkStart w:id="0" w:name="_GoBack"/>
      <w:bookmarkEnd w:id="0"/>
    </w:p>
    <w:p w14:paraId="7756B84F">
      <w:pPr>
        <w:jc w:val="both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EFCA84A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PS 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A538BB"/>
    <w:multiLevelType w:val="singleLevel"/>
    <w:tmpl w:val="AEA538B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4103E3"/>
    <w:rsid w:val="00A83AD0"/>
    <w:rsid w:val="094103E3"/>
    <w:rsid w:val="1DC33364"/>
    <w:rsid w:val="220362F0"/>
    <w:rsid w:val="2B4D4D38"/>
    <w:rsid w:val="2B9F561D"/>
    <w:rsid w:val="393D487A"/>
    <w:rsid w:val="3E133825"/>
    <w:rsid w:val="3E252203"/>
    <w:rsid w:val="4568626D"/>
    <w:rsid w:val="4645549A"/>
    <w:rsid w:val="4F135B85"/>
    <w:rsid w:val="532B567C"/>
    <w:rsid w:val="60BD55CD"/>
    <w:rsid w:val="61AB7D68"/>
    <w:rsid w:val="6DA80FA6"/>
    <w:rsid w:val="774C172E"/>
    <w:rsid w:val="7E97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1006</Words>
  <Characters>5891</Characters>
  <Lines>0</Lines>
  <Paragraphs>0</Paragraphs>
  <TotalTime>3</TotalTime>
  <ScaleCrop>false</ScaleCrop>
  <LinksUpToDate>false</LinksUpToDate>
  <CharactersWithSpaces>6781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2026-04-02T02:25:00Z</dcterms:created>
  <dc:creator>旧梦 .i</dc:creator>
  <cp:lastModifiedBy>@you</cp:lastModifiedBy>
  <dcterms:modified xsi:type="dcterms:W3CDTF">2026-10-08T09:07:11Z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5540384BB01D41E5932F7E092F952759_11</vt:lpwstr>
  </property>
  <property fmtid="{D5CDD505-2E9C-101B-9397-08002B2CF9AE}" pid="4" name="KSOTemplateDocerSaveRecord">
    <vt:lpwstr>eyJoZGlkIjoiMzEwNTM5NzYwMDRjMzkwZTVkZjY2ODkwMGIxNGU0OTUiLCJ1c2VySWQiOiI0NzM1MjQ0NjQifQ==</vt:lpwstr>
  </property>
</Properties>
</file>