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Supplement 1 Evidence account and source assessment</w:t>
      </w:r>
    </w:p>
    <w:p>
      <w:r>
        <w:t>Psychological treatment for clinically significant health anxiety across medical and psychological services: A systematic review with source-linked reanalysis</w:t>
      </w:r>
    </w:p>
    <w:p>
      <w:r>
        <w:t>Forty-three primary efficacy reports are organized into 41 named retained family units and one conservative two-report Shabahang overlap group, yielding 42 synthesis units. These units are not asserted to be 42 verified independent trials. The 45 reanalysed rows contain 27 named retained families plus the Shabahang 2021 report, with repeated time points and alternative estimands. Fourteen named retained units have no row in that numerical set; they remain in the narrative evidence account.</w:t>
      </w:r>
    </w:p>
    <w:p>
      <w:r>
        <w:t>Eligibility, report retrieval, numerical estimability and risk of bias were recorded separately. Result-specific RoB 2 appraisals, including the cluster extension where relevant, were linked to the exact comparison, outcome, time and analysis. Source organization, extraction checks, calculations and drafting were AI assisted within a single-author workflow; repeated AI passes are not independent human reviewers. Unavailable reports were not treated as evidence of ineligibility.</w:t>
      </w:r>
    </w:p>
    <w:p>
      <w:pPr>
        <w:pStyle w:val="Heading1"/>
      </w:pPr>
      <w:r>
        <w:t>Search scope, eligibility and dated clarifications</w:t>
      </w:r>
    </w:p>
    <w:p>
      <w:r>
        <w:t>The review used a dated protocol of 22 September 2026, prepared after earlier exploratory evidence was known; it was not prospectively registered. Adult-service populations required a clinical diagnosis of hypochondriasis/illness anxiety or an explicit elevated-health-anxiety entry threshold. Studies admitting 16- or 17-year-olds within adult services were retained with mixed-age qualification. Students, carers and medical comorbidity were not themselves exclusions.</w:t>
      </w:r>
    </w:p>
    <w:p>
      <w:r>
        <w:t>Efficacy eligibility required a completed concurrent randomized comparison of a structured psychological intervention intended to treat health anxiety. Trial families and comparator classes were kept separate. Uncontrolled improvement, quasi-randomization, missing effect-size numbers and an outcome labelled health anxiety did not establish randomized efficacy eligibility. Eligible but unestimable reports remained included. The contextual stream required primary service or qualitative evidence concerning access, engagement, care seeking or delivery in the target population.</w:t>
      </w:r>
    </w:p>
    <w:p>
      <w:r>
        <w:t>No publication-year, language, publication-status or open-access eligibility filter was applied. Unavailable full texts were retained as not retrieved/awaiting classification. The dated 22 September clarification permitted title-stage exclusion of clear mismatches and identifier-conservative deduplication without automatic title-only merging. The 23 September case-report clarification created a separate illustrative appendix; its contents are not an exhaustive census of all clinical case literature.</w:t>
      </w:r>
    </w:p>
    <w:p>
      <w:r>
        <w:t>The authoritative search set is the corrected PubMed/EuropePMC master, not the earlier invalid EuropePMC MESH-query attempt. CENTRAL was not completely exported, and no completed comprehensive PsycINFO, Embase or Web of Science search is claimed.</w:t>
      </w:r>
    </w:p>
    <w:p>
      <w:pPr>
        <w:pStyle w:val="Heading1"/>
      </w:pPr>
      <w:r>
        <w:t>Exact executed database searches</w:t>
      </w:r>
    </w:p>
    <w:p>
      <w:r>
        <w:t>Search publication-date ceiling: 22 September 2026. No lower publication-year, intervention, outcome, RCT or open-access search filter was used.</w:t>
      </w:r>
    </w:p>
    <w:p>
      <w:r>
        <w:t>PubMed submitted query: ("Hypochondriasis"[Mesh] OR hypochondri*[Title/Abstract] OR "health anxiety"[Title/Abstract] OR "health anxieties"[Title/Abstract] OR "illness anxiety"[Title/Abstract] OR "illness anxieties"[Title/Abstract] OR "illness phobia"[Title/Abstract] OR "disease phobia"[Title/Abstract] OR nosophobi*[Title/Abstract] OR cyberchondri*[Title/Abstract]) AND ("1000/01/01"[Date - Publication] : "2026/09/22"[Date - Publication])</w:t>
      </w:r>
    </w:p>
    <w:p>
      <w:r>
        <w:t>PubMed actual translation: ("Hypochondriasis"[MeSH Terms] OR "hypochondri*"[Title/Abstract] OR "health anxiety"[Title/Abstract] OR "health anxieties"[Title/Abstract] OR "illness anxiety"[Title/Abstract] OR "illness phobia"[Title/Abstract] OR "disease phobia"[Title/Abstract] OR "nosophobi*"[Title/Abstract] OR "cyberchondri*"[Title/Abstract]) AND 1000/01/01:2026/09/22[Date - Publication]</w:t>
      </w:r>
    </w:p>
    <w:p>
      <w:r>
        <w:t>PubMed warned that the quoted plural phrase "illness anxieties"[Title/Abstract] was not found; the translated executed query is preserved rather than implying that this phrase contributed results.</w:t>
      </w:r>
    </w:p>
    <w:p>
      <w:r>
        <w:t>EuropePMC corrected query: (TITLE_ABS:hypochondri* OR TITLE_ABS:"health anxiety" OR TITLE_ABS:"health anxieties" OR TITLE_ABS:"illness anxiety" OR TITLE_ABS:"illness anxieties" OR TITLE_ABS:"illness phobia" OR TITLE_ABS:"disease phobia" OR TITLE_ABS:nosophobi* OR TITLE_ABS:cyberchondri*) AND FIRST_PDATE:[* TO 2026-09-22]</w:t>
      </w:r>
    </w:p>
    <w:p>
      <w:r>
        <w:t>All 8,152 archived PubMed search IDs were recovered: 8,146 journal-article records plus six PubmedBookArticle records initially omitted by the first parser. The six book records were recovered from existing archived responses and were not six unavailable records. The corrected EuropePMC retrieval comprised 7,673 records across eight successful pages.</w:t>
      </w:r>
    </w:p>
    <w:tbl>
      <w:tblPr>
        <w:tblW w:type="auto" w:w="0"/>
        <w:jc w:val="center"/>
        <w:tblLayout w:type="fixed"/>
        <w:tblLook w:firstColumn="1" w:firstRow="1" w:lastColumn="0" w:lastRow="0" w:noHBand="0" w:noVBand="1" w:val="04A0"/>
      </w:tblPr>
      <w:tblGrid>
        <w:gridCol w:w="4514"/>
        <w:gridCol w:w="4514"/>
      </w:tblGrid>
      <w:tr>
        <w:trPr>
          <w:tblHeader/>
          <w:cantSplit/>
        </w:trPr>
        <w:tc>
          <w:tcPr>
            <w:tcW w:type="dxa" w:w="451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shd w:fill="E7E6E6"/>
          </w:tcPr>
          <w:p>
            <w:pPr>
              <w:keepNext/>
              <w:spacing w:line="240" w:lineRule="auto" w:after="60"/>
            </w:pPr>
            <w:r>
              <w:rPr>
                <w:b/>
                <w:sz w:val="18"/>
              </w:rPr>
              <w:t>Source accounting</w:t>
            </w:r>
          </w:p>
        </w:tc>
        <w:tc>
          <w:tcPr>
            <w:tcW w:type="dxa" w:w="451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shd w:fill="E7E6E6"/>
          </w:tcPr>
          <w:p>
            <w:pPr>
              <w:keepNext/>
              <w:spacing w:line="240" w:lineRule="auto" w:after="60"/>
            </w:pPr>
            <w:r>
              <w:rPr>
                <w:b/>
                <w:sz w:val="18"/>
              </w:rPr>
              <w:t>Occurrences or records</w:t>
            </w:r>
          </w:p>
        </w:tc>
      </w:tr>
      <w:tr>
        <w:trPr>
          <w:cantSplit/>
        </w:trPr>
        <w:tc>
          <w:tcPr>
            <w:tcW w:type="dxa" w:w="451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PubMed records recovered</w:t>
            </w:r>
          </w:p>
        </w:tc>
        <w:tc>
          <w:tcPr>
            <w:tcW w:type="dxa" w:w="451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8,152</w:t>
            </w:r>
          </w:p>
        </w:tc>
      </w:tr>
      <w:tr>
        <w:trPr>
          <w:cantSplit/>
        </w:trPr>
        <w:tc>
          <w:tcPr>
            <w:tcW w:type="dxa" w:w="451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EuropePMC corrected records recovered</w:t>
            </w:r>
          </w:p>
        </w:tc>
        <w:tc>
          <w:tcPr>
            <w:tcW w:type="dxa" w:w="451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7,673</w:t>
            </w:r>
          </w:p>
        </w:tc>
      </w:tr>
      <w:tr>
        <w:trPr>
          <w:cantSplit/>
        </w:trPr>
        <w:tc>
          <w:tcPr>
            <w:tcW w:type="dxa" w:w="451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Total source occurrences</w:t>
            </w:r>
          </w:p>
        </w:tc>
        <w:tc>
          <w:tcPr>
            <w:tcW w:type="dxa" w:w="451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15,825</w:t>
            </w:r>
          </w:p>
        </w:tc>
      </w:tr>
      <w:tr>
        <w:trPr>
          <w:cantSplit/>
        </w:trPr>
        <w:tc>
          <w:tcPr>
            <w:tcW w:type="dxa" w:w="451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Duplicate occurrences collapsed</w:t>
            </w:r>
          </w:p>
        </w:tc>
        <w:tc>
          <w:tcPr>
            <w:tcW w:type="dxa" w:w="451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7,026</w:t>
            </w:r>
          </w:p>
        </w:tc>
      </w:tr>
      <w:tr>
        <w:trPr>
          <w:cantSplit/>
        </w:trPr>
        <w:tc>
          <w:tcPr>
            <w:tcW w:type="dxa" w:w="451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Unique identifier-deduplicated records</w:t>
            </w:r>
          </w:p>
        </w:tc>
        <w:tc>
          <w:tcPr>
            <w:tcW w:type="dxa" w:w="451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8,799</w:t>
            </w:r>
          </w:p>
        </w:tc>
      </w:tr>
      <w:tr>
        <w:trPr>
          <w:cantSplit/>
        </w:trPr>
        <w:tc>
          <w:tcPr>
            <w:tcW w:type="dxa" w:w="451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Master records with both PubMed and EuropePMC membership</w:t>
            </w:r>
          </w:p>
        </w:tc>
        <w:tc>
          <w:tcPr>
            <w:tcW w:type="dxa" w:w="451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7,022</w:t>
            </w:r>
          </w:p>
        </w:tc>
      </w:tr>
      <w:tr>
        <w:trPr>
          <w:cantSplit/>
        </w:trPr>
        <w:tc>
          <w:tcPr>
            <w:tcW w:type="dxa" w:w="451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PubMed-only master records</w:t>
            </w:r>
          </w:p>
        </w:tc>
        <w:tc>
          <w:tcPr>
            <w:tcW w:type="dxa" w:w="451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1,130</w:t>
            </w:r>
          </w:p>
        </w:tc>
      </w:tr>
      <w:tr>
        <w:trPr>
          <w:cantSplit/>
        </w:trPr>
        <w:tc>
          <w:tcPr>
            <w:tcW w:type="dxa" w:w="451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EuropePMC-only master records</w:t>
            </w:r>
          </w:p>
        </w:tc>
        <w:tc>
          <w:tcPr>
            <w:tcW w:type="dxa" w:w="451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647</w:t>
            </w:r>
          </w:p>
        </w:tc>
      </w:tr>
    </w:tbl>
    <w:p>
      <w:pPr>
        <w:pStyle w:val="Heading1"/>
      </w:pPr>
      <w:r>
        <w:t>Supplementary registry and citation-search routes</w:t>
      </w:r>
    </w:p>
    <w:p>
      <w:r>
        <w:t>ClinicalTrials.gov condition-field and all-field searches each used: "health anxiety" OR hypochondriasis OR "illness anxiety". An additional all-field search used: hypochondria OR hypochondriacal OR nosophobia OR "illness phobia". ISRCTN searches used "health anxiety", hypochondriasis, "illness anxiety", and the same additional synonym expression. Registry searches imposed no recruitment-status or intervention filter.</w:t>
      </w:r>
    </w:p>
    <w:p>
      <w:r>
        <w:t>Forward tracing used public OpenAlex citation queries with publication-date ceiling 22 September 2026 for three selected seeds: Newby 2018 (10.1037/ccp0000248), Axelsson 2020 (10.1001/jamapsychiatry.2020.0940) and Hoffmann 2021 (10.1017/S0033291720001312). Returned pagination was completed for these successful seed queries; this was a limited three-seed pass, not exhaustive forward tracing of every included report.</w:t>
      </w:r>
    </w:p>
    <w:p>
      <w:r>
        <w:t>Backward sources comprised the inspected included-reference lists/supplements of Lai 2026 (10.1192/bjp.2026.10647), Cooper 2017 (10.1017/S1352465816000527) and Axelsson 2019 (10.1080/14737167.2019.1703182). The requested Shi 2024 supplement (10.1002/cpp.3064) remained inaccessible; complete screening of that list is not claimed.</w:t>
      </w:r>
    </w:p>
    <w:p>
      <w:r>
        <w:t>Registry entries, citation-index records and primary reports are different source units. Exact DOI/PMID and explicit trial-family links were used to avoid adding repeated appearances as new studies.</w:t>
      </w:r>
    </w:p>
    <w:tbl>
      <w:tblPr>
        <w:tblW w:type="auto" w:w="0"/>
        <w:jc w:val="center"/>
        <w:tblLayout w:type="fixed"/>
        <w:tblLook w:firstColumn="1" w:firstRow="1" w:lastColumn="0" w:lastRow="0" w:noHBand="0" w:noVBand="1" w:val="04A0"/>
      </w:tblPr>
      <w:tblGrid>
        <w:gridCol w:w="4514"/>
        <w:gridCol w:w="4514"/>
      </w:tblGrid>
      <w:tr>
        <w:trPr>
          <w:tblHeader/>
          <w:cantSplit/>
        </w:trPr>
        <w:tc>
          <w:tcPr>
            <w:tcW w:type="dxa" w:w="451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shd w:fill="E7E6E6"/>
          </w:tcPr>
          <w:p>
            <w:pPr>
              <w:keepNext/>
              <w:spacing w:line="240" w:lineRule="auto" w:after="60"/>
            </w:pPr>
            <w:r>
              <w:rPr>
                <w:b/>
                <w:sz w:val="18"/>
              </w:rPr>
              <w:t>Supplementary route</w:t>
            </w:r>
          </w:p>
        </w:tc>
        <w:tc>
          <w:tcPr>
            <w:tcW w:type="dxa" w:w="451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shd w:fill="E7E6E6"/>
          </w:tcPr>
          <w:p>
            <w:pPr>
              <w:keepNext/>
              <w:spacing w:line="240" w:lineRule="auto" w:after="60"/>
            </w:pPr>
            <w:r>
              <w:rPr>
                <w:b/>
                <w:sz w:val="18"/>
              </w:rPr>
              <w:t>Recorded count and disposition</w:t>
            </w:r>
          </w:p>
        </w:tc>
      </w:tr>
      <w:tr>
        <w:trPr>
          <w:cantSplit/>
        </w:trPr>
        <w:tc>
          <w:tcPr>
            <w:tcW w:type="dxa" w:w="451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Registry search</w:t>
            </w:r>
          </w:p>
        </w:tc>
        <w:tc>
          <w:tcPr>
            <w:tcW w:type="dxa" w:w="451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516 query memberships; 380 unique IDs; 341 first-pass exclusions; 39 retained for follow-up</w:t>
            </w:r>
          </w:p>
        </w:tc>
      </w:tr>
      <w:tr>
        <w:trPr>
          <w:cantSplit/>
        </w:trPr>
        <w:tc>
          <w:tcPr>
            <w:tcW w:type="dxa" w:w="451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Forward citation search</w:t>
            </w:r>
          </w:p>
        </w:tc>
        <w:tc>
          <w:tcPr>
            <w:tcW w:type="dxa" w:w="451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274 occurrences; 242 unique index records; 59 exact database matches; 183 unmatched records</w:t>
            </w:r>
          </w:p>
        </w:tc>
      </w:tr>
      <w:tr>
        <w:trPr>
          <w:cantSplit/>
        </w:trPr>
        <w:tc>
          <w:tcPr>
            <w:tcW w:type="dxa" w:w="451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Forward retained leads</w:t>
            </w:r>
          </w:p>
        </w:tc>
        <w:tc>
          <w:tcPr>
            <w:tcW w:type="dxa" w:w="451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11 separately adjudicated; remaining 172 yielded 112 exclusions, 57 awaiting-classification leads and 3 protocol/population-link leads</w:t>
            </w:r>
          </w:p>
        </w:tc>
      </w:tr>
      <w:tr>
        <w:trPr>
          <w:cantSplit/>
        </w:trPr>
        <w:tc>
          <w:tcPr>
            <w:tcW w:type="dxa" w:w="451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Forward unresolved source overlap</w:t>
            </w:r>
          </w:p>
        </w:tc>
        <w:tc>
          <w:tcPr>
            <w:tcW w:type="dxa" w:w="451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The 60 remaining leads have no exact DOI/PMID match to the 8,799-record master; they remain separate from the 351 database records</w:t>
            </w:r>
          </w:p>
        </w:tc>
      </w:tr>
      <w:tr>
        <w:trPr>
          <w:cantSplit/>
        </w:trPr>
        <w:tc>
          <w:tcPr>
            <w:tcW w:type="dxa" w:w="451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Backward reference leads</w:t>
            </w:r>
          </w:p>
        </w:tc>
        <w:tc>
          <w:tcPr>
            <w:tcW w:type="dxa" w:w="451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38 report leads; 31 database matches and 7 additional report leads</w:t>
            </w:r>
          </w:p>
        </w:tc>
      </w:tr>
      <w:tr>
        <w:trPr>
          <w:cantSplit/>
        </w:trPr>
        <w:tc>
          <w:tcPr>
            <w:tcW w:type="dxa" w:w="451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Registry unresolved/ongoing/planned</w:t>
            </w:r>
          </w:p>
        </w:tc>
        <w:tc>
          <w:tcPr>
            <w:tcW w:type="dxa" w:w="451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9 retained registry entries have unresolved, ongoing/planned or completed-without-results statuses; these are not 9 additional included studies</w:t>
            </w:r>
          </w:p>
        </w:tc>
      </w:tr>
    </w:tbl>
    <w:p>
      <w:pPr>
        <w:pStyle w:val="Heading1"/>
      </w:pPr>
      <w:r>
        <w:t>Record screening, reading extent and retrieval cutoff</w:t>
      </w:r>
    </w:p>
    <w:p>
      <w:r>
        <w:t>The first pass documented reading all 8,799 titles and 803 available abstracts or source excerpts. It comprised AI-assisted source reading, not duplicate independent human screening. Among the 6,571 inherited first-pass exclusions, 6,181 were title-only and 390 involved abstract/excerpt reading. Six of those abstracts were source-truncated excerpts. These are screening-stage decisions, not 6,571 full-text exclusions.</w:t>
      </w:r>
    </w:p>
    <w:p>
      <w:r>
        <w:t>The table is the mutually exclusive current database-record partition at the 1 October 2026 retrieval cutoff. Later exclusions include title/abstract and original-report assessment; 1,698 must not be presented as a homogeneous full-text-excluded box. Record-level reasons and reading extent accompany the public ledger.</w:t>
      </w:r>
    </w:p>
    <w:p>
      <w:r>
        <w:t>Of 351 records whose eligibility remained unresolved, 349 reports were not retrieved through the documented available routes; two retrieved reports remained unclassifiable. Jones 2002 (HAV05023) retained uncertainty about the clinical entry definition and unreported arm-specific numbers. Bumstead 1879 (HAV08134) retained uncertainty about whether the historical presentation was clinical health anxiety or a different fixed illness belief. Neither report was classified as an efficacy study or an ineligible report merely to close the flow.</w:t>
      </w:r>
    </w:p>
    <w:p>
      <w:r>
        <w:t>Retrieval effort varied by source and is documented individually. A registry may establish trial characteristics even when its journal report remains unavailable. For example, the registered broad-SLE population linked to Pasyar 2023 did not establish clinical-health-anxiety entry, while the unavailable article remained explicitly not retrieved; unseen subgroup findings were not invented. Closing retrieval on a stated date does not mean every potentially eligible report was obtained.</w:t>
      </w:r>
    </w:p>
    <w:tbl>
      <w:tblPr>
        <w:tblW w:type="auto" w:w="0"/>
        <w:jc w:val="center"/>
        <w:tblLayout w:type="fixed"/>
        <w:tblLook w:firstColumn="1" w:firstRow="1" w:lastColumn="0" w:lastRow="0" w:noHBand="0" w:noVBand="1" w:val="04A0"/>
      </w:tblPr>
      <w:tblGrid>
        <w:gridCol w:w="4514"/>
        <w:gridCol w:w="4514"/>
      </w:tblGrid>
      <w:tr>
        <w:trPr>
          <w:tblHeader/>
          <w:cantSplit/>
        </w:trPr>
        <w:tc>
          <w:tcPr>
            <w:tcW w:type="dxa" w:w="451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shd w:fill="E7E6E6"/>
          </w:tcPr>
          <w:p>
            <w:pPr>
              <w:keepNext/>
              <w:spacing w:line="240" w:lineRule="auto" w:after="60"/>
            </w:pPr>
            <w:r>
              <w:rPr>
                <w:b/>
                <w:sz w:val="18"/>
              </w:rPr>
              <w:t>Current database disposition</w:t>
            </w:r>
          </w:p>
        </w:tc>
        <w:tc>
          <w:tcPr>
            <w:tcW w:type="dxa" w:w="451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shd w:fill="E7E6E6"/>
          </w:tcPr>
          <w:p>
            <w:pPr>
              <w:keepNext/>
              <w:spacing w:line="240" w:lineRule="auto" w:after="60"/>
            </w:pPr>
            <w:r>
              <w:rPr>
                <w:b/>
                <w:sz w:val="18"/>
              </w:rPr>
              <w:t>Records</w:t>
            </w:r>
          </w:p>
        </w:tc>
      </w:tr>
      <w:tr>
        <w:trPr>
          <w:cantSplit/>
        </w:trPr>
        <w:tc>
          <w:tcPr>
            <w:tcW w:type="dxa" w:w="451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Inherited AI first-pass title/selected-abstract exclusions</w:t>
            </w:r>
          </w:p>
        </w:tc>
        <w:tc>
          <w:tcPr>
            <w:tcW w:type="dxa" w:w="451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6,571</w:t>
            </w:r>
          </w:p>
        </w:tc>
      </w:tr>
      <w:tr>
        <w:trPr>
          <w:cantSplit/>
        </w:trPr>
        <w:tc>
          <w:tcPr>
            <w:tcW w:type="dxa" w:w="451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Additional source-based exclusions at varying reading stages</w:t>
            </w:r>
          </w:p>
        </w:tc>
        <w:tc>
          <w:tcPr>
            <w:tcW w:type="dxa" w:w="451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1,698</w:t>
            </w:r>
          </w:p>
        </w:tc>
      </w:tr>
      <w:tr>
        <w:trPr>
          <w:cantSplit/>
        </w:trPr>
        <w:tc>
          <w:tcPr>
            <w:tcW w:type="dxa" w:w="451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Primary efficacy reports</w:t>
            </w:r>
          </w:p>
        </w:tc>
        <w:tc>
          <w:tcPr>
            <w:tcW w:type="dxa" w:w="451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36</w:t>
            </w:r>
          </w:p>
        </w:tc>
      </w:tr>
      <w:tr>
        <w:trPr>
          <w:cantSplit/>
        </w:trPr>
        <w:tc>
          <w:tcPr>
            <w:tcW w:type="dxa" w:w="451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Contextual reports, including illustrative appendix reports</w:t>
            </w:r>
          </w:p>
        </w:tc>
        <w:tc>
          <w:tcPr>
            <w:tcW w:type="dxa" w:w="451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75</w:t>
            </w:r>
          </w:p>
        </w:tc>
      </w:tr>
      <w:tr>
        <w:trPr>
          <w:cantSplit/>
        </w:trPr>
        <w:tc>
          <w:tcPr>
            <w:tcW w:type="dxa" w:w="451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Linked supporting reports</w:t>
            </w:r>
          </w:p>
        </w:tc>
        <w:tc>
          <w:tcPr>
            <w:tcW w:type="dxa" w:w="451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65</w:t>
            </w:r>
          </w:p>
        </w:tc>
      </w:tr>
      <w:tr>
        <w:trPr>
          <w:cantSplit/>
        </w:trPr>
        <w:tc>
          <w:tcPr>
            <w:tcW w:type="dxa" w:w="451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Protocols without completed results</w:t>
            </w:r>
          </w:p>
        </w:tc>
        <w:tc>
          <w:tcPr>
            <w:tcW w:type="dxa" w:w="451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3</w:t>
            </w:r>
          </w:p>
        </w:tc>
      </w:tr>
      <w:tr>
        <w:trPr>
          <w:cantSplit/>
        </w:trPr>
        <w:tc>
          <w:tcPr>
            <w:tcW w:type="dxa" w:w="451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Not retrieved; eligibility unresolved</w:t>
            </w:r>
          </w:p>
        </w:tc>
        <w:tc>
          <w:tcPr>
            <w:tcW w:type="dxa" w:w="451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349</w:t>
            </w:r>
          </w:p>
        </w:tc>
      </w:tr>
      <w:tr>
        <w:trPr>
          <w:cantSplit/>
        </w:trPr>
        <w:tc>
          <w:tcPr>
            <w:tcW w:type="dxa" w:w="451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Retrieved; eligibility unresolved</w:t>
            </w:r>
          </w:p>
        </w:tc>
        <w:tc>
          <w:tcPr>
            <w:tcW w:type="dxa" w:w="451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2</w:t>
            </w:r>
          </w:p>
        </w:tc>
      </w:tr>
      <w:tr>
        <w:trPr>
          <w:cantSplit/>
        </w:trPr>
        <w:tc>
          <w:tcPr>
            <w:tcW w:type="dxa" w:w="451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Total unique database records</w:t>
            </w:r>
          </w:p>
        </w:tc>
        <w:tc>
          <w:tcPr>
            <w:tcW w:type="dxa" w:w="451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8,799</w:t>
            </w:r>
          </w:p>
        </w:tc>
      </w:tr>
    </w:tbl>
    <w:p>
      <w:pPr>
        <w:pStyle w:val="Heading1"/>
      </w:pPr>
      <w:r>
        <w:t>Exclusion evidence and decisions not based on availability</w:t>
      </w:r>
    </w:p>
    <w:p>
      <w:r>
        <w:t>Primary exclusion reasons were retained at record level. Their scope includes explicitly non-target populations or constructs; absence of a qualifying clinical-health-anxiety entry population; non-target intervention or service question; mechanistic or non-treatment experiments; secondary reviews and generic commentary without eligible primary evidence; and pediatric-only or inseparable non-adult populations where applicable. A title, year, absent abstract, unavailable report or lack of usable statistics alone was not treated as sufficient for a new full-text exclusion.</w:t>
      </w:r>
    </w:p>
    <w:p>
      <w:r>
        <w:t>Historical correspondence was distinguished from original patient evidence. Generic practice commentary without an identifiable primary clinical case was not promoted to the illustrative appendix. Conversely, clinical cases with access or care-seeking observations were retained separately when supported, with diagnostic and age uncertainty stated. Decisions based only on indexed metadata or abstracts remain labelled at that evidence level.</w:t>
      </w:r>
    </w:p>
    <w:p>
      <w:r>
        <w:t>Eligible but unestimable randomized reports, including Fava 2000 and the source-qualified Buwalda 2007 comparison, remain in the efficacy report map. Kerstner 2015 was already represented before its newly supplied full text resolved extraction questions; acquisition and a new estimable comparison did not create another trial.</w:t>
      </w:r>
    </w:p>
    <w:p>
      <w:pPr>
        <w:pStyle w:val="Heading1"/>
      </w:pPr>
      <w:r>
        <w:t>Included report counts, family linkage and contextual separation</w:t>
      </w:r>
    </w:p>
    <w:p>
      <w:r>
        <w:t>The 36 database primary efficacy reports plus seven supplementary primary reports yield 43 primary efficacy reports mapped to 42 conservative family units. The older 39-unit roster had not yet incorporated the current database inclusions HAV01987 (Shabahang 2021), HAV04530 (Buwalda 2007, 10.1016/j.brat.2006.08.004) and HAV08153 (Liao 2026, 10.21203/rs.3.rs-9566804/v1). Buwalda 2007 is not the separate 2008 N35 report.</w:t>
      </w:r>
    </w:p>
    <w:p>
      <w:r>
        <w:t>Shabahang 2020 and 2021 are two eligible primary reports but their participant independence is unresolved; they form one conservative unit and must not simultaneously contribute as independent samples to a pooled comparison. Forty-two units is therefore not a claim of 42 confirmed independent randomized studies. Weck 2013 was explicitly linked to Weck 2015/NCT01119469 as an early supporting mechanistic report, outside the 43 primary efficacy reports.</w:t>
      </w:r>
    </w:p>
    <w:p>
      <w:r>
        <w:t>The contextual roster contains 75 database reports and two supplementary reports. Of these 77 reports, 66 comprise the main clinical service, qualitative or treatment-delivery context stream; 11 are separate illustrative case/case-series reports. Clinical cohorts with defined service denominators are distinguished from selected historical narratives. Reports with mixed or uncertain clinical subgroups retain their qualification. No context report is entered as a randomized efficacy estimate or a pooled causal service effect.</w:t>
      </w:r>
    </w:p>
    <w:p>
      <w:r>
        <w:t>Context reports are not equivalent to independent cohorts: known links include the UNSW care-seeking cohort, the Australian population survey and CHAMP service reports, among others. The current source index identifies nine main-context design-specific AI appraisals and three illustrative-case appraisals. Reading a report or including it on an abstract does not imply completed full-text appraisal. No exhaustive CERQual assessment of all 66 main-context reports is claimed.</w:t>
      </w:r>
    </w:p>
    <w:p>
      <w:r>
        <w:t>Analytical effect rows, multiple arms, sensitivity analyses and alternate family labels are not review study counts. The current Stata file containing 45 rows and 28 labels must not be described as 45 independent studies.</w:t>
      </w:r>
    </w:p>
    <w:tbl>
      <w:tblPr>
        <w:tblW w:type="auto" w:w="0"/>
        <w:jc w:val="center"/>
        <w:tblLayout w:type="fixed"/>
        <w:tblLook w:firstColumn="1" w:firstRow="1" w:lastColumn="0" w:lastRow="0" w:noHBand="0" w:noVBand="1" w:val="04A0"/>
      </w:tblPr>
      <w:tblGrid>
        <w:gridCol w:w="4514"/>
        <w:gridCol w:w="4514"/>
      </w:tblGrid>
      <w:tr>
        <w:trPr>
          <w:tblHeader/>
          <w:cantSplit/>
        </w:trPr>
        <w:tc>
          <w:tcPr>
            <w:tcW w:type="dxa" w:w="451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shd w:fill="E7E6E6"/>
          </w:tcPr>
          <w:p>
            <w:pPr>
              <w:keepNext/>
              <w:spacing w:line="240" w:lineRule="auto" w:after="60"/>
            </w:pPr>
            <w:r>
              <w:rPr>
                <w:b/>
                <w:sz w:val="18"/>
              </w:rPr>
              <w:t>Evidence unit</w:t>
            </w:r>
          </w:p>
        </w:tc>
        <w:tc>
          <w:tcPr>
            <w:tcW w:type="dxa" w:w="451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shd w:fill="E7E6E6"/>
          </w:tcPr>
          <w:p>
            <w:pPr>
              <w:keepNext/>
              <w:spacing w:line="240" w:lineRule="auto" w:after="60"/>
            </w:pPr>
            <w:r>
              <w:rPr>
                <w:b/>
                <w:sz w:val="18"/>
              </w:rPr>
              <w:t>Count</w:t>
            </w:r>
          </w:p>
        </w:tc>
      </w:tr>
      <w:tr>
        <w:trPr>
          <w:cantSplit/>
        </w:trPr>
        <w:tc>
          <w:tcPr>
            <w:tcW w:type="dxa" w:w="451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Primary efficacy reports: database + supplementary</w:t>
            </w:r>
          </w:p>
        </w:tc>
        <w:tc>
          <w:tcPr>
            <w:tcW w:type="dxa" w:w="451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36 +7 =43</w:t>
            </w:r>
          </w:p>
        </w:tc>
      </w:tr>
      <w:tr>
        <w:trPr>
          <w:cantSplit/>
        </w:trPr>
        <w:tc>
          <w:tcPr>
            <w:tcW w:type="dxa" w:w="451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Conservative efficacy family units</w:t>
            </w:r>
          </w:p>
        </w:tc>
        <w:tc>
          <w:tcPr>
            <w:tcW w:type="dxa" w:w="451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42; independence of one two-report pair unresolved</w:t>
            </w:r>
          </w:p>
        </w:tc>
      </w:tr>
      <w:tr>
        <w:trPr>
          <w:cantSplit/>
        </w:trPr>
        <w:tc>
          <w:tcPr>
            <w:tcW w:type="dxa" w:w="451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Database linked supporting reports</w:t>
            </w:r>
          </w:p>
        </w:tc>
        <w:tc>
          <w:tcPr>
            <w:tcW w:type="dxa" w:w="451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65</w:t>
            </w:r>
          </w:p>
        </w:tc>
      </w:tr>
      <w:tr>
        <w:trPr>
          <w:cantSplit/>
        </w:trPr>
        <w:tc>
          <w:tcPr>
            <w:tcW w:type="dxa" w:w="451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Additional linked Weck 2013 supporting report</w:t>
            </w:r>
          </w:p>
        </w:tc>
        <w:tc>
          <w:tcPr>
            <w:tcW w:type="dxa" w:w="451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1; no new trial</w:t>
            </w:r>
          </w:p>
        </w:tc>
      </w:tr>
      <w:tr>
        <w:trPr>
          <w:cantSplit/>
        </w:trPr>
        <w:tc>
          <w:tcPr>
            <w:tcW w:type="dxa" w:w="451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Main clinical context reports</w:t>
            </w:r>
          </w:p>
        </w:tc>
        <w:tc>
          <w:tcPr>
            <w:tcW w:type="dxa" w:w="451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66</w:t>
            </w:r>
          </w:p>
        </w:tc>
      </w:tr>
      <w:tr>
        <w:trPr>
          <w:cantSplit/>
        </w:trPr>
        <w:tc>
          <w:tcPr>
            <w:tcW w:type="dxa" w:w="451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Separate illustrative case/case-series reports</w:t>
            </w:r>
          </w:p>
        </w:tc>
        <w:tc>
          <w:tcPr>
            <w:tcW w:type="dxa" w:w="451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11</w:t>
            </w:r>
          </w:p>
        </w:tc>
      </w:tr>
      <w:tr>
        <w:trPr>
          <w:cantSplit/>
        </w:trPr>
        <w:tc>
          <w:tcPr>
            <w:tcW w:type="dxa" w:w="451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Total context reports</w:t>
            </w:r>
          </w:p>
        </w:tc>
        <w:tc>
          <w:tcPr>
            <w:tcW w:type="dxa" w:w="451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77; not 77 independent cohorts</w:t>
            </w:r>
          </w:p>
        </w:tc>
      </w:tr>
      <w:tr>
        <w:trPr>
          <w:cantSplit/>
        </w:trPr>
        <w:tc>
          <w:tcPr>
            <w:tcW w:type="dxa" w:w="451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Main context AI appraisals identified</w:t>
            </w:r>
          </w:p>
        </w:tc>
        <w:tc>
          <w:tcPr>
            <w:tcW w:type="dxa" w:w="451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9</w:t>
            </w:r>
          </w:p>
        </w:tc>
      </w:tr>
      <w:tr>
        <w:trPr>
          <w:cantSplit/>
        </w:trPr>
        <w:tc>
          <w:tcPr>
            <w:tcW w:type="dxa" w:w="451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Illustrative case AI appraisals identified</w:t>
            </w:r>
          </w:p>
        </w:tc>
        <w:tc>
          <w:tcPr>
            <w:tcW w:type="dxa" w:w="451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3</w:t>
            </w:r>
          </w:p>
        </w:tc>
      </w:tr>
    </w:tbl>
    <w:p>
      <w:r>
        <w:br w:type="page"/>
      </w:r>
    </w:p>
    <w:p>
      <w:pPr>
        <w:keepNext/>
        <w:spacing w:line="240" w:lineRule="auto" w:before="0" w:after="80"/>
        <w:jc w:val="center"/>
      </w:pPr>
      <w:r>
        <w:drawing>
          <wp:inline xmlns:a="http://schemas.openxmlformats.org/drawingml/2006/main" xmlns:pic="http://schemas.openxmlformats.org/drawingml/2006/picture">
            <wp:extent cx="5669280" cy="7440930"/>
            <wp:docPr id="1" name="Picture 1" descr="Adapted database record flow and source-linked report counts, with unresolved retrieval and overlapping supplementary sources shown separately."/>
            <wp:cNvGraphicFramePr>
              <a:graphicFrameLocks noChangeAspect="1"/>
            </wp:cNvGraphicFramePr>
            <a:graphic>
              <a:graphicData uri="http://schemas.openxmlformats.org/drawingml/2006/picture">
                <pic:pic>
                  <pic:nvPicPr>
                    <pic:cNvPr id="0" name="FigureS1_record_flow.png"/>
                    <pic:cNvPicPr/>
                  </pic:nvPicPr>
                  <pic:blipFill>
                    <a:blip r:embed="rId10"/>
                    <a:stretch>
                      <a:fillRect/>
                    </a:stretch>
                  </pic:blipFill>
                  <pic:spPr>
                    <a:xfrm>
                      <a:off x="0" y="0"/>
                      <a:ext cx="5669280" cy="7440930"/>
                    </a:xfrm>
                    <a:prstGeom prst="rect"/>
                  </pic:spPr>
                </pic:pic>
              </a:graphicData>
            </a:graphic>
          </wp:inline>
        </w:drawing>
      </w:r>
    </w:p>
    <w:p>
      <w:pPr>
        <w:pStyle w:val="Caption"/>
        <w:keepNext w:val="0"/>
        <w:spacing w:line="240" w:lineRule="auto" w:after="0"/>
      </w:pPr>
      <w:r>
        <w:rPr>
          <w:sz w:val="20"/>
        </w:rPr>
        <w:t>Figure S1. Adapted record flow and source linkage. Supplementary source counts overlap; report counts are not independent-study counts.</w:t>
      </w:r>
    </w:p>
    <w:p>
      <w:r>
        <w:br w:type="page"/>
      </w:r>
    </w:p>
    <w:p>
      <w:pPr>
        <w:pStyle w:val="Heading1"/>
      </w:pPr>
      <w:r>
        <w:t>Study profiles for all retained synthesis units</w:t>
      </w:r>
    </w:p>
    <w:p>
      <w:pPr>
        <w:pStyle w:val="Heading2"/>
      </w:pPr>
      <w:r>
        <w:t>1 IDRIS health-anxiety subgroup</w:t>
      </w:r>
    </w:p>
    <w:p>
      <w:r>
        <w:t>IDRIS included a baseline elevated-Whiteley subgroup eligible for a health-anxiety psychoeducation module within a personalized back-pain intervention. The whole-trial effect cannot substitute for that subgroup: no separate randomized health-anxiety result is available, and postrandomization module attendance is not an eligibility denominator.</w:t>
      </w:r>
    </w:p>
    <w:p>
      <w:r>
        <w:t>Study characteristics: eligibility population: Baseline WI-7 ≥2 subgroup within an acute/subacute back-pain trial; whole-trial pain/distress eligibility does not define elevated health anxiety; age category: Adults, eligibility 18–67 years; randomized sample: Eligible randomized health-anxiety subgroup total and control-arm count not separately reported. Intervention-module counts 32 in text and 33 in Table 2 are not randomized subgroup denominators; intervention and duration: Personalized online animation; health-anxiety module approximately 3 minutes 11 seconds within a multi-module video, accessible for seven days; comparator: Care as usual without the video; no separate health-anxiety subgroup contrast available; assessment timing: Four and twelve weeks from baseline; public source locator: Methods 2.1–2.5.1, Table 1; Results 3.3/Table 2; source access: Original Methods and relevant results/table sources available in the source audit; this does not imply independent human duplicate review</w:t>
      </w:r>
    </w:p>
    <w:p>
      <w:r>
        <w:t>Numerical contribution: No separate baseline-eligible subgroup HA result; no valid whole-trial substitution.</w:t>
      </w:r>
    </w:p>
    <w:p>
      <w:r>
        <w:t>Source: Hüsing Paul; Busmann Mareike; Löwe Bernd; Engelmann Petra. (2025). A personalized online intervention to enhance back pain-related self-efficacy: A two-arm randomized controlled trial (IDRIS). https://doi.org/10.1016/j.invent.2025.100892</w:t>
      </w:r>
    </w:p>
    <w:p>
      <w:pPr>
        <w:pStyle w:val="Heading2"/>
      </w:pPr>
      <w:r>
        <w:t>2 Jakes 2025</w:t>
      </w:r>
    </w:p>
    <w:p>
      <w:r>
        <w:t>Jakes et al. compared text reminders to reduce safety behaviours with present-focused messages. The available numerical contribution is the week-eight IAS model change contrast, four weeks after the message course. It is a secondary health-anxiety result and should not be relabelled as the modified Whiteley primary endpoint or as a full-course CBT effect.</w:t>
      </w:r>
    </w:p>
    <w:p>
      <w:r>
        <w:t>Study characteristics: eligibility population: Community recruitment; SHAI-18 ≥27 and motivation ≥5/10, rather than required diagnostic interview; age category: Adults, ≥18 years; randomized sample: 111 randomized: safety-behaviour messages 52, present-focused messages 59; intervention and duration: Personalized text reminders to reduce safety behaviours, four weeks; comparator: Matched present-centred/mindfulness-oriented text messages; assessment timing: Baseline and weeks 2, 4 and 8; extracted IAS model contrast at week 8, four weeks after the course; public source locator: Methods 1.1–1.6; participant flow and Table 2; source access: Original Methods and relevant results/table sources available in the source audit; this does not imply independent human duplicate review</w:t>
      </w:r>
    </w:p>
    <w:p>
      <w:r>
        <w:t>Numerical contribution: At least one source-verified current Stata result; available outcomes are not exhaustive.</w:t>
      </w:r>
    </w:p>
    <w:p>
      <w:r>
        <w:t>Source: Jakes Kavi S; Jessup Sarah C; Rosenfield David; Olatunji Bunmi O. (2025). Effects of text message reminders of safety behavior reduction on health anxiety: A randomized control trial. https://doi.org/10.1016/j.brat.2025.104790</w:t>
      </w:r>
    </w:p>
    <w:p>
      <w:pPr>
        <w:pStyle w:val="Heading2"/>
      </w:pPr>
      <w:r>
        <w:t>3 Halifax ISTDP 2024</w:t>
      </w:r>
    </w:p>
    <w:p>
      <w:r>
        <w:t>The Halifax pilot randomized a broader somatic-symptom sample to intensive short-term dynamic psychotherapy or control. Nine participants had baseline illness-anxiety disorder (six versus three). This subgroup is eligible, but its health-anxiety outcomes are not separable; the result for all 37 participants would answer a different population question.</w:t>
      </w:r>
    </w:p>
    <w:p>
      <w:r>
        <w:t>Study characteristics: eligibility population: SCID-5 illness-anxiety-disorder subgroup in a broader somatic-symptom and related-disorder sample; age category: Adults, eligibility 18–65 years; randomized sample: Eligible subgroup 9: ISTDP 6, control 3; parent trial 37 (19/18). Parent-trial outcomes do not substitute for subgroup outcomes; intervention and duration: Intensive short-term dynamic psychotherapy plus medical care as usual; initial eight-session course, with fewer sessions permitted by agreement; comparator: Medical care as usual plus eight-week waiting-list symptom monitoring, followed by optional crossover; assessment timing: Eight-week randomized comparison before crossover; public source locator: Methods; Table 1 diagnostic breakdown; Tables 2–3; source access: Original Methods and relevant results/table sources available in the source audit; this does not imply independent human duplicate review</w:t>
      </w:r>
    </w:p>
    <w:p>
      <w:r>
        <w:t>Numerical contribution: No separate illness-anxiety subgroup result; the whole sample of 37 is not the eligible subgroup of 9.</w:t>
      </w:r>
    </w:p>
    <w:p>
      <w:r>
        <w:t>Source: Town Joel M; Abbass Allan; Campbell Samuel. (2024). Halifax somatic symptom disorder trial: A pilot randomized controlled trial of intensive short-term dynamic psychotherapy in the emergency department. https://doi.org/10.1016/j.jpsychores.2024.111889</w:t>
      </w:r>
    </w:p>
    <w:p>
      <w:pPr>
        <w:pStyle w:val="Heading2"/>
      </w:pPr>
      <w:r>
        <w:t>4 Krzikalla 2024</w:t>
      </w:r>
    </w:p>
    <w:p>
      <w:r>
        <w:t>Krzikalla et al. studied brief worry postponement in a clinical hypochondriasis subgroup alongside a generalized-anxiety sample. The report measured generic worry and metacognitions rather than health-anxiety severity. Its hypochondriasis findings therefore remain descriptive; neither combined-diagnosis results nor generic worry scores replace the review health-anxiety outcome.</w:t>
      </w:r>
    </w:p>
    <w:p>
      <w:r>
        <w:t>Study characteristics: eligibility population: Clinical hypochondriasis subgroup meeting Fink criteria with two-week symptom duration; separate from generalized-anxiety participants; age category: Adults, eligibility 18–65 years; randomized sample: 35 hypochondriasis participants reportedly randomized; arm-specific randomized denominators not verified. Separate GAD sample 47 is outside this eligible subgroup; intervention and duration: Two-session metacognitive worry postponement with six days of practice between sessions; comparator: Waiting list; assessment timing: One week after intervention/waiting; four-week intervention-only follow-up after crossover. No health-anxiety-specific severity measure; public source locator: Methods and Table 1; source access: Original Methods and relevant results/table sources available in the source audit; this does not imply independent human duplicate review</w:t>
      </w:r>
    </w:p>
    <w:p>
      <w:r>
        <w:t>Numerical contribution: No HA-specific severity measure; generic worry/metacognition outcomes only.</w:t>
      </w:r>
    </w:p>
    <w:p>
      <w:r>
        <w:t>Source: Krzikalla Clara; Buhlmann Ulrike; Schug Janina; Kopei Ina; Gerlach Alexander L; Doebler Philipp; Morina Nexhmedin; Andor Tanja. (2024). Worry Postponement From the Metacognitive Perspective: A Randomized Waitlist-Controlled Trial. https://doi.org/10.32872/cpe.12741</w:t>
      </w:r>
    </w:p>
    <w:p>
      <w:pPr>
        <w:pStyle w:val="Heading2"/>
      </w:pPr>
      <w:r>
        <w:t>5 Crawford 2024 and King 2025</w:t>
      </w:r>
    </w:p>
    <w:p>
      <w:r>
        <w:t>Crawford et al. and King et al. report one 40-person nested trial of remote modified CBT for health anxiety plus a booklet and usual care versus booklet and usual care. King supplies follow-up standard deviations, but per-measure SHAI denominators remain unverified. The arm descriptives are reported as such; follow-up completion counts and within-arm confidence intervals are not converted into an invented between-group effect.</w:t>
      </w:r>
    </w:p>
    <w:p>
      <w:r>
        <w:t>Study characteristics: eligibility population: Elevated health anxiety (Methods/registry SHAI ≥20; abstract/later report &gt;20) within a severe COVID-anxiety cohort; age category: Adults, ≥18 years; randomized sample: Nested RCT 40: CBT-HA 21, control 19. Observational cohort 285 is not the randomized sample; intervention and duration: Modified remote CBT-HA, 5–10 sessions, plus mental-health booklet and usual care; comparator: Booklet plus usual care; assessment timing: Three, six and eighteen months from recruitment/randomization; sessions ended before six months. Per-measure follow-up denominators not verified; public source locator: Crawford, Methods/Table 5; King, Methods/Table 5; ISRCTN14973494; source access: Original Methods and relevant results/table sources available in the source audit; this does not imply independent human duplicate review</w:t>
      </w:r>
    </w:p>
    <w:p>
      <w:r>
        <w:t>Numerical contribution: HA means/SDs present, but per-measure N and between-arm uncertainty unverified.</w:t>
      </w:r>
    </w:p>
    <w:p>
      <w:r>
        <w:t>Source: Crawford Mike J; King Jacob D; McQuaid Aisling; Bassett Paul; Leeson Verity C; Tella Oluwaseun; Di Simplicio Martina; Tyrer Peter; Tyrer Helen; Watt Richard G; Barnicot Kirsten. (2024). Severe COVID anxiety among adults in the United Kingdom: cohort study and nested feasibility trial. https://doi.org/10.1186/s12888-023-05446-9; https://doi.org/10.1192/bjo.2025.10884</w:t>
      </w:r>
    </w:p>
    <w:p>
      <w:pPr>
        <w:pStyle w:val="Heading2"/>
      </w:pPr>
      <w:r>
        <w:t>6 Shahidi 2023</w:t>
      </w:r>
    </w:p>
    <w:p>
      <w:r>
        <w:t>Shahidi et al. tested nine weeks of internet-delivered mindfulness stress reduction combined with acceptance and commitment therapy against routine education and follow-up among caregivers selected for elevated health anxiety. The observed endpoint is available, but the sample age range is unclear and this combined intervention is distinct from conventional CBT. The 32/32 endpoint sample does not equal the 36/36 randomized sample.</w:t>
      </w:r>
    </w:p>
    <w:p>
      <w:r>
        <w:t>Study characteristics: eligibility population: Family caregivers of people with moderate COVID-19; HAI-18 &gt;27 explicitly required; age category: Unclear age eligibility/range; adult mean age alone does not establish an exclusively adult sample; randomized sample: 72 randomized, 36/36; 64 analyzed at endpoint, 32/32; intervention and duration: Internet/WhatsApp mindfulness stress reduction plus ACT, nine weekly sessions, alongside usual education/follow-up; comparator: Telephone follow-up and usual COVID education; assessment timing: End of nine-week treatment; no later follow-up; public source locator: Methods, Figure 1 and Table 3; source access: Original Methods and relevant results/table sources available in the source audit; this does not imply independent human duplicate review</w:t>
      </w:r>
    </w:p>
    <w:p>
      <w:r>
        <w:t>Numerical contribution: At least one source-verified current Stata result; available outcomes are not exhaustive.</w:t>
      </w:r>
    </w:p>
    <w:p>
      <w:r>
        <w:t>Source: Shahidi Shokooh; Zargar Fatemeh; Aghaee Khajelangi Hassan; Tarrahi Mohmmad Javad. (2023). The Effect of Internet-delivered Mindfulness Stress Reduction Combined with Acceptance and Commitment Therapy on Health Anxiety and Quality of Life of Caregiver of Patients Infected by COVID-19: A Randomized Clinical Trial. https://doi.org/10.30476/ijcbnm.2023.97271.2172</w:t>
      </w:r>
    </w:p>
    <w:p>
      <w:pPr>
        <w:pStyle w:val="Heading2"/>
      </w:pPr>
      <w:r>
        <w:t>7 O’Bryan 2019 and 2021</w:t>
      </w:r>
    </w:p>
    <w:p>
      <w:r>
        <w:t>O'Bryan evaluated a single-session anxiety-sensitivity intervention against sham training and matched study-skills content. At one month the reported mixed-model health-anxiety contrast was -1.89 points (95% CI -4.65 to 0.87), which does not establish superiority. Raw week-one and month-one endpoints are different estimands and are shown only as descriptive sensitivities; the reported model appraisal cannot automatically cover them.</w:t>
      </w:r>
    </w:p>
    <w:p>
      <w:r>
        <w:t>Study characteristics: eligibility population: Student recruitment; SHAI-14 ≥14 and ASI-3 ≥24; two erroneously randomized below-SHAI-threshold participants retained, one per arm; age category: Adults, observed 18–28 years; randomized sample: 68 randomized: active 33, control 35; not all supplied observed follow-up outcomes; intervention and duration: Single-session computerized anxiety-sensitivity interpretation training plus psychoeducation; comparator: Sham interpretation training plus matched study-skills material; assessment timing: One week and one month after the session; no immediate post-session SHAI; public source locator: Dissertation Methods, Table 2 and CONSORT figure; linked journal report; source access: Original Methods and relevant results/table sources available in the source audit; this does not imply independent human duplicate review</w:t>
      </w:r>
    </w:p>
    <w:p>
      <w:r>
        <w:t>Numerical contribution: At least one source-verified current Stata result; available outcomes are not exhaustive.</w:t>
      </w:r>
    </w:p>
    <w:p>
      <w:r>
        <w:t>Source: O'Bryan Emily M; McLeish Alison C; Norr Aaron M; Ely Sarah; Bass Zoey; Davies Carolyn D; Capron Daniel W; Schmidt Norman B; Mano Kristen E Jastrowski. (2021). A randomized controlled trial evaluating the efficacy of a brief computerized anxiety sensitivity reduction intervention for health anxiety. https://doi.org/10.1016/j.janxdis.2021.102425</w:t>
      </w:r>
    </w:p>
    <w:p>
      <w:pPr>
        <w:pStyle w:val="Heading2"/>
      </w:pPr>
      <w:r>
        <w:t>8 Hoffmann 2021</w:t>
      </w:r>
    </w:p>
    <w:p>
      <w:r>
        <w:t>Hoffmann et al. compared internet acceptance and commitment therapy with a discussion forum. The reported Whiteley-7 difference at six months after treatment is retained separately from group ACT against waiting list. The source timing also corresponds to approximately nine months after randomization; it must not be combined indiscriminately with randomization-anchored six-month results.</w:t>
      </w:r>
    </w:p>
    <w:p>
      <w:r>
        <w:t>Study characteristics: eligibility population: Principal severe health anxiety by Fink research criteria plus WI-7 &gt;21.4/100, clinician-assessed; comorbidity allowed; age category: 18 years or older; randomized sample: iACT: 53; iFORUM: 48; intervention and duration: Clinician-guided internet ACT, 7 sequential modules over 12 weeks; comparator: 7 internet discussion forums over 12 weeks, ethical monitoring only; crossover to iACT offered after 6-month post-treatment follow-up; assessment timing: Primary six months after treatment, approximately nine months after randomization; public source locator: PDF pp 2-4 / journal pp 2686-2688, Study design, Randomization, Results; Table 1 PDF p 6; Figure 1 PDF p 5 / journal p 2689; Outcomes PDF p 3; Figure 2 caption PDF p 7 / journal p 2691 explicitly anchors baseline and randomization; source access: Original Methods and relevant results/table sources available in the source audit; this does not imply independent human duplicate review</w:t>
      </w:r>
    </w:p>
    <w:p>
      <w:r>
        <w:t>Numerical contribution: At least one source-verified current Stata result; available outcomes are not exhaustive.</w:t>
      </w:r>
    </w:p>
    <w:p>
      <w:r>
        <w:t>Source: Hoffmann Ditte; Rask Charlotte Ulrikka; Hedman-Lagerlöf Erik; Jensen Jens Søndergaard; Frostholm Lisbeth. (2021). Efficacy of internet-delivered acceptance and commitment therapy for severe health anxiety: results from a randomized, controlled trial. https://doi.org/10.1017/s0033291720001312</w:t>
      </w:r>
    </w:p>
    <w:p>
      <w:pPr>
        <w:pStyle w:val="Heading2"/>
      </w:pPr>
      <w:r>
        <w:t>9 Axelsson 2020</w:t>
      </w:r>
    </w:p>
    <w:p>
      <w:r>
        <w:t>Axelsson et al. compared internet with face-to-face CBT. The reconstructed observed endpoint includes 97 participants per arm from 102 randomized per arm. Its interval encompasses small effects in either direction; this endpoint superiority-style comparison is not the trial noninferiority analysis and cannot establish equivalence.</w:t>
      </w:r>
    </w:p>
    <w:p>
      <w:r>
        <w:t>Study characteristics: eligibility population: Principal diagnosis of health anxiety established in clinical assessment; age category: Adults, ≥18 years; randomized sample: 204 randomized, 102/102; observed post-treatment endpoint 97/97; intervention and duration: Internet CBT, twelve weeks; comparator: Individual face-to-face CBT, twelve weeks; assessment timing: Treatment-end endpoint at week 12; later assessments from the same trial are not independent evidence; public source locator: Main Methods/flow; Supplement 2 eligibility table and eTable 7; source access: Original Methods and relevant results/table sources available in the source audit; this does not imply independent human duplicate review</w:t>
      </w:r>
    </w:p>
    <w:p>
      <w:r>
        <w:t>Numerical contribution: At least one source-verified current Stata result; available outcomes are not exhaustive.</w:t>
      </w:r>
    </w:p>
    <w:p>
      <w:r>
        <w:t>Source: Axelsson Erland; Andersson Erik; Ljótsson Brjánn; Björkander Daniel; Hedman-Lagerlöf Maria; Hedman-Lagerlöf Erik. (2020). Effect of Internet vs Face-to-Face Cognitive Behavior Therapy for Health Anxiety: A Randomized Noninferiority Clinical Trial. https://doi.org/10.1001/jamapsychiatry.2020.0940</w:t>
      </w:r>
    </w:p>
    <w:p>
      <w:pPr>
        <w:pStyle w:val="Heading2"/>
      </w:pPr>
      <w:r>
        <w:t>10 Antognelli 2020</w:t>
      </w:r>
    </w:p>
    <w:p>
      <w:r>
        <w:t>Antognelli et al. compared benign interpretation training with matched mixed-feedback control. Both treatment-end and two-week follow-up health-anxiety endpoints are available and share participants. They assess a brief component intervention, and neither should be treated as an independent trial or pooled as full-course internet CBT.</w:t>
      </w:r>
    </w:p>
    <w:p>
      <w:r>
        <w:t>Study characteristics: eligibility population: SHAI ≥20 screening; mostly student recruitment, diagnosis not required; age category: Adults; actual range 18–54 (Methods says over 18, registry ≥18); randomized sample: 89 randomized: benign training 43, matched control 46; intervention and duration: Benign interpretation training, two 30-minute online sessions across one week; comparator: Same task/schedule with half benign and half negative resolutions; assessment timing: Treatment end and two-week follow-up; observed 40/42 and 39/40 respectively; public source locator: Methods, Figure 1 and Table 2; source access: Original Methods and relevant results/table sources available in the source audit; this does not imply independent human duplicate review</w:t>
      </w:r>
    </w:p>
    <w:p>
      <w:r>
        <w:t>Numerical contribution: At least one source-verified current Stata result; available outcomes are not exhaustive.</w:t>
      </w:r>
    </w:p>
    <w:p>
      <w:r>
        <w:t>Source: Antognelli Sophie L; Sharrock Maria J; Newby Jill M. (2020). A randomised controlled trial of computerised interpretation bias modification for health anxiety. https://doi.org/10.1016/j.jbtep.2019.101518</w:t>
      </w:r>
    </w:p>
    <w:p>
      <w:pPr>
        <w:pStyle w:val="Heading2"/>
      </w:pPr>
      <w:r>
        <w:t>11 Morriss 2019</w:t>
      </w:r>
    </w:p>
    <w:p>
      <w:r>
        <w:t>Morriss et al. evaluated remote CBT against usual care among repeated users of unscheduled care with severe health anxiety. Source-reported model contrasts at six and twelve months are retained separately with their baseline/randomization time origin. Symptom improvement does not by itself establish reduced service use or economic benefit, which require their own outcome definitions and denominators.</w:t>
      </w:r>
    </w:p>
    <w:p>
      <w:r>
        <w:t>Study characteristics: eligibility population: SHAI-14 ≥18 in methods and ≥2 recent unscheduled-care contacts; abstract's &gt;18 wording noted; age category: Adults, eligibility ≥18 years; randomized sample: RCBT: 78; TAU: 78; intervention and duration: Remote CBT for health anxiety; comparator: Treatment as usual; assessment timing: Six-month primary and twelve-month follow-up after baseline/randomization; report repeats the same model contrast at these times; public source locator: Report PDF pp 4-6 / printed pp 3-5 methods; Table 2 Report PDF p 9 / printed p 8; published protocol and statistical analysis plan; source access: Original Methods and relevant results/table sources available in the source audit; this does not imply independent human duplicate review</w:t>
      </w:r>
    </w:p>
    <w:p>
      <w:r>
        <w:t>Numerical contribution: At least one source-verified current Stata result; available outcomes are not exhaustive.</w:t>
      </w:r>
    </w:p>
    <w:p>
      <w:r>
        <w:t>Source: Morriss Richard; Patel Shireen; Malins Sam; Guo Boliang; Higton Fred; James Marilyn; Wu Mengjun; Brown Paula; Boycott Naomi; Kaylor-Hughes Catherine; Morris Martin; Rowley Emma; Simpson Jayne; Smart David; Stubley Michelle; Kai Joe; Tyrer Helen. (2019). Clinical and economic outcomes of remotely delivered cognitive behaviour therapy versus treatment as usual for repeat unscheduled care users with severe health anxiety: a multicentre randomised controlled trial. https://doi.org/10.1186/s12916-019-1253-5</w:t>
      </w:r>
    </w:p>
    <w:p>
      <w:pPr>
        <w:pStyle w:val="Heading2"/>
      </w:pPr>
      <w:r>
        <w:t>12 Newby 2018</w:t>
      </w:r>
    </w:p>
    <w:p>
      <w:r>
        <w:t>Newby et al. compared internet CBT with online psychoeducation plus support and monitoring. The published standardized contrast and original confidence bounds are retained as reported model evidence. This supported-information comparator differs from waiting list, and the report/registry week-twelve versus week-thirteen discrepancy remains explicit.</w:t>
      </w:r>
    </w:p>
    <w:p>
      <w:r>
        <w:t>Study characteristics: eligibility population: DSM-5 illness anxiety disorder or somatic symptom disorder with health anxiety; age category: Adults, ≥18 years; randomized sample: 102 randomized, 51/51; 86 baseline completers in the model (45/41), 69 observed at post-treatment (37/32). Abstract N86 is not the initial randomized total; intervention and duration: Six-lesson clinician-guided internet CBT across twelve weeks; comparator: Online psychoeducation, clinical support and monitoring across twelve weeks; assessment timing: Article post-treatment after twelve weeks; registry specifies week 13/one week after treatment. Three-month maintenance report is intervention-only; public source locator: Figure 1; Methods; Table 3 and Results; ACTRN12615000887572; source access: Original Methods and relevant results/table sources available in the source audit; this does not imply independent human duplicate review</w:t>
      </w:r>
    </w:p>
    <w:p>
      <w:r>
        <w:t>Numerical contribution: At least one source-verified current Stata result; available outcomes are not exhaustive.</w:t>
      </w:r>
    </w:p>
    <w:p>
      <w:r>
        <w:t>Source: Newby Jill M; Smith Jessica; Uppal Shivani; Mason Elizabeth; Mahoney Alison E J; Andrews Gavin. (2018). Internet-based cognitive behavioral therapy versus psychoeducation control for illness anxiety disorder and somatic symptom disorder: A randomized controlled trial. https://doi.org/10.1037/ccp0000248</w:t>
      </w:r>
    </w:p>
    <w:p>
      <w:pPr>
        <w:pStyle w:val="Heading2"/>
      </w:pPr>
      <w:r>
        <w:t>13 COPIC health-anxiety subgroup</w:t>
      </w:r>
    </w:p>
    <w:p>
      <w:r>
        <w:t>COPIC included a baseline high-health-anxiety subgroup of 25 participants (15 CBT, ten standard care) within a non-cardiac chest-pain trial. A usable subgroup-specific treatment contrast is unavailable. The subgroup remains included descriptively; the whole 68-person effect and the high-versus-low subgroup comparison are not substitutes for its randomized contrast.</w:t>
      </w:r>
    </w:p>
    <w:p>
      <w:r>
        <w:t>Study characteristics: eligibility population: Baseline HAI ≥20 subgroup within recurrent non-cardiac chest pain; age category: Adults, eligibility 18–75 years; randomized sample: Eligible subgroup 25: CBT 15, standard care 10; parent trial 68, 34/34; intervention and duration: Adapted CBT for chest pain beginning with health-anxiety formulation; planned 4–10 sessions with flexibility up to 15; comparator: Standard care; assessment timing: Subgroup-specific randomized outcome numbers unavailable; whole-trial outcomes not substituted; public source locator: Methods/Experimental interventions; Table 1; Table 2 footnote; source access: Original Methods and relevant results/table sources available in the source audit; this does not imply independent human duplicate review</w:t>
      </w:r>
    </w:p>
    <w:p>
      <w:r>
        <w:t>Numerical contribution: No usable randomized comparison for the baseline high-health-anxiety subgroup of 25 subgroup.</w:t>
      </w:r>
    </w:p>
    <w:p>
      <w:r>
        <w:t>Source: Tyrer Peter; Tyrer Helen; Morriss Richard; Crawford Michael; Cooper Sylvia; Yang Min; Guo Boliang; Mulder Roger T; Kemp Samuel; Barrett Barbara. (2017). Clinical and cost-effectiveness of adapted cognitive behaviour therapy for non-cardiac chest pain: a multicentre, randomised controlled trial. https://doi.org/10.1136/openhrt-2016-000582</w:t>
      </w:r>
    </w:p>
    <w:p>
      <w:pPr>
        <w:pStyle w:val="Heading2"/>
      </w:pPr>
      <w:r>
        <w:t>14 Fallon 2017</w:t>
      </w:r>
    </w:p>
    <w:p>
      <w:r>
        <w:t>Fallon et al. randomized 195 patients with DSM-IV hypochondriasis among CBT, fluoxetine, combined treatment and placebo with medication management. The report did not establish CBT superiority over placebo on the secondary continuous Whiteley result at week 24, and individual active-arm responder comparisons were not statistically significant against placebo. These findings are retained narratively with the primary dual-responder and secondary continuous outcomes distinguished; no unverified standardized contrast is reconstructed.</w:t>
      </w:r>
    </w:p>
    <w:p>
      <w:r>
        <w:t>Study characteristics: eligibility population: DSM-IV hypochondriasis; age category: Adult clinical sample; exact eligibility age limits not restated without source verification; randomized sample: 195 randomized across CBT, fluoxetine, combined treatment and pill placebo; no equal-arm allocation assumed here; intervention and duration: Manualized CBT, alone or with fluoxetine; trial outcomes assessed through week 24; comparator: Fluoxetine or placebo with medication management; comparisons kept distinct; assessment timing: Week-24 primary dual-responder and secondary continuous Whiteley outcomes are separate; public source locator: Methods, participant flow and week-24 outcome tables; source access: Original Methods and relevant results/table sources available in the source audit; this does not imply independent human duplicate review</w:t>
      </w:r>
    </w:p>
    <w:p>
      <w:r>
        <w:t>Numerical contribution: Continuous Whiteley analysis is log-transformed and no source-verified treatment effect/variance has been released to current inputs; primary responder versus secondary continuous results retained narratively.</w:t>
      </w:r>
    </w:p>
    <w:p>
      <w:r>
        <w:t>Source: Fallon Brian A; Ahern David K; Pavlicova Martina; Slavov Iordan; Skritskya Natalia; Barsky Arthur J. (2017). A Randomized Controlled Trial of Medication and Cognitive-Behavioral Therapy for Hypochondriasis. https://doi.org/10.1176/appi.ajp.2017.16020189</w:t>
      </w:r>
    </w:p>
    <w:p>
      <w:pPr>
        <w:pStyle w:val="Heading2"/>
      </w:pPr>
      <w:r>
        <w:t>15 Hedman 2016</w:t>
      </w:r>
    </w:p>
    <w:p>
      <w:r>
        <w:t>Hedman et al. randomized participants to guided internet CBT, unguided internet CBT, printed bibliotherapy or waiting list. Combining the three active arms avoids reuse of the control, but creates a mixed-delivery contrast rather than a purely digital estimate. Its available endpoint contributes to explicitly exploratory waiting-list subsets, not a complete pooled CBT effect.</w:t>
      </w:r>
    </w:p>
    <w:p>
      <w:r>
        <w:t>Study characteristics: eligibility population: Principal DSM-5 somatic symptom disorder or illness anxiety disorder; age category: Adults, ≥18 years; randomized sample: 132 randomized across guided internet CBT, unguided internet CBT, bibliotherapy and waiting list; combined active 99, waiting list 33; intervention and duration: Exposure-based CBT delivered as guided internet, unguided internet or printed bibliotherapy, twelve weeks; comparator: Waiting list; shared control counted once; assessment timing: Twelve-week assigned treatment/control endpoint before crossover; public source locator: Methods, Figure 1 and Table 2; source access: Original Methods and relevant results/table sources available in the source audit; this does not imply independent human duplicate review</w:t>
      </w:r>
    </w:p>
    <w:p>
      <w:r>
        <w:t>Numerical contribution: At least one source-verified current Stata result; available outcomes are not exhaustive.</w:t>
      </w:r>
    </w:p>
    <w:p>
      <w:r>
        <w:t>Source: Hedman Erik; Axelsson Erland; Andersson Erik; Lekander Mats; Ljótsson Brjánn. (2016). Exposure-based cognitive-behavioural therapy via the internet and as bibliotherapy for somatic symptom disorder and illness anxiety disorder: randomised controlled trial. https://doi.org/10.1192/bjp.bp.116.181396</w:t>
      </w:r>
    </w:p>
    <w:p>
      <w:pPr>
        <w:pStyle w:val="Heading2"/>
      </w:pPr>
      <w:r>
        <w:t>16 Eilenberg 2016</w:t>
      </w:r>
    </w:p>
    <w:p>
      <w:r>
        <w:t>Eilenberg et al. tested group acceptance and commitment therapy against waiting list plus usual care. The source-reported Whiteley-7 contrast concerns six months after treatment, approximately ten months after randomization. It remains separate from internet ACT against forum because comparator and delivery differ.</w:t>
      </w:r>
    </w:p>
    <w:p>
      <w:r>
        <w:t>Study characteristics: eligibility population: Primary severe health anxiety under Fink research criteria plus baseline transformed WI-7 &gt;21.4/100; comorbid disorders allowed only if health anxiety dominant; age category: 20-60 years; randomized sample: ACT G: 63; waitlist: 63; intervention and duration: Nine weekly 3-hour ACT groups plus booster one month after ninth session; seven groups of 9, same two therapists; 30 hours total; comparator: Ten-month waiting list plus usual care; group therapy offered after controlled follow-up; assessment timing: Primary six months after treatment, approximately ten months after randomization; public source locator: PDF p 2 / journal p 104, Participants, Assessment, Randomization; Table 1 p 7 / journal p 109; PDF p 3 / journal p 105 Figure 1; pp 5-6 / journal pp 107-108 Outcomes and Results; source access: Original Methods and relevant results/table sources available in the source audit; this does not imply independent human duplicate review</w:t>
      </w:r>
    </w:p>
    <w:p>
      <w:r>
        <w:t>Numerical contribution: At least one source-verified current Stata result; available outcomes are not exhaustive.</w:t>
      </w:r>
    </w:p>
    <w:p>
      <w:r>
        <w:t>Source: Eilenberg T; Fink P; Jensen J S; Rief W; Frostholm L. (2016). Acceptance and commitment group therapy (ACT-G) for health anxiety: a randomized controlled trial. https://doi.org/10.1017/s0033291715001579</w:t>
      </w:r>
    </w:p>
    <w:p>
      <w:pPr>
        <w:pStyle w:val="Heading2"/>
      </w:pPr>
      <w:r>
        <w:t>17 Kerstner 2015</w:t>
      </w:r>
    </w:p>
    <w:p>
      <w:r>
        <w:t>Kerstner et al. tested diary-based attribution modification against therapist attention and assessment. The two-week raw modified-SHAI endpoint is supported by the recovered full report and 42/43 observed participants from 43/45 randomized. It is a brief training effect before optional later CBT, not the adjusted ANCOVA estimand or a comparison of subsequent CBT courses.</w:t>
      </w:r>
    </w:p>
    <w:p>
      <w:r>
        <w:t>Study characteristics: eligibility population: Interview-based Fink mild/severe hypochondriasis plus positive Whiteley or SHAI screening cutoffs; age category: Adults, eligibility 18–65 years; randomized sample: 88 randomized: attribution modification 43, control 45; observed endpoint 42/43; intervention and duration: Diary-based attribution modification and four 50-minute therapeutic sessions over two weeks; comparator: Therapist attention and assessment without attribution training/diary; assessment timing: Immediately after session four, before optional subsequent CBT; public source locator: Participants and Procedure; Figure 1; Table 2; source access: Recovered complete primary report and table available; supersedes earlier abstract-only status</w:t>
      </w:r>
    </w:p>
    <w:p>
      <w:r>
        <w:t>Numerical contribution: At least one source-verified current Stata result; available outcomes are not exhaustive.</w:t>
      </w:r>
    </w:p>
    <w:p>
      <w:r>
        <w:t>Source: Kerstner Tobias; Witthöft Michael; Mier Daniela; Diener Carsten; Rist Fred; Bailer Josef. (2015). A diary-based modification of symptom attributions in pathological health anxiety: effects on symptom report and cognitive biases. https://doi.org/10.1037/a0039056</w:t>
      </w:r>
    </w:p>
    <w:p>
      <w:pPr>
        <w:pStyle w:val="Heading2"/>
      </w:pPr>
      <w:r>
        <w:t>18 Weck 2015</w:t>
      </w:r>
    </w:p>
    <w:p>
      <w:r>
        <w:t>Weck et al. compared cognitive therapy, exposure therapy and an initial waiting list. Related active arms can be combined once against their shared control; the active treatments also provide a distinct head-to-head comparison. The global IAS and clinician-rated H-YBOCS components are alternative outcomes, not independent replications. Their inclusion in historical waiting-list sensitivity analyses was post hoc.</w:t>
      </w:r>
    </w:p>
    <w:p>
      <w:r>
        <w:t>Study characteristics: eligibility population: DSM-IV hypochondriasis; age category: Eligibility 18-65; randomized sample: CT: 21; ET: 21; WL: 42; intervention and duration: CT or exposure therapy (ET), 12 weekly sessions, with later boosters; comparator: Initial WL or head-to-head CT/ET; assessment timing: After twelve weekly sessions before waiting-list crossover and later boosters at one, three and six months; public source locator: PDF pp 3-4 eligibility/flow/measures; p 6 statistics/results; Table 1 PDF p 7 / journal p 671; Table 2 delayed cohort is not used; source access: Original Methods and relevant results/table sources available in the source audit; this does not imply independent human duplicate review</w:t>
      </w:r>
    </w:p>
    <w:p>
      <w:r>
        <w:t>Numerical contribution: At least one source-verified current Stata result; available outcomes are not exhaustive.</w:t>
      </w:r>
    </w:p>
    <w:p>
      <w:r>
        <w:t>Source: Weck Florian; Neng Julia M B; Richtberg Samantha; Jakob Marion; Stangier Ulrich. (2015). Cognitive therapy versus exposure therapy for hypochondriasis (health anxiety): A randomized controlled trial. https://doi.org/10.1037/ccp0000013</w:t>
      </w:r>
    </w:p>
    <w:p>
      <w:pPr>
        <w:pStyle w:val="Heading2"/>
      </w:pPr>
      <w:r>
        <w:t>19 Hedman 2014</w:t>
      </w:r>
    </w:p>
    <w:p>
      <w:r>
        <w:t>Hedman et al. compared internet exposure-based CBT with internet behavioural stress management. The observed HAI endpoint contrast is small with an interval crossing zero; it is not interchangeable with the longitudinal primary model. The active comparator means this trial addresses a different question from forum, information-support or waiting-list contrasts.</w:t>
      </w:r>
    </w:p>
    <w:p>
      <w:r>
        <w:t>Study characteristics: eligibility population: Principal DSM-IV hypochondriasis/severe health anxiety; age category: Adults, ≥18 years; randomized sample: 158 randomized, 79/79; observed HAI endpoint 76/75; intervention and duration: Internet exposure-based CBT, twelve weeks; comparator: Internet behavioural stress management, twelve weeks; assessment timing: End of assigned twelve-week treatment; raw endpoint differs from longitudinal analysis; public source locator: Methods, Figure 1 and Table 3; source access: Original Methods and relevant results/table sources available in the source audit; this does not imply independent human duplicate review</w:t>
      </w:r>
    </w:p>
    <w:p>
      <w:r>
        <w:t>Numerical contribution: At least one source-verified current Stata result; available outcomes are not exhaustive.</w:t>
      </w:r>
    </w:p>
    <w:p>
      <w:r>
        <w:t>Source: Hedman Erik; Axelsson Erland; Görling Anders; Ritzman Carina; Ronnheden Markus; El Alaoui Samir; Andersson Erik; Lekander Mats; Ljótsson Brjánn. (2014). Internet-delivered exposure-based cognitive-behavioural therapy and behavioural stress management for severe health anxiety: randomised controlled trial. https://doi.org/10.1192/bjp.bp.113.140913</w:t>
      </w:r>
    </w:p>
    <w:p>
      <w:pPr>
        <w:pStyle w:val="Heading2"/>
      </w:pPr>
      <w:r>
        <w:t>20 Lee 2015</w:t>
      </w:r>
    </w:p>
    <w:p>
      <w:r>
        <w:t>Lee et al. studied attention modification against a matched attention control. The numerical endpoint is conditional on the retained dispersion interpretation and includes 18 observed participants per arm from 25 randomized per arm. It remains a sensitivity result with substantial uncertainty and cannot support a primary recommendation or a pooled long-term claim.</w:t>
      </w:r>
    </w:p>
    <w:p>
      <w:r>
        <w:t>Study characteristics: eligibility population: SHAI ≥18; selected undergraduate sample, not a diagnostic-treatment-seeking cohort; age category: Adults, ≥18 years; randomized sample: 50 randomized, 25/25; 18/18 training completers with endpoint data; intervention and duration: Attention modification: eight 20-minute sessions, twice weekly over four weeks; comparator: Matched attention control with equiprobable probe locations; assessment timing: Post-training endpoint; dispersion interpretation remains conditional; public source locator: Participants/Procedures; Figure 1; Table 1; source access: Original Methods and relevant results/table sources available in the source audit; this does not imply independent human duplicate review</w:t>
      </w:r>
    </w:p>
    <w:p>
      <w:r>
        <w:t>Numerical contribution: At least one source-verified current Stata result; available outcomes are not exhaustive.</w:t>
      </w:r>
    </w:p>
    <w:p>
      <w:r>
        <w:t>Source: Lee Han-Joo; Goetz Amy R; Turkel Jennifer E; Siwiec Stephan G. (2015). Computerized attention retraining for individuals with elevated health anxiety. https://doi.org/10.1080/10615806.2014.918964</w:t>
      </w:r>
    </w:p>
    <w:p>
      <w:pPr>
        <w:pStyle w:val="Heading2"/>
      </w:pPr>
      <w:r>
        <w:t>21 CHAMP</w:t>
      </w:r>
    </w:p>
    <w:p>
      <w:r>
        <w:t>CHAMP evaluated adapted CBT against usual medical care in 444 patients. The six- and twelve-month HAI model contrasts are anchored to randomization and come from the same trial family. The cohort permitted ages 16–75, so it is mixed-age adult-service evidence. Reported symptom effects are not evidence of cost equivalence, improved functioning or quality of life.</w:t>
      </w:r>
    </w:p>
    <w:p>
      <w:r>
        <w:t>Study characteristics: eligibility population: Medical outpatients with hypochondriasis and HAI-14 ≥20; age category: Eligibility 16–75 years; mixed-age adult-service sample. The actual number aged 16 or 17 is not established; randomized sample: CBT: 219; standard care: 225; unique people: 444; randomization events: 445; intervention and duration: CBT-HA, 5-10 sessions; comparator: Standard medical care; assessment timing: Six and twelve months after randomization; twelve months is the primary HAI endpoint; public source locator: HTA printed pp 3-8 (PDF 31-36); scientific summary PDF 26; Table 2 printed p 11 (PDF 39); source access: Original Methods and relevant results/table sources available in the source audit; this does not imply independent human duplicate review</w:t>
      </w:r>
    </w:p>
    <w:p>
      <w:r>
        <w:t>Numerical contribution: At least one source-verified current Stata result; available outcomes are not exhaustive.</w:t>
      </w:r>
    </w:p>
    <w:p>
      <w:r>
        <w:t>Source: Tyrer Peter; Cooper Sylvia; Salkovskis Paul; Tyrer Helen; Crawford Michael; Byford Sarah; Dupont Simon; Finnis Sarah; Green John; McLaren Elenor; Murphy David; Reid Steven; Smith Georgina; Wang Duolao; Warwick Hilary; Petkova Hristina; Barrett Barbara. (2014). Clinical and cost-effectiveness of cognitive behaviour therapy for health anxiety in medical patients: a multicentre randomised controlled trial. https://doi.org/10.1016/s0140-6736(13)61905-4; https://doi.org/10.3310/hta21500</w:t>
      </w:r>
    </w:p>
    <w:p>
      <w:pPr>
        <w:pStyle w:val="Heading2"/>
      </w:pPr>
      <w:r>
        <w:t>22 Barsky 2013</w:t>
      </w:r>
    </w:p>
    <w:p>
      <w:r>
        <w:t>Barsky et al. used practice-suite allocation to compare stepped CBT with physician training against relaxation in high-utilizing patients. The retained secondary HAI results use adjusted model means and standard errors; these cannot be converted to raw standard deviations using individual sample sizes. The primary Whiteley numerical result is unavailable, and the trial did not establish equivalence between treatments. Pooled before-after utilization changes do not represent randomized between-group effects.</w:t>
      </w:r>
    </w:p>
    <w:p>
      <w:r>
        <w:t>Study characteristics: eligibility population: High medical utilizers with elevated somatization/hypochondriacal HA screening above predetermined cutoff; registry explicitly requires average hypochondriasis screening score; age category: Eligibility 18-70; randomized sample: reported CBT: 59; reported RT: 30; clusters total: 6; intervention and duration: Stepped CBT plus physician education; comparator: Relaxation training, active psychological comparator; assessment timing: HAI model summaries at six and twelve months; primary Whiteley numerical contrast unavailable; public source locator: PDF p 2 population/design; pp 3-4 outcomes/models; Table 2; paper NCT00368212; archived ClinicalTrials.gov eligibility section; source access: Original Methods and relevant results/table sources available in the source audit; this does not imply independent human duplicate review</w:t>
      </w:r>
    </w:p>
    <w:p>
      <w:r>
        <w:t>Numerical contribution: Missing primary Whiteley result; adjusted secondary HAI means/SE are not raw moments or a verified cluster-adjusted treatment contrast.</w:t>
      </w:r>
    </w:p>
    <w:p>
      <w:r>
        <w:t>Source: Barsky Arthur J; Ahern David K; Bauer Mark R; Nolido Nyryan; Orav E John. (2013). A randomized trial of treatments for high-utilizing somatizing patients. https://doi.org/10.1007/s11606-013-2392-6</w:t>
      </w:r>
    </w:p>
    <w:p>
      <w:pPr>
        <w:pStyle w:val="Heading2"/>
      </w:pPr>
      <w:r>
        <w:t>23 Bourgault-Fagnou 2013</w:t>
      </w:r>
    </w:p>
    <w:p>
      <w:r>
        <w:t>Bourgault-Fagnou and Hadjistavropoulos compared two forms of CBT with waiting list in older adults with subclinical but elevated health anxiety. Related active arms are combined for one comparison. The six-week summaries include last-observation-carried-forward values and remain labelled as such in the exploratory waiting-list analysis.</w:t>
      </w:r>
    </w:p>
    <w:p>
      <w:r>
        <w:t>Study characteristics: eligibility population: Whiteley Index ≥8; full DSM-IV hypochondriasis not required; age category: Older-adult sample; planned ≥60 years, with two participants aged 57 admitted; randomized sample: 57 randomized: standard CBT 21, enhanced CBT 18, waiting list 18; intervention and duration: Standard or enhanced individual CBT, six weekly one-hour sessions; comparator: Six-week waiting list, then offered treatment; assessment timing: Six-week endpoint; three-month follow-up in active treatment groups; LOCF and observed denominators distinguished; public source locator: Participants and Procedure; Figure 1; Table 2; source access: Original Methods and relevant results/table sources available in the source audit; this does not imply independent human duplicate review</w:t>
      </w:r>
    </w:p>
    <w:p>
      <w:r>
        <w:t>Numerical contribution: At least one source-verified current Stata result; available outcomes are not exhaustive.</w:t>
      </w:r>
    </w:p>
    <w:p>
      <w:r>
        <w:t>Source: Bourgault-Fagnou Michelle D; Hadjistavropoulos Heather D. (2013). A randomized trial of two forms of cognitive behaviour therapy for an older adult population with subclinical health anxiety. https://doi.org/10.1080/16506073.2012.717302</w:t>
      </w:r>
    </w:p>
    <w:p>
      <w:pPr>
        <w:pStyle w:val="Heading2"/>
      </w:pPr>
      <w:r>
        <w:t>24 McManus 2012</w:t>
      </w:r>
    </w:p>
    <w:p>
      <w:r>
        <w:t>McManus et al. evaluated mindfulness-based cognitive therapy plus unrestricted services against unrestricted services. SHAI is a standardized component of the trial health-anxiety composite, not the composite itself. Post-treatment and one-year LOCF results share participants; the post-treatment missing-data appraisal does not automatically apply to the later endpoint.</w:t>
      </w:r>
    </w:p>
    <w:p>
      <w:r>
        <w:t>Study characteristics: eligibility population: Principal DSM-IV-TR hypochondriasis assessed with SCID; age category: Adults, eligibility 18–65 years; randomized sample: 74 randomized: MBCT 36, unrestricted services 38; intervention and duration: Eight-week mindfulness-based cognitive therapy plus unrestricted services; comparator: Unrestricted services alone; assessment timing: Immediately postintervention and one year later; SHAI is a component of the composite, with LOCF analyses; public source locator: Participants and Procedure; participant flow; Table 2; source access: Original Methods and relevant results/table sources available in the source audit; this does not imply independent human duplicate review</w:t>
      </w:r>
    </w:p>
    <w:p>
      <w:r>
        <w:t>Numerical contribution: At least one source-verified current Stata result; available outcomes are not exhaustive.</w:t>
      </w:r>
    </w:p>
    <w:p>
      <w:r>
        <w:t>Source: McManus Freda; Surawy Christina; Muse Kate; Vazquez-Montes Maria; Williams J Mark G. (2012). A randomized clinical trial of mindfulness-based cognitive therapy versus unrestricted services for health anxiety (hypochondriasis). https://doi.org/10.1037/a0028782</w:t>
      </w:r>
    </w:p>
    <w:p>
      <w:pPr>
        <w:pStyle w:val="Heading2"/>
      </w:pPr>
      <w:r>
        <w:t>25 Hedman 2011</w:t>
      </w:r>
    </w:p>
    <w:p>
      <w:r>
        <w:t>Hedman et al. compared guided internet CBT with a moderated discussion forum. The observed twelve-week HAI contrast favours CBT in the extracted result. This is an attention-control comparison rather than a strict waiting-list trial, and participant-rated outcomes remain susceptible to allocation-awareness bias.</w:t>
      </w:r>
    </w:p>
    <w:p>
      <w:r>
        <w:t>Study characteristics: eligibility population: Diagnosed hypochondriasis; eligibility established in structured clinical assessment; age category: Adult trial; exact entry-age bounds not restated without verification; randomized sample: 81 randomized: internet CBT 40, forum 41; intervention and duration: Guided internet CBT, twelve weeks; comparator: Moderated online discussion forum/minimal attention; assessment timing: Twelve-week endpoint before control crossover; public source locator: Methods/Design; Figure 1 and Table 3; source access: Original Methods and relevant results/table sources available in the source audit; this does not imply independent human duplicate review</w:t>
      </w:r>
    </w:p>
    <w:p>
      <w:r>
        <w:t>Numerical contribution: At least one source-verified current Stata result; available outcomes are not exhaustive.</w:t>
      </w:r>
    </w:p>
    <w:p>
      <w:r>
        <w:t>Source: Hedman Erik; Andersson Gerhard; Andersson Erik; Ljótsson Brjánn; Rück Christian; Asmundson Gordon J G; Lindefors Nils. (2011). Internet-based cognitive-behavioural therapy for severe health anxiety: randomised controlled trial. https://doi.org/10.1192/bjp.bp.110.086843</w:t>
      </w:r>
    </w:p>
    <w:p>
      <w:pPr>
        <w:pStyle w:val="Heading2"/>
      </w:pPr>
      <w:r>
        <w:t>26 Sørensen 2011</w:t>
      </w:r>
    </w:p>
    <w:p>
      <w:r>
        <w:t>Sørensen et al. compared CBT, short-term psychodynamic psychotherapy and waiting list. The initial six-month CBT–waiting-list and CBT–psychodynamic contrasts are distinct. Group delivery produces partial nesting; uncorrected raw variances are only sensitivity inputs and must not become a cluster-adjusted primary pooled estimate.</w:t>
      </w:r>
    </w:p>
    <w:p>
      <w:r>
        <w:t>Study characteristics: eligibility population: ICD-10 hypochondriasis and HAI-14 &gt;17; health anxiety principal complaint; age category: Eligibility 18-65; randomized sample: CBT: 20; STPP: 20; WL: 40; intervention and duration: 16-session CBT (8 individual, then8 group), including limited mindfulness exercises; comparator: Short-term psychodynamic psychotherapy (STPP) or WL; different strata; assessment timing: Approximately six months after randomization/completion of sixteen sessions, before waiting-list rerandomization; public source locator: PDF pp 2-5 Methods; Figure 1 p 6; Table 2 p 7; Table 4 later combined cohorts; source access: Original Methods and relevant results/table sources available in the source audit; this does not imply independent human duplicate review</w:t>
      </w:r>
    </w:p>
    <w:p>
      <w:r>
        <w:t>Numerical contribution: At least one source-verified current Stata result; available outcomes are not exhaustive.</w:t>
      </w:r>
    </w:p>
    <w:p>
      <w:r>
        <w:t>Source: Sørensen P; Birket-Smith M; Wattar U; Buemann I; Salkovskis P. (2011). A randomized clinical trial of cognitive behavioural therapy versus short-term psychodynamic psychotherapy versus no intervention for patients with hypochondriasis. https://doi.org/10.1017/s0033291710000292</w:t>
      </w:r>
    </w:p>
    <w:p>
      <w:pPr>
        <w:pStyle w:val="Heading2"/>
      </w:pPr>
      <w:r>
        <w:t>27 Seivewright 2008</w:t>
      </w:r>
    </w:p>
    <w:p>
      <w:r>
        <w:t>Seivewright et al. studied brief CBT plus a booklet against an initial interview and ordinary clinic care in a genitourinary service. Raw available-case HAI results at three, six and twelve months are separately reported with their observed denominators and high missing-data/measurement risk. Treatment duration and boosters varied, so the twelve-month comparison is not a uniform treatment-free durability estimate.</w:t>
      </w:r>
    </w:p>
    <w:p>
      <w:r>
        <w:t>Study characteristics: eligibility population: Genitourinary-clinic participants with HAI ≥20; age category: Mixed-age adult-service eligibility 16–65 years; count aged 16–17 unavailable; randomized sample: 49 randomized: CBT 23, control 26; intervention and duration: Brief CBT plus manual, up to seven one-hour sessions; boosters if insufficient improvement; comparator: Initial assessment interview and ordinary clinic care without additional psychological input; assessment timing: Three, six and twelve months after randomization; variable session duration/boosters preclude a uniform treatment-free follow-up; public source locator: Methods, participant flow; Supplementary Tables DS1–DS3; source access: Original Methods and relevant results/table sources available in the source audit; this does not imply independent human duplicate review</w:t>
      </w:r>
    </w:p>
    <w:p>
      <w:r>
        <w:t>Numerical contribution: At least one source-verified current Stata result; available outcomes are not exhaustive.</w:t>
      </w:r>
    </w:p>
    <w:p>
      <w:r>
        <w:t>Source: Seivewright Helen; Green John; Salkovskis Paul; Barrett Barbara; Nur Ula; Tyrer Peter. (2008). Cognitive-behavioural therapy for health anxiety in a genitourinary medicine clinic: randomised controlled trial. https://doi.org/10.1192/bjp.bp.108.052936</w:t>
      </w:r>
    </w:p>
    <w:p>
      <w:pPr>
        <w:pStyle w:val="Heading2"/>
      </w:pPr>
      <w:r>
        <w:t>28 Greeven 2007</w:t>
      </w:r>
    </w:p>
    <w:p>
      <w:r>
        <w:t>Greeven et al. compared CBT with paroxetine and with pill placebo plus clinical management. The two available Whiteley endpoint contrasts share the CBT participants and answer different comparator questions. They are displayed separately and are not two independent trials or pooled together.</w:t>
      </w:r>
    </w:p>
    <w:p>
      <w:r>
        <w:t>Study characteristics: eligibility population: DSM-IV hypochondriasis; principal psychiatric problem when comorbid disorders present; age category: Adults, eligibility ≥18 years; randomized sample: CBT: 40; paroxetine: 37; placebo: 35; intervention and duration: Individual CBT, 6-16 sessions over 16 weeks; comparator: Pill placebo with clinical management, or paroxetine; separate strata; assessment timing: Week 16; Whiteley modified-ITT summaries differ from observed treatment-completer denominators; public source locator: PDF pp 1-4 / journal pp 91-94 Methods/flow/analysis; Table 4 PDF p 5 / p 95; source access: Original Methods and relevant results/table sources available in the source audit; this does not imply independent human duplicate review</w:t>
      </w:r>
    </w:p>
    <w:p>
      <w:r>
        <w:t>Numerical contribution: At least one source-verified current Stata result; available outcomes are not exhaustive.</w:t>
      </w:r>
    </w:p>
    <w:p>
      <w:r>
        <w:t>Source: Greeven Anja; van Balkom Anton J L M; Visser Sako; Merkelbach Jille W; van Rood Yanda R; van Dyck Richard; Van der Does A J Willem; Zitman Frans G; Spinhoven Philip. (2007). Cognitive behavior therapy and paroxetine in the treatment of hypochondriasis: a randomized controlled trial. https://doi.org/10.1176/ajp.2007.164.1.91</w:t>
      </w:r>
    </w:p>
    <w:p>
      <w:pPr>
        <w:pStyle w:val="Heading2"/>
      </w:pPr>
      <w:r>
        <w:t>29 Barsky 2004</w:t>
      </w:r>
    </w:p>
    <w:p>
      <w:r>
        <w:t>Barsky and Ahern evaluated CBT with physician consultation against usual medical care using cluster allocation. The primary twelve-month Whiteley result is retained in the narrative and risk-of-bias assessment, but a verified control-mean inconsistency prevents a defensible reconstructed contrast. A raw individual-level standard error would also fail to preserve the cluster design.</w:t>
      </w:r>
    </w:p>
    <w:p>
      <w:r>
        <w:t>Study characteristics: eligibility population: Repeated elevated hypochondriasis questionnaire screening on two occasions; primary-care patients and recruited volunteers; age category: Adult sample; exact age bounds not restated without verification; randomized sample: 187 assigned: CBT 102, usual care 85; primary-care physician was allocation unit; intervention and duration: Six scripted individual CBT sessions plus consultation letter to the physician; comparator: Medical care as usual; assessment timing: Six and twelve months after treatment completion; clustered design and source inconsistency preserved; public source locator: Design/Participants; outcome tables; source access: Original Methods and relevant results/table sources available in the source audit; this does not imply independent human duplicate review</w:t>
      </w:r>
    </w:p>
    <w:p>
      <w:r>
        <w:t>Numerical contribution: Primary control-mean inconsistency and cluster design prevent reconstruction from retained audit.</w:t>
      </w:r>
    </w:p>
    <w:p>
      <w:r>
        <w:t>Source: Barsky Arthur J; Ahern David K. (2004). Cognitive behavior therapy for hypochondriasis: a randomized controlled trial. https://doi.org/10.1001/jama.291.12.1464</w:t>
      </w:r>
    </w:p>
    <w:p>
      <w:pPr>
        <w:pStyle w:val="Heading2"/>
      </w:pPr>
      <w:r>
        <w:t>30 Visser 2001</w:t>
      </w:r>
    </w:p>
    <w:p>
      <w:r>
        <w:t>Visser and Bouman compared cognitive therapy with exposure and response prevention. The extracted IAS health-anxiety-factor endpoint concerns the initial active groups after twelve weekly sessions. It is an active head-to-head contrast on a specific IAS factor, not a waiting-list estimate or interchangeable with a full IAS total.</w:t>
      </w:r>
    </w:p>
    <w:p>
      <w:r>
        <w:t>Study characteristics: eligibility population: Primary DSM-IV hypochondriasis; other principal psychiatric problems excluded; age category: Adults, eligibility ≥18 years; randomized sample: all randomized: 78; initial CT: not reported; initial ERP: not reported; initial WL: not reported; intervention and duration: Cognitive therapy or exposure plus response prevention; comparator: Head-to-head CT/ERP and 12-week waiting list; assessment timing: Twelve weekly sessions before waiting-list crossover; initial active-treatment observed endpoint 20/22; public source locator: PDF p 3 / journal p 425 inclusion; p 5 / p 427 design; p 8 / p 430 measures; pp 9-11 / pp 431-433 Results/Table 2; source access: Original Methods and relevant results/table sources available in the source audit; this does not imply independent human duplicate review</w:t>
      </w:r>
    </w:p>
    <w:p>
      <w:r>
        <w:t>Numerical contribution: At least one source-verified current Stata result; available outcomes are not exhaustive.</w:t>
      </w:r>
    </w:p>
    <w:p>
      <w:r>
        <w:t>Source: Visser S; Bouman T K. (2001). The treatment of hypochondriasis: exposure plus response prevention vs cognitive therapy. https://doi.org/10.1016/s0005-7967(00)00022-x</w:t>
      </w:r>
    </w:p>
    <w:p>
      <w:pPr>
        <w:pStyle w:val="Heading2"/>
      </w:pPr>
      <w:r>
        <w:t>31 Fava 2000</w:t>
      </w:r>
    </w:p>
    <w:p>
      <w:r>
        <w:t>Fava et al. reported randomized explanatory therapy versus an initially concurrent waiting list in DSM-IV hypochondriasis. The primary abstract supports eligibility, but the original outcome instrument, arm-level result and uncertainty could not be verified. The trial remains included but numerically unestimable; it is not excluded because the full report was unavailable.</w:t>
      </w:r>
    </w:p>
    <w:p>
      <w:r>
        <w:t>Study characteristics: eligibility population: DSM-IV hypochondriasis; age category: Age eligibility/range not verified in the accessible primary abstract; randomized sample: 20 patients reportedly randomized; arm sizes not verified; intervention and duration: Individual explanatory therapy; session dose and controlled-endpoint timing not verified; comparator: Initially concurrent waiting list, later offered therapy; usual medical care in both groups; assessment timing: Initial controlled comparison timing unverified; six-month treated follow-up cannot establish concurrent controlled maintenance; public source locator: Publisher primary abstract; source access: Primary abstract available; full primary report not retrieved by cutoff</w:t>
      </w:r>
    </w:p>
    <w:p>
      <w:r>
        <w:t>Numerical contribution: Eligible on complete primary abstract; selected outcome and original numerical result unverified.</w:t>
      </w:r>
    </w:p>
    <w:p>
      <w:r>
        <w:t>Source: Fava G A; Grandi S; Rafanelli C; Fabbri S; Cazzaro M. (2000). Explanatory therapy in hypochondriasis. https://doi.org/10.4088/jcp.v61n0414</w:t>
      </w:r>
    </w:p>
    <w:p>
      <w:pPr>
        <w:pStyle w:val="Heading2"/>
      </w:pPr>
      <w:r>
        <w:t>32 Clark 1998</w:t>
      </w:r>
    </w:p>
    <w:p>
      <w:r>
        <w:t>Clark et al. compared cognitive therapy, behavioural stress management and an initial waiting list. The tabulated active-treatment groups include participants rerandomized after waiting, so those expanded groups cannot form an independent initial waiting-list contrast. Custom symptom ratings are described separately from validated health-anxiety scales; they are not silently relabelled as SHAI.</w:t>
      </w:r>
    </w:p>
    <w:p>
      <w:r>
        <w:t>Study characteristics: eligibility population: SCID DSM-III-R hypochondriasis ≥6 months, illness belief ≥30%, health worry the main problem; age category: Eligibility 18-60; randomized sample: initial CT: 16; initial BSM: 17; initial WL: 15; intervention and duration: CT, up to 16 weekly sessions over four months plus up to three boosters; comparator: Behavioural stress management or initial four-month WL; assessment timing: Four-month initial comparison, then waiting-list rerandomization; expanded active-arm summaries contain both recruitment waves; public source locator: PDF p 1 / journal p 218 inclusion; PDF p 3 / p 220 measures; Table 2 PDF p 5 / p 222 and allocation narrative; source access: Original Methods and relevant results/table sources available in the source audit; this does not imply independent human duplicate review</w:t>
      </w:r>
    </w:p>
    <w:p>
      <w:r>
        <w:t>Numerical contribution: For validated-scale primary synthesis: only custom symptom ratings; expanded two-wave active groups cannot be contrasted with initial waitlist.</w:t>
      </w:r>
    </w:p>
    <w:p>
      <w:r>
        <w:t>Source: Clark D M; Salkovskis P M; Hackmann A; Wells A; Fennell M; Ludgate J; Ahmad S; Richards H C; Gelder M. (1998). Two psychological treatments for hypochondriasis. A randomised controlled trial. https://doi.org/10.1192/bjp.173.3.218</w:t>
      </w:r>
    </w:p>
    <w:p>
      <w:pPr>
        <w:pStyle w:val="Heading2"/>
      </w:pPr>
      <w:r>
        <w:t>33 Warwick 1996</w:t>
      </w:r>
    </w:p>
    <w:p>
      <w:r>
        <w:t>Warwick et al. compared individual CBT with a four-month waiting list in 32 adults with diagnosed hypochondriasis. Custom health-worry ratings favoured CBT in the report, but their psychometric status differs from the validated-scale primary outcome. The study is retained narratively, with any numerical custom-rating analysis confined to a clearly labelled secondary sensitivity; later treated controls do not constitute a new trial.</w:t>
      </w:r>
    </w:p>
    <w:p>
      <w:r>
        <w:t>Study characteristics: eligibility population: SCID DSM-III-R hypochondriasis, at least six months; GP/psychiatric referrals to Oxford outpatient service; age category: Eligibility 18-60; observed 20-53; randomized sample: CBT: 16; WL: 16; intervention and duration: Individual CBT, up to 16 sessions over four months; comparator: Four-month waiting list, then offered CBT; assessment timing: Four-month initial randomized comparison; subsequent three-month treated follow-up lacks an untreated randomized control; public source locator: PDF pp 2-3 / journal pp 190-191 Methods and Measures; Table 1 PDF p 4 / journal p 192; source access: Original Methods and relevant results/table sources available in the source audit; this does not imply independent human duplicate review</w:t>
      </w:r>
    </w:p>
    <w:p>
      <w:r>
        <w:t>Numerical contribution: For validated-scale primary synthesis: custom symptom ratings. A separate custom-outcome sensitivity is numerically feasible with its own rationale.</w:t>
      </w:r>
    </w:p>
    <w:p>
      <w:r>
        <w:t>Source: Warwick H M; Clark D M; Cobb A M; Salkovskis P M. (1996). A controlled trial of cognitive-behavioural treatment of hypochondriasis. https://doi.org/10.1192/bjp.169.2.189</w:t>
      </w:r>
    </w:p>
    <w:p>
      <w:pPr>
        <w:pStyle w:val="Heading2"/>
      </w:pPr>
      <w:r>
        <w:t>34 Bailey 2024</w:t>
      </w:r>
    </w:p>
    <w:p>
      <w:r>
        <w:t>Bailey and Wells randomized 20 participants to metacognitive therapy or waiting list. The recovered publisher table supports a large unadjusted Whiteley endpoint contrast with complete post-treatment data. This small unmasked pilot does not establish superiority over active therapy; its later metacognitive-therapy follow-up has no concurrent randomized control. The refreshed appraisal replaces the obsolete missing-table concern.</w:t>
      </w:r>
    </w:p>
    <w:p>
      <w:r>
        <w:t>Study characteristics: eligibility population: DSM-IV-guided screening plus WI-7 ≥4 and bodily preoccupation ≥6; age category: Adult sample; exact age limits not restated without verification; randomized sample: 20 published randomized participants, 10/10; registry reports 21; intervention and duration: Metacognitive therapy; exact session schedule not restated without verification; comparator: Waiting list; assessment timing: Post-treatment randomized comparison; later MCT-only follow-up has no concurrent control; public source locator: Publisher Methods/Results and outcome table; NCT02404116; source access: Indexed original publisher/author report text and tables inspected; direct full-PDF visual verification not claimed</w:t>
      </w:r>
    </w:p>
    <w:p>
      <w:r>
        <w:t>Numerical contribution: At least one source-verified current Stata result; available outcomes are not exhaustive.</w:t>
      </w:r>
    </w:p>
    <w:p>
      <w:r>
        <w:t>Source: Bailey, R., &amp; Wells, A. (2024). Feasibility and preliminary efficacy of metacognitive therapy for health anxiety: A pilot RCT. https://doi.org/10.1016/j.jadr.2024.100751</w:t>
      </w:r>
    </w:p>
    <w:p>
      <w:pPr>
        <w:pStyle w:val="Heading2"/>
      </w:pPr>
      <w:r>
        <w:t>35 Barghbani 2023</w:t>
      </w:r>
    </w:p>
    <w:p>
      <w:r>
        <w:t>Barghbani et al. tested Benson relaxation against no intervention in caregivers selected for elevated health anxiety. Endpoint and change-score comparisons give different interval-level conclusions and are displayed as distinct estimands, not interchangeable tests. Six participants lacked complete data; symptom evidence from this relaxation trial is kept separate from CBT and from service-use claims.</w:t>
      </w:r>
    </w:p>
    <w:p>
      <w:r>
        <w:t>Study characteristics: eligibility population: Caregivers selected for HAI-18 ≥20; age category: Adults, eligibility 18–65 years; randomized sample: 60 randomized, 30/30; observed endpoint 26/28; intervention and duration: Benson relaxation twice daily for three weeks; comparator: No intervention; assessment timing: Three-week endpoint; endpoint and change scores are different estimands; public source locator: Methods; participant flow and outcome table; IRCT20210712051849N2; source access: Original Methods and relevant results/table sources available in the source audit; this does not imply independent human duplicate review</w:t>
      </w:r>
    </w:p>
    <w:p>
      <w:r>
        <w:t>Numerical contribution: At least one source-verified current Stata result; available outcomes are not exhaustive.</w:t>
      </w:r>
    </w:p>
    <w:p>
      <w:r>
        <w:t>Source: Barghbani et al. (2023). Investigating the effects of the virtual training of the Benson relaxation technique on illness anxiety disorder among the informal caregivers of COVID-19 patients: A randomized clinical trial. https://doi.org/10.32598/JRH.13.2.2111.1</w:t>
      </w:r>
    </w:p>
    <w:p>
      <w:pPr>
        <w:pStyle w:val="Heading2"/>
      </w:pPr>
      <w:r>
        <w:t>36 Skjernov 2017 CHAG</w:t>
      </w:r>
    </w:p>
    <w:p>
      <w:r>
        <w:t>The CHAG thesis trial compared group CBT with a waiting-list condition that allowed supportive general-practice contacts. Its available model change contrast is six months after the core course, approximately nine months after randomization and three months after a planned booster. Baseline imbalance and the change-score estimand prevent direct substitution into an end-of-treatment raw-endpoint pool.</w:t>
      </w:r>
    </w:p>
    <w:p>
      <w:r>
        <w:t>Study characteristics: eligibility population: Fink severe health anxiety and WI-7 ≥21.4/100; age category: Adults, eligibility 18–65 years; randomized sample: 84 randomized, 42/42; not the separate 14-person pilot; intervention and duration: Twelve-week group CBT course with planned booster three months later; comparator: Nine-month waiting list allowing supportive general-practice contacts; assessment timing: Primary endpoint six months after core course, nine months after randomization and three months after planned booster; public source locator: Thesis Paper III, Methods and outcome table; NCT02131883; source access: Original Methods and relevant results/table sources available in the source audit; this does not imply independent human duplicate review</w:t>
      </w:r>
    </w:p>
    <w:p>
      <w:r>
        <w:t>Numerical contribution: At least one source-verified current Stata result; available outcomes are not exhaustive.</w:t>
      </w:r>
    </w:p>
    <w:p>
      <w:r>
        <w:t>Source: Skjernov (2017). Group cognitive behaviour therapy for severe health anxiety: A randomised controlled trial; Personality disorders and traits in severe health anxiety. Doctoral dissertation, University of Copenhagen. https://pure.regsj.dk/ws/portalfiles/portal/23440634/PhD_thesis_Mathias_Skjernov.pdf</w:t>
      </w:r>
    </w:p>
    <w:p>
      <w:pPr>
        <w:pStyle w:val="Heading2"/>
      </w:pPr>
      <w:r>
        <w:t>37 Schwind 2016</w:t>
      </w:r>
    </w:p>
    <w:p>
      <w:r>
        <w:t>Schwind et al. compared external attention training, body-directed attention and no training for one week in 54 elevated-health-anxiety participants. The two displayed IAS contrasts share the external-training arm. The apparent endpoint difference against body-directed training closely mirrors baseline imbalance, and the source interaction was nonsignificant; the trial does not establish superiority on health anxiety or permit substitution of emotional-Stroop effects.</w:t>
      </w:r>
    </w:p>
    <w:p>
      <w:r>
        <w:t>Study characteristics: eligibility population: IAS bodily-preoccupation score &gt;5.5; selected elevated-health-anxiety sample; age category: Adults, observed 19–36 years; randomized sample: 54 randomized, 18 each to external attention, body-directed attention and no training; intervention and duration: Ten-minute attention-training instruction followed by daily practice for one week; comparator: Body-directed attention training or no training, separately compared; assessment timing: One-week IAS endpoint; contrasts share external-training arm; public source locator: Primary Methods and outcome table; source access: Indexed original publisher/author report text and tables inspected; direct full-PDF visual verification not claimed</w:t>
      </w:r>
    </w:p>
    <w:p>
      <w:r>
        <w:t>Numerical contribution: At least one source-verified current Stata result; available outcomes are not exhaustive.</w:t>
      </w:r>
    </w:p>
    <w:p>
      <w:r>
        <w:t>Source: Schwind, J., Gropalis, M., Witthöft, M., &amp; Weck, F. (2016). The effects of attention training on health anxiety: An experimental investigation. https://doi.org/10.1007/s10608-015-9745-x</w:t>
      </w:r>
    </w:p>
    <w:p>
      <w:pPr>
        <w:pStyle w:val="Heading2"/>
      </w:pPr>
      <w:r>
        <w:t>38 Bovell 2012</w:t>
      </w:r>
    </w:p>
    <w:p>
      <w:r>
        <w:t>Bovell studied guided CBT self-help against waiting list in a small feasibility trial with ten versus four randomized participants. The nominal LOCF and observed-completer endpoints are alternative representations of the same trial. Their influence is examined through replacement sensitivity analyses rather than entering both rows into a pool.</w:t>
      </w:r>
    </w:p>
    <w:p>
      <w:r>
        <w:t>Study characteristics: eligibility population: Whiteley-14 ≥8; age category: Adults; observed 20–57 years; randomized sample: 14 randomized: self-help 10, waiting list 4; observed endpoint 6/4; intervention and duration: Eight-week CBT self-help book with weekly 10–30-minute facilitator contact, in person or by telephone; comparator: Waiting list before crossover; assessment timing: Eight-week endpoint; nominal LOCF and observed results are alternatives; public source locator: Thesis Methods, CONSORT figure and Table 8; source access: Original Methods and relevant results/table sources available in the source audit; this does not imply independent human duplicate review</w:t>
      </w:r>
    </w:p>
    <w:p>
      <w:r>
        <w:t>Numerical contribution: At least one source-verified current Stata result; available outcomes are not exhaustive.</w:t>
      </w:r>
    </w:p>
    <w:p>
      <w:r>
        <w:t>Source: Bovell, C. V. (2012). Randomized controlled feasibility trial of a self-help book for health anxiety. Doctoral dissertation, University of Regina. https://www.collectionscanada.gc.ca/obj/thesescanada/vol2/SRU/TC-SRU-3566.pdf</w:t>
      </w:r>
    </w:p>
    <w:p>
      <w:pPr>
        <w:pStyle w:val="Heading2"/>
      </w:pPr>
      <w:r>
        <w:t>39 Du 2024</w:t>
      </w:r>
    </w:p>
    <w:p>
      <w:r>
        <w:t>Du et al. randomized 228 elevated-health-anxiety participants to positive interpretation training, mixed-feedback attention control or waiting list. The published day-twelve standardized contrasts were -0.50 (95% CI -0.82 to -0.18) against mixed feedback and -0.21 (-0.53 to 0.11) against waiting list. These are transcribed author-reported effects in an imputation/model analysis context; the table means are not certified raw observed moments and are not used for a new standardized reconstruction. The contrasts share an active arm.</w:t>
      </w:r>
    </w:p>
    <w:p>
      <w:r>
        <w:t>Study characteristics: eligibility population: Chinese SHAI-18 ≥15; age category: Adults, eligibility 18–65 years; randomized sample: 228 randomized, 76 each to positive interpretation training, mixed feedback and waiting list; intervention and duration: Computerized positive interpretation training; day-12 endpoint; comparator: Mixed-feedback attention control or waiting list; contrasts share an active arm; assessment timing: Day 12; author-reported imputation/model effects, not certified raw moments; public source locator: Primary Methods and outcome table; OSF 8QANC; source access: Original Methods and relevant results/table sources available in the source audit; this does not imply independent human duplicate review</w:t>
      </w:r>
    </w:p>
    <w:p>
      <w:r>
        <w:t>Numerical contribution: Published effects/CI can be displayed as reported; exact construction of table estimates is uncertain, so not released as raw SMD inputs.</w:t>
      </w:r>
    </w:p>
    <w:p>
      <w:r>
        <w:t>Source: Du, X., Lai, L., Shi, C., Guo, Z., Han, J., Zhang, T., &amp; Ren, Z. (2024). Internet-based cognitive bias modification of interpretation in health anxiety: A randomized controlled trial. Acta Psychologica Sinica, 56(10), 1351–1366. https://doi.org/10.3724/SP.J.1041.2024.01351</w:t>
      </w:r>
    </w:p>
    <w:p>
      <w:pPr>
        <w:pStyle w:val="Heading2"/>
      </w:pPr>
      <w:r>
        <w:t>40 Buwalda 2007</w:t>
      </w:r>
    </w:p>
    <w:p>
      <w:r>
        <w:t>Buwalda et al. compared cognitive-behavioural with problem-solving psychoeducation in 48 adults with diagnosed hypochondriasis. The original report explicitly claims randomization, so the study is retained with uncertain sequence and course-level allocation. Its treatment-by-time terms, incomplete endpoint denominators and unadjusted course correlation do not provide a verified pooled endpoint contrast. Across-course improvement is not evidence of a randomized between-treatment effect.</w:t>
      </w:r>
    </w:p>
    <w:p>
      <w:r>
        <w:t>Study characteristics: eligibility population: DSM-IV hypochondriasis assessed with condensed ADIS; age category: Adults, &gt;18 years; randomized sample: 48 reported participants; 25/23 arm counts would be reconstructed from completers/dropouts, not directly reported allocation. Course-level unit/sequence unclear; intervention and duration: Cognitive-behavioural psychoeducation, six weekly two-hour group sessions plus booster four weeks later; comparator: Matched problem-solving psychoeducation course; assessment timing: Post-course six weeks, then one- and six-month follow-up; course correlation uncorrected; public source locator: Original Methods, Table 1 and model-results pages; source access: Original Methods and relevant results/table sources available in the source audit; this does not imply independent human duplicate review</w:t>
      </w:r>
    </w:p>
    <w:p>
      <w:r>
        <w:t>Numerical contribution: Author-reported randomization retained with uncertain course-level allocation; endpoint contrast coding, outcome N and course-adjusted uncertainty are unresolved.</w:t>
      </w:r>
    </w:p>
    <w:p>
      <w:r>
        <w:t>Source: Buwalda Femke M; Bouman Theo K; van Duijn Marijtje A J. (2007). Psychoeducation for hypochondriasis: a comparison of a cognitive-behavioural approach and a problem-solving approach. https://doi.org/10.1016/j.brat.2006.08.004</w:t>
      </w:r>
    </w:p>
    <w:p>
      <w:pPr>
        <w:pStyle w:val="Heading2"/>
      </w:pPr>
      <w:r>
        <w:t>41 Liao 2026</w:t>
      </w:r>
    </w:p>
    <w:p>
      <w:r>
        <w:t>Liao et al. randomized 60 adults with illness-anxiety disorder to prescribed health-related or leisure videos on identical agomelatine and pregabalin treatment. The preprint reports higher, worse SHAI values in the health-video group at week four (16.50 versus 11.43), so it does not support superiority of health-related content. The dispersion notation is undefined and analysis selects 55 whole-study completers; no effect with verified uncertainty is reconstructed. Both week-four and week-twelve results have high-risk appraisals. This comparison cannot establish medication efficacy or a standard CBT effect.</w:t>
      </w:r>
    </w:p>
    <w:p>
      <w:r>
        <w:t>Study characteristics: eligibility population: DSM-5 illness anxiety disorder, HAMA ≥14; medication-naive or at least two-week psychotropic washout; age category: Adults, eligibility 18–65 years; randomized sample: 60 randomized, 30/30; analysis selected 55 whole-study completers and week-specific outcome Ns remain unclear; intervention and duration: Health-related videos on anxiety/somatic interpretation, two hours daily at 18:00 for four weeks, screen-sharing monitored; comparator: Leisure videos at matched dose; both arms received agomelatine 25 mg nightly and pregabalin 75 mg twice daily; assessment timing: Weeks 4 and 12; dispersion notation undefined. Preprint, posted 29 June 2026; public source locator: Preprint Methods 2.1–2.6, Results 3.1–3.5 and outcome table; source access: Complete primary preprint available and inspected</w:t>
      </w:r>
    </w:p>
    <w:p>
      <w:r>
        <w:t>Numerical contribution: Dispersion symbol not defined; time-specific all-available SHAI N not reported and whole-study completion selection; no verified adjusted contrast/variance.</w:t>
      </w:r>
    </w:p>
    <w:p>
      <w:r>
        <w:t>Source: Liao Y, Wang W, Fang Y, Zhang W, Song S, Zhang K.. (2026). Impact of Short Videos on Agomelatine and Pregabalin Efficacy for Illness Anxiety Disorder: A Randomized Controlled Trial https://doi.org/10.21203/rs.3.rs-9566804/v1</w:t>
      </w:r>
    </w:p>
    <w:p>
      <w:pPr>
        <w:pStyle w:val="Heading2"/>
      </w:pPr>
      <w:r>
        <w:t>42 Shabahang 2020 and 2021</w:t>
      </w:r>
    </w:p>
    <w:p>
      <w:r>
        <w:t>The Shabahang 2020 group-treatment and 2021 video/booklet reports describe pandemic-linked illness-anxiety samples with unresolved participant overlap. They remain separate report descriptions without a claim of two independent trials. The 2021 observed endpoint can be displayed on its own, but the reports must never enter the same pool as independent samples; neither is automatically added to generic CBT waiting-list synthesis.</w:t>
      </w:r>
    </w:p>
    <w:p>
      <w:r>
        <w:t>Study characteristics: eligibility population: Both reports specify DSM-5 illness-anxiety criteria in pandemic-linked student samples; additional COVID-anxiety instruments differ; age category: Adults: 2020 Methods 18–30 (abstract 18–32); 2021 eligibility 18–40; randomized sample: 2020 reports 150 allocated, 75/75, without separate outcome-specific flow; 2021 randomized 152, 76/76, analyzed 150, 75/75. Unknown overlap prevents addition into a unique-person total; intervention and duration: 2020 group CBT: ten 90-minute sessions, five days/week. 2021 self-administered nine videos plus booklet, three sessions/week for three weeks; comparator: Waiting list/no intervention in each report; assessment timing: Immediate postintervention; no later controlled follow-up. Reports retained separately within one conservative synthesis unit; public source locator: 2020 Methods/Table 1; 2021 Methods/Intervention, Figure 1/Table 1; source access: 2020 primary PDF and 2021 primary full-text XML/flow inspected; participant independence unresolved</w:t>
      </w:r>
    </w:p>
    <w:p>
      <w:r>
        <w:t>Numerical contribution: Two primary reports grouped conservatively; neither confirmed duplication nor confirmed participant independence.</w:t>
      </w:r>
    </w:p>
    <w:p>
      <w:r>
        <w:t>Source: Shabahang (2020), group cognitive-behavioural intervention; Shabahang, Aruguete, and McCutcheon (2021), video-based cognitive-behavioural intervention. https://doi.org/10.15557/PiPK.2020.0011; https://doi.org/10.47626/2237-6089-2020-0056</w:t>
      </w:r>
    </w:p>
    <w:p>
      <w:r>
        <w:t>Eligible_unestimable means that the specified validated-health-anxiety numerical synthesis lacks a usable result; it does not mean that the study was excluded.</w:t>
      </w:r>
    </w:p>
    <w:p>
      <w:r>
        <w:t>Du 2024 has transcribable author-reported effects but no raw reconstruction in the 45-row numerical set.</w:t>
      </w:r>
    </w:p>
    <w:p>
      <w:r>
        <w:t>Fava 2000 is retained on primary-abstract eligibility evidence, with its original numerical result unavailable.</w:t>
      </w:r>
    </w:p>
    <w:p>
      <w:r>
        <w:t>The short-video preprint by Liao et al. remains included despite an unfavourable direction for the health-related-video condition; eligibility is independent of result direction.</w:t>
      </w:r>
    </w:p>
    <w:p>
      <w:r>
        <w:t>Weck 2013 (https://doi.org/10.1007/s10608-012-9482-3) is linked by explicit report/registry cross-reference to Weck 2015 (https://doi.org/10.1037/ccp0000013), adding no independent trial or completed-treatment endpoint.</w:t>
      </w:r>
    </w:p>
    <w:p>
      <w:r>
        <w:t>Characteristics distinguish randomized allocation from observed, modeled and eligible-subgroup denominators. Unverified age limits, treatment doses and outcome Ns are stated explicitly rather than inferred from means, equal allocation or participant attendance. Source access reflects the materials actually inspected, not independent human verification.</w:t>
      </w:r>
    </w:p>
    <w:p>
      <w:pPr>
        <w:pStyle w:val="Heading1"/>
      </w:pPr>
      <w:r>
        <w:t>Table S2 Certainty for ten finite comparisons</w:t>
      </w:r>
    </w:p>
    <w:p>
      <w:r>
        <w:t>These are finite-result profiles, not exhaustive outcome-wide GRADE ratings. The declared search sources and unavailable reports may have omitted relevant evidence; the direction and magnitude of any resulting bias cannot be quantified. Ratings must not be extended to all CBT, all digital treatment, service coordination or safety. Current exact-Hedges results and original reported model confidence bounds are used.</w:t>
      </w:r>
    </w:p>
    <w:p>
      <w:pPr>
        <w:pStyle w:val="Heading2"/>
      </w:pPr>
      <w:r>
        <w:t>G01 Guided internet exposure-CBT versus moderated discussion forum</w:t>
      </w:r>
    </w:p>
    <w:p>
      <w:r>
        <w:t>HAI-64 severity; raw endpoint Hedges g; 12-week end of assigned intervention. Hedges g -1.601 (95% CI -2.098 to -1.104). Certainty: Low.</w:t>
      </w:r>
    </w:p>
    <w:p>
      <w:r>
        <w:t>One level is deducted for participant-rated measurement susceptible to allocation awareness; the RoB algorithm treats unavailable evidence about likely influence as high risk, which does not prove distortion. One level is deducted for limited precision of magnitude from one modest-sized trial. The interval supports benefit on this scale, but no validated clinical importance threshold was specified.</w:t>
      </w:r>
    </w:p>
    <w:p>
      <w:r>
        <w:t>Source: https://doi.org/10.1192/bjp.bp.110.086843</w:t>
      </w:r>
    </w:p>
    <w:p>
      <w:pPr>
        <w:pStyle w:val="Heading2"/>
      </w:pPr>
      <w:r>
        <w:t>G02 Internet CBT versus internet behavioural stress management</w:t>
      </w:r>
    </w:p>
    <w:p>
      <w:r>
        <w:t>HAI-64 severity; raw endpoint Hedges g; 12-week end of treatment. Hedges g -0.263 (95% CI -0.582 to 0.056). Certainty: Low.</w:t>
      </w:r>
    </w:p>
    <w:p>
      <w:r>
        <w:t>One level is deducted for combined measurement and result-selection concerns, and one for an interval compatible with no difference and potentially material CBT benefit. The raw endpoint differs from the longitudinal primary analysis; failure to exclude zero is not equivalence.</w:t>
      </w:r>
    </w:p>
    <w:p>
      <w:r>
        <w:t>Source: https://doi.org/10.1192/bjp.bp.113.140913</w:t>
      </w:r>
    </w:p>
    <w:p>
      <w:pPr>
        <w:pStyle w:val="Heading2"/>
      </w:pPr>
      <w:r>
        <w:t>G03 Internet CBT versus online psychoeducation with monitoring/support</w:t>
      </w:r>
    </w:p>
    <w:p>
      <w:r>
        <w:t>SHAI severity; published standardized model contrast; Report: 12 weeks; registry: week 13. This timing discrepancy is retained.. Hedges g -1.390 (95% CI -1.930 to -0.870). Certainty: Low.</w:t>
      </w:r>
    </w:p>
    <w:p>
      <w:r>
        <w:t>One level is deducted for missing-outcome bias concerns and one for limited information and uncertainty in effect magnitude. Original asymmetric published confidence bounds are retained. Model-analysis denominators must not be presented as complete observed endpoints.</w:t>
      </w:r>
    </w:p>
    <w:p>
      <w:r>
        <w:t>Source: https://doi.org/10.1037/ccp0000248</w:t>
      </w:r>
    </w:p>
    <w:p>
      <w:pPr>
        <w:pStyle w:val="Heading2"/>
      </w:pPr>
      <w:r>
        <w:t>G04 Internet CBT versus face-to-face CBT</w:t>
      </w:r>
    </w:p>
    <w:p>
      <w:r>
        <w:t>HAI-18 severity (0–54); raw endpoint Hedges g; 12-week end of treatment. Hedges g 0.069 (95% CI -0.211 to 0.350). Certainty: Low.</w:t>
      </w:r>
    </w:p>
    <w:p>
      <w:r>
        <w:t>One level is deducted for combined unmasked self-rating and result-selection concerns, and one for an interval spanning small benefits in either direction. This observed endpoint has no noninferiority margin and cannot establish noninferiority or equivalence.</w:t>
      </w:r>
    </w:p>
    <w:p>
      <w:r>
        <w:t>Source: https://doi.org/10.1001/jamapsychiatry.2020.0940</w:t>
      </w:r>
    </w:p>
    <w:p>
      <w:pPr>
        <w:pStyle w:val="Heading2"/>
      </w:pPr>
      <w:r>
        <w:t>G05 CBT for medical outpatients versus usual care</w:t>
      </w:r>
    </w:p>
    <w:p>
      <w:r>
        <w:t>HAI-14 severity; adjusted mean difference; 12 months from randomization. MD -2.970 (95% CI -4.370 to -1.570). Certainty: Moderate.</w:t>
      </w:r>
    </w:p>
    <w:p>
      <w:r>
        <w:t>One level is deducted for missing-outcome and participant-rated measurement concerns. No further precision downgrade is retained for the observed reduction with 444 randomized participants, but this is not proof that a prespecified minimally important difference was achieved. The mixed-age 16–75 cohort applies to adult services rather than exclusively adult participants.</w:t>
      </w:r>
    </w:p>
    <w:p>
      <w:r>
        <w:t>Source: https://doi.org/10.1016/s0140-6736(13)61905-4; https://doi.org/10.3310/hta21500</w:t>
      </w:r>
    </w:p>
    <w:p>
      <w:pPr>
        <w:pStyle w:val="Heading2"/>
      </w:pPr>
      <w:r>
        <w:t>G06 Remote CBT versus usual care in repeat users of unscheduled care</w:t>
      </w:r>
    </w:p>
    <w:p>
      <w:r>
        <w:t>HAI-14 severity; adjusted mean difference; 6 months from baseline/randomization. MD -2.810 (95% CI -5.110 to -0.500). Certainty: Low.</w:t>
      </w:r>
    </w:p>
    <w:p>
      <w:r>
        <w:t>One level is deducted for missing-outcome and measurement concerns, and one for a single modest trial with an interval ranging from a small to substantially larger HAI reduction. The six-month anchor is baseline/randomization rather than treatment completion.</w:t>
      </w:r>
    </w:p>
    <w:p>
      <w:r>
        <w:t>Source: https://doi.org/10.1186/s12916-019-1253-5</w:t>
      </w:r>
    </w:p>
    <w:p>
      <w:pPr>
        <w:pStyle w:val="Heading2"/>
      </w:pPr>
      <w:r>
        <w:t>G07 Group ACT versus waiting list plus usual care</w:t>
      </w:r>
    </w:p>
    <w:p>
      <w:r>
        <w:t>Whiteley-7 transformed 0–100; unadjusted model change contrast; 6 months after treatment; 10 months after randomization. MD -20.500 (95% CI -29.400 to -11.700). Certainty: Low.</w:t>
      </w:r>
    </w:p>
    <w:p>
      <w:r>
        <w:t>One level is deducted for missing-outcome and unmasked-measurement concerns, and one for uncertainty in the magnitude of benefit in a single modest-sized study. The clinical importance threshold was not fixed; a confidence interval favouring ACT does not establish a precise clinically important effect.</w:t>
      </w:r>
    </w:p>
    <w:p>
      <w:r>
        <w:t>Source: https://doi.org/10.1017/s0033291715001579</w:t>
      </w:r>
    </w:p>
    <w:p>
      <w:pPr>
        <w:pStyle w:val="Heading2"/>
      </w:pPr>
      <w:r>
        <w:t>G08 Internet ACT versus discussion forum</w:t>
      </w:r>
    </w:p>
    <w:p>
      <w:r>
        <w:t>Whiteley-7 transformed 0–100; unadjusted model change contrast; 6 months after treatment. MD -19.000 (95% CI -27.200 to -10.800). Certainty: Low.</w:t>
      </w:r>
    </w:p>
    <w:p>
      <w:r>
        <w:t>One level is deducted for high-risk missing-outcome and measurement domains, and one for limited information and uncertainty in magnitude. This internet-ACT/forum result cannot inherit evidence from group ACT versus waiting list without an explicit synthesis decision.</w:t>
      </w:r>
    </w:p>
    <w:p>
      <w:r>
        <w:t>Source: https://doi.org/10.1017/s0033291720001312</w:t>
      </w:r>
    </w:p>
    <w:p>
      <w:pPr>
        <w:pStyle w:val="Heading2"/>
      </w:pPr>
      <w:r>
        <w:t>G09 Interpretation-bias modification versus control</w:t>
      </w:r>
    </w:p>
    <w:p>
      <w:r>
        <w:t>SHAI-18 severity; raw endpoint Hedges g; Immediately after two online sessions over 1 week. Hedges g -0.255 (95% CI -0.686 to 0.176). Certainty: Low.</w:t>
      </w:r>
    </w:p>
    <w:p>
      <w:r>
        <w:t>One level is deducted for missing-outcome concern and one for an interval spanning no effect, possible benefit and possible harm. The finding applies to immediate short-course interpretation training; later follow-up and other bias-modification protocols are separate evidence.</w:t>
      </w:r>
    </w:p>
    <w:p>
      <w:r>
        <w:t>Source: https://doi.org/10.1016/j.jbtep.2019.101518</w:t>
      </w:r>
    </w:p>
    <w:p>
      <w:pPr>
        <w:pStyle w:val="Heading2"/>
      </w:pPr>
      <w:r>
        <w:t>G10 Attention modification versus matched attention control</w:t>
      </w:r>
    </w:p>
    <w:p>
      <w:r>
        <w:t>SHAI-18 severity; conditional raw endpoint Hedges g; After 4 weeks. Hedges g -0.224 (95% CI -0.865 to 0.417). Certainty: Very low.</w:t>
      </w:r>
    </w:p>
    <w:p>
      <w:r>
        <w:t>One level is deducted for missing-outcome concern and two for severe imprecision in only 36 observed participants, with an interval compatible with a large benefit and meaningful harm. The conditional dispersion interpretation adds an extraction limitation; this is a sensitivity finding, not a primary clinical estimate.</w:t>
      </w:r>
    </w:p>
    <w:p>
      <w:r>
        <w:t>Source: https://doi.org/10.1080/10615806.2014.918964</w:t>
      </w:r>
    </w:p>
    <w:p>
      <w:r>
        <w:t>Every profile contains one trial: inconsistency is not estimable, and a single-trial profile is not automatically downgraded for inconsistency.</w:t>
      </w:r>
    </w:p>
    <w:p>
      <w:r>
        <w:t>No publication-bias downgrade is applied merely because the number of studies is small. This does not establish absence of missing-evidence bias; no informative asymmetry test was available.</w:t>
      </w:r>
    </w:p>
    <w:p>
      <w:r>
        <w:t>No validated minimally important difference was imposed retrospectively. Estimates excluding zero do not by themselves establish clinical importance.</w:t>
      </w:r>
    </w:p>
    <w:p>
      <w:r>
        <w:t>The Lee attention-modification profile remains conditional on its dispersion interpretation and is a sensitivity result.</w:t>
      </w:r>
    </w:p>
    <w:p>
      <w:r>
        <w:t>Negative effects favour the first-listed intervention; the internet-versus-face-to-face endpoint is not a noninferiority or equivalence analysis.</w:t>
      </w:r>
    </w:p>
    <w:p>
      <w:pPr>
        <w:pStyle w:val="Heading1"/>
      </w:pPr>
      <w:r>
        <w:t>Table S3 Result specific risk of bias</w:t>
      </w:r>
    </w:p>
    <w:p>
      <w:r>
        <w:t>The table contains 57 appraisals, not 57 studies. It includes alternative comparisons and times, as well as the explicitly conditional Jones 2002 appraisal, which does not establish eligibility. Bailey uses the updated full-table appraisal; Kerstner, the Schwind body-attention contrast, three Seivewright raw endpoints and two Liao preprint time points are represented separately.</w:t>
      </w:r>
    </w:p>
    <w:p>
      <w:r>
        <w:t>D1 randomization; D2 deviations from intended interventions; D3 missing outcome data; D4 outcome measurement; D5 selection of reported result. L low risk; S some concerns; H high risk; U unavailable. Each row is an assessed result, not a separate trial. Full assessment identifiers and public source links are supplied in the accompanying structured data.</w:t>
      </w:r>
    </w:p>
    <w:tbl>
      <w:tblPr>
        <w:tblW w:type="auto" w:w="0"/>
        <w:jc w:val="center"/>
        <w:tblLayout w:type="fixed"/>
        <w:tblLook w:firstColumn="1" w:firstRow="1" w:lastColumn="0" w:lastRow="0" w:noHBand="0" w:noVBand="1" w:val="04A0"/>
      </w:tblPr>
      <w:tblGrid>
        <w:gridCol w:w="1129"/>
        <w:gridCol w:w="1129"/>
        <w:gridCol w:w="1129"/>
        <w:gridCol w:w="1129"/>
        <w:gridCol w:w="1129"/>
        <w:gridCol w:w="1129"/>
        <w:gridCol w:w="1129"/>
        <w:gridCol w:w="1129"/>
      </w:tblGrid>
      <w:tr>
        <w:trPr>
          <w:tblHeader/>
          <w:cantSplit/>
        </w:trPr>
        <w:tc>
          <w:tcPr>
            <w:tcW w:type="dxa" w:w="144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shd w:fill="E7E6E6"/>
          </w:tcPr>
          <w:p>
            <w:pPr>
              <w:keepNext/>
              <w:spacing w:line="240" w:lineRule="auto" w:after="60"/>
            </w:pPr>
            <w:r>
              <w:rPr>
                <w:b/>
                <w:sz w:val="18"/>
              </w:rPr>
              <w:t>Unit</w:t>
            </w:r>
          </w:p>
        </w:tc>
        <w:tc>
          <w:tcPr>
            <w:tcW w:type="dxa" w:w="439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shd w:fill="E7E6E6"/>
          </w:tcPr>
          <w:p>
            <w:pPr>
              <w:keepNext/>
              <w:spacing w:line="240" w:lineRule="auto" w:after="60"/>
            </w:pPr>
            <w:r>
              <w:rPr>
                <w:b/>
                <w:sz w:val="18"/>
              </w:rPr>
              <w:t>Outcome and time</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shd w:fill="E7E6E6"/>
          </w:tcPr>
          <w:p>
            <w:pPr>
              <w:keepNext/>
              <w:spacing w:line="240" w:lineRule="auto" w:after="60"/>
            </w:pPr>
            <w:r>
              <w:rPr>
                <w:b/>
                <w:sz w:val="18"/>
              </w:rPr>
              <w:t>D1</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shd w:fill="E7E6E6"/>
          </w:tcPr>
          <w:p>
            <w:pPr>
              <w:keepNext/>
              <w:spacing w:line="240" w:lineRule="auto" w:after="60"/>
            </w:pPr>
            <w:r>
              <w:rPr>
                <w:b/>
                <w:sz w:val="18"/>
              </w:rPr>
              <w:t>D2</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shd w:fill="E7E6E6"/>
          </w:tcPr>
          <w:p>
            <w:pPr>
              <w:keepNext/>
              <w:spacing w:line="240" w:lineRule="auto" w:after="60"/>
            </w:pPr>
            <w:r>
              <w:rPr>
                <w:b/>
                <w:sz w:val="18"/>
              </w:rPr>
              <w:t>D3</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shd w:fill="E7E6E6"/>
          </w:tcPr>
          <w:p>
            <w:pPr>
              <w:keepNext/>
              <w:spacing w:line="240" w:lineRule="auto" w:after="60"/>
            </w:pPr>
            <w:r>
              <w:rPr>
                <w:b/>
                <w:sz w:val="18"/>
              </w:rPr>
              <w:t>D4</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shd w:fill="E7E6E6"/>
          </w:tcPr>
          <w:p>
            <w:pPr>
              <w:keepNext/>
              <w:spacing w:line="240" w:lineRule="auto" w:after="60"/>
            </w:pPr>
            <w:r>
              <w:rPr>
                <w:b/>
                <w:sz w:val="18"/>
              </w:rPr>
              <w:t>D5</w:t>
            </w:r>
          </w:p>
        </w:tc>
        <w:tc>
          <w:tcPr>
            <w:tcW w:type="dxa" w:w="1037"/>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shd w:fill="E7E6E6"/>
          </w:tcPr>
          <w:p>
            <w:pPr>
              <w:keepNext/>
              <w:spacing w:line="240" w:lineRule="auto" w:after="60"/>
            </w:pPr>
            <w:r>
              <w:rPr>
                <w:b/>
                <w:sz w:val="18"/>
              </w:rPr>
              <w:t>Overall</w:t>
            </w:r>
          </w:p>
        </w:tc>
      </w:tr>
      <w:tr>
        <w:trPr>
          <w:cantSplit/>
        </w:trPr>
        <w:tc>
          <w:tcPr>
            <w:tcW w:type="dxa" w:w="144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1 WARWICK_1996_OXFORD_N32</w:t>
            </w:r>
          </w:p>
        </w:tc>
        <w:tc>
          <w:tcPr>
            <w:tcW w:type="dxa" w:w="439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Self-rated time spent worrying about health, custom 0-100 VAS; 16 weeks / four months, initial controlled phase</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L</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w:t>
            </w:r>
          </w:p>
        </w:tc>
        <w:tc>
          <w:tcPr>
            <w:tcW w:type="dxa" w:w="1037"/>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r>
      <w:tr>
        <w:trPr>
          <w:cantSplit/>
        </w:trPr>
        <w:tc>
          <w:tcPr>
            <w:tcW w:type="dxa" w:w="144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2 CLARK_1998_OXFORD_N48</w:t>
            </w:r>
          </w:p>
        </w:tc>
        <w:tc>
          <w:tcPr>
            <w:tcW w:type="dxa" w:w="439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Self-rated time seriously worried about health, custom 0-100 VAS; 16 weeks after starting active treatment</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L</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L</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w:t>
            </w:r>
          </w:p>
        </w:tc>
        <w:tc>
          <w:tcPr>
            <w:tcW w:type="dxa" w:w="1037"/>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w:t>
            </w:r>
          </w:p>
        </w:tc>
      </w:tr>
      <w:tr>
        <w:trPr>
          <w:cantSplit/>
        </w:trPr>
        <w:tc>
          <w:tcPr>
            <w:tcW w:type="dxa" w:w="144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3 VISSER_2001_N78</w:t>
            </w:r>
          </w:p>
        </w:tc>
        <w:tc>
          <w:tcPr>
            <w:tcW w:type="dxa" w:w="439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IAS Health Anxiety factor; M 2 immediately after 12 weekly treatment sessions</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w:t>
            </w:r>
          </w:p>
        </w:tc>
        <w:tc>
          <w:tcPr>
            <w:tcW w:type="dxa" w:w="1037"/>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r>
      <w:tr>
        <w:trPr>
          <w:cantSplit/>
        </w:trPr>
        <w:tc>
          <w:tcPr>
            <w:tcW w:type="dxa" w:w="144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4 NCT01119469</w:t>
            </w:r>
          </w:p>
        </w:tc>
        <w:tc>
          <w:tcPr>
            <w:tcW w:type="dxa" w:w="439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H-YBOCS cognitive subscale, clinician rated; Three-month post-treatment / post-wait endpoint</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L</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L</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w:t>
            </w:r>
          </w:p>
        </w:tc>
        <w:tc>
          <w:tcPr>
            <w:tcW w:type="dxa" w:w="1037"/>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r>
      <w:tr>
        <w:trPr>
          <w:cantSplit/>
        </w:trPr>
        <w:tc>
          <w:tcPr>
            <w:tcW w:type="dxa" w:w="144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5 GREEVEN_2007_N112</w:t>
            </w:r>
          </w:p>
        </w:tc>
        <w:tc>
          <w:tcPr>
            <w:tcW w:type="dxa" w:w="439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14-item Whiteley Index, 0-42; Week 16 end of treatment</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L</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w:t>
            </w:r>
          </w:p>
        </w:tc>
        <w:tc>
          <w:tcPr>
            <w:tcW w:type="dxa" w:w="1037"/>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r>
      <w:tr>
        <w:trPr>
          <w:cantSplit/>
        </w:trPr>
        <w:tc>
          <w:tcPr>
            <w:tcW w:type="dxa" w:w="144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6 NCT00208247</w:t>
            </w:r>
          </w:p>
        </w:tc>
        <w:tc>
          <w:tcPr>
            <w:tcW w:type="dxa" w:w="439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14-item HAI self report; Six months / 26 weeks after initial allocation</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L</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L</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w:t>
            </w:r>
          </w:p>
        </w:tc>
        <w:tc>
          <w:tcPr>
            <w:tcW w:type="dxa" w:w="1037"/>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r>
      <w:tr>
        <w:trPr>
          <w:cantSplit/>
        </w:trPr>
        <w:tc>
          <w:tcPr>
            <w:tcW w:type="dxa" w:w="144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7 NCT01158430</w:t>
            </w:r>
          </w:p>
        </w:tc>
        <w:tc>
          <w:tcPr>
            <w:tcW w:type="dxa" w:w="439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Whiteley-7 transformed 0-100; Ten months after randomization, six months after treatment end</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L</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w:t>
            </w:r>
          </w:p>
        </w:tc>
        <w:tc>
          <w:tcPr>
            <w:tcW w:type="dxa" w:w="1037"/>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r>
      <w:tr>
        <w:trPr>
          <w:cantSplit/>
        </w:trPr>
        <w:tc>
          <w:tcPr>
            <w:tcW w:type="dxa" w:w="144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8 NCT00368212</w:t>
            </w:r>
          </w:p>
        </w:tc>
        <w:tc>
          <w:tcPr>
            <w:tcW w:type="dxa" w:w="439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HAI self report, secondary outcome; Twelve-month follow-up after treatment, as described in Methods</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U</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L</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w:t>
            </w:r>
          </w:p>
        </w:tc>
        <w:tc>
          <w:tcPr>
            <w:tcW w:type="dxa" w:w="1037"/>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r>
      <w:tr>
        <w:trPr>
          <w:cantSplit/>
        </w:trPr>
        <w:tc>
          <w:tcPr>
            <w:tcW w:type="dxa" w:w="144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9 NCT01673035</w:t>
            </w:r>
          </w:p>
        </w:tc>
        <w:tc>
          <w:tcPr>
            <w:tcW w:type="dxa" w:w="439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Health Anxiety Inventory, 64 items, 0-192, lower is better; Immediately after 12-week treatment</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L</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L</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L</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w:t>
            </w:r>
          </w:p>
        </w:tc>
        <w:tc>
          <w:tcPr>
            <w:tcW w:type="dxa" w:w="1037"/>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w:t>
            </w:r>
          </w:p>
        </w:tc>
      </w:tr>
      <w:tr>
        <w:trPr>
          <w:cantSplit/>
        </w:trPr>
        <w:tc>
          <w:tcPr>
            <w:tcW w:type="dxa" w:w="144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10 NCT01966705</w:t>
            </w:r>
          </w:p>
        </w:tc>
        <w:tc>
          <w:tcPr>
            <w:tcW w:type="dxa" w:w="439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HAI 64 total, 0-192; lower is better; Immediately after 12-week treatment/waiting period, before control crossover</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L</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L</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L</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w:t>
            </w:r>
          </w:p>
        </w:tc>
        <w:tc>
          <w:tcPr>
            <w:tcW w:type="dxa" w:w="1037"/>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r>
      <w:tr>
        <w:trPr>
          <w:cantSplit/>
        </w:trPr>
        <w:tc>
          <w:tcPr>
            <w:tcW w:type="dxa" w:w="144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11 Newby2018_N102</w:t>
            </w:r>
          </w:p>
        </w:tc>
        <w:tc>
          <w:tcPr>
            <w:tcW w:type="dxa" w:w="439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Short Health Anxiety Inventory total; health-anxiety severity primary outcome; Post-treatment after 12-week intervention; current registry specifies one week after treatment (week 13)</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L</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L</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w:t>
            </w:r>
          </w:p>
        </w:tc>
        <w:tc>
          <w:tcPr>
            <w:tcW w:type="dxa" w:w="1037"/>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r>
      <w:tr>
        <w:trPr>
          <w:cantSplit/>
        </w:trPr>
        <w:tc>
          <w:tcPr>
            <w:tcW w:type="dxa" w:w="144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12 ISRCTN14565822</w:t>
            </w:r>
          </w:p>
        </w:tc>
        <w:tc>
          <w:tcPr>
            <w:tcW w:type="dxa" w:w="439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14-item self-reported health anxiety (HAI/SHAI); lower is better; months: 12; anchor: randomization; not: 12 months after therapy</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L</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L</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w:t>
            </w:r>
          </w:p>
        </w:tc>
        <w:tc>
          <w:tcPr>
            <w:tcW w:type="dxa" w:w="1037"/>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r>
      <w:tr>
        <w:trPr>
          <w:cantSplit/>
        </w:trPr>
        <w:tc>
          <w:tcPr>
            <w:tcW w:type="dxa" w:w="144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13 NCT02298036</w:t>
            </w:r>
          </w:p>
        </w:tc>
        <w:tc>
          <w:tcPr>
            <w:tcW w:type="dxa" w:w="439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14-item self-reported health anxiety (HAI/SHAI); lower is better; months: 6; anchor: baseline/randomization before treatment (protocol followups from randomization); not: 6 months after therapy</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L</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w:t>
            </w:r>
          </w:p>
        </w:tc>
        <w:tc>
          <w:tcPr>
            <w:tcW w:type="dxa" w:w="1037"/>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r>
      <w:tr>
        <w:trPr>
          <w:cantSplit/>
        </w:trPr>
        <w:tc>
          <w:tcPr>
            <w:tcW w:type="dxa" w:w="144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14 Bovell2012_Regina_guided_self_help_N14</w:t>
            </w:r>
          </w:p>
        </w:tc>
        <w:tc>
          <w:tcPr>
            <w:tcW w:type="dxa" w:w="439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SHAI 18 total, range 0-54; lower is better; one of the two primary HA measures in the thesis; T 3: end of eight-week treatment/waiting period</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w:t>
            </w:r>
          </w:p>
        </w:tc>
        <w:tc>
          <w:tcPr>
            <w:tcW w:type="dxa" w:w="1037"/>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r>
      <w:tr>
        <w:trPr>
          <w:cantSplit/>
        </w:trPr>
        <w:tc>
          <w:tcPr>
            <w:tcW w:type="dxa" w:w="144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15 Du2024_OSF8QANC_N228</w:t>
            </w:r>
          </w:p>
        </w:tc>
        <w:tc>
          <w:tcPr>
            <w:tcW w:type="dxa" w:w="439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SHAI 18 total, range 0-54; lower is better; Day 12, T 4, end of the four-session intervention; before waiting-list crossover</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L</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L</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w:t>
            </w:r>
          </w:p>
        </w:tc>
        <w:tc>
          <w:tcPr>
            <w:tcW w:type="dxa" w:w="1037"/>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r>
      <w:tr>
        <w:trPr>
          <w:cantSplit/>
        </w:trPr>
        <w:tc>
          <w:tcPr>
            <w:tcW w:type="dxa" w:w="144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16 Du2024_OSF8QANC_N228</w:t>
            </w:r>
          </w:p>
        </w:tc>
        <w:tc>
          <w:tcPr>
            <w:tcW w:type="dxa" w:w="439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SHAI 18 total, range 0-54; lower is better; Day 12, T 4, end of the four-session intervention; before waiting-list crossover</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L</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w:t>
            </w:r>
          </w:p>
        </w:tc>
        <w:tc>
          <w:tcPr>
            <w:tcW w:type="dxa" w:w="1037"/>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r>
      <w:tr>
        <w:trPr>
          <w:cantSplit/>
        </w:trPr>
        <w:tc>
          <w:tcPr>
            <w:tcW w:type="dxa" w:w="144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17 OBryan_AS_HA_Cincinnati_N68</w:t>
            </w:r>
          </w:p>
        </w:tc>
        <w:tc>
          <w:tcPr>
            <w:tcW w:type="dxa" w:w="439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14-item SHAI general-health-anxiety subscale, not the full 18-item total; One month after the single-session intervention</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w:t>
            </w:r>
          </w:p>
        </w:tc>
        <w:tc>
          <w:tcPr>
            <w:tcW w:type="dxa" w:w="1037"/>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r>
      <w:tr>
        <w:trPr>
          <w:cantSplit/>
        </w:trPr>
        <w:tc>
          <w:tcPr>
            <w:tcW w:type="dxa" w:w="144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18 NCT01966705</w:t>
            </w:r>
          </w:p>
        </w:tc>
        <w:tc>
          <w:tcPr>
            <w:tcW w:type="dxa" w:w="439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HAI 64 total, 0-192; lower is better; Immediately after the 12-week assignment, before control crossover</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L</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L</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L</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w:t>
            </w:r>
          </w:p>
        </w:tc>
        <w:tc>
          <w:tcPr>
            <w:tcW w:type="dxa" w:w="1037"/>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r>
      <w:tr>
        <w:trPr>
          <w:cantSplit/>
        </w:trPr>
        <w:tc>
          <w:tcPr>
            <w:tcW w:type="dxa" w:w="144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19 NCT00828152</w:t>
            </w:r>
          </w:p>
        </w:tc>
        <w:tc>
          <w:tcPr>
            <w:tcW w:type="dxa" w:w="439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HAI full scale, 0-192; lower is better; Immediately after 12-week assigned intervention/control period, before control crossover</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L</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L</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L</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w:t>
            </w:r>
          </w:p>
        </w:tc>
        <w:tc>
          <w:tcPr>
            <w:tcW w:type="dxa" w:w="1037"/>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r>
      <w:tr>
        <w:trPr>
          <w:cantSplit/>
        </w:trPr>
        <w:tc>
          <w:tcPr>
            <w:tcW w:type="dxa" w:w="144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20 Antognelli2020_N89</w:t>
            </w:r>
          </w:p>
        </w:tc>
        <w:tc>
          <w:tcPr>
            <w:tcW w:type="dxa" w:w="439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SHAI-18 continuous health-anxiety severity immediately post-treatment, after 2 online sessions over 1 week; Immediately post two sessions over one week</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L</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L</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w:t>
            </w:r>
          </w:p>
        </w:tc>
        <w:tc>
          <w:tcPr>
            <w:tcW w:type="dxa" w:w="1037"/>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r>
      <w:tr>
        <w:trPr>
          <w:cantSplit/>
        </w:trPr>
        <w:tc>
          <w:tcPr>
            <w:tcW w:type="dxa" w:w="144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21 BourgaultFagnou2013_N57</w:t>
            </w:r>
          </w:p>
        </w:tc>
        <w:tc>
          <w:tcPr>
            <w:tcW w:type="dxa" w:w="439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Whiteley Index 14 total; Post six weeks</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L</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w:t>
            </w:r>
          </w:p>
        </w:tc>
        <w:tc>
          <w:tcPr>
            <w:tcW w:type="dxa" w:w="1037"/>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r>
      <w:tr>
        <w:trPr>
          <w:cantSplit/>
        </w:trPr>
        <w:tc>
          <w:tcPr>
            <w:tcW w:type="dxa" w:w="144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22 Lee2015_N50</w:t>
            </w:r>
          </w:p>
        </w:tc>
        <w:tc>
          <w:tcPr>
            <w:tcW w:type="dxa" w:w="439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18-item SHAI total posttraining after four weeks; Post four-week training</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L</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w:t>
            </w:r>
          </w:p>
        </w:tc>
        <w:tc>
          <w:tcPr>
            <w:tcW w:type="dxa" w:w="1037"/>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r>
      <w:tr>
        <w:trPr>
          <w:cantSplit/>
        </w:trPr>
        <w:tc>
          <w:tcPr>
            <w:tcW w:type="dxa" w:w="144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23 Jones2002</w:t>
            </w:r>
          </w:p>
        </w:tc>
        <w:tc>
          <w:tcPr>
            <w:tcW w:type="dxa" w:w="439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HAQ total; End of four-week period</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L</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w:t>
            </w:r>
          </w:p>
        </w:tc>
        <w:tc>
          <w:tcPr>
            <w:tcW w:type="dxa" w:w="1037"/>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r>
      <w:tr>
        <w:trPr>
          <w:cantSplit/>
        </w:trPr>
        <w:tc>
          <w:tcPr>
            <w:tcW w:type="dxa" w:w="144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24 Jakes2025_SMS_safetybehaviour</w:t>
            </w:r>
          </w:p>
        </w:tc>
        <w:tc>
          <w:tcPr>
            <w:tcW w:type="dxa" w:w="439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Modified WI 13, not verified validated review-primary outcome; Week 4 end of four-week intervention</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w:t>
            </w:r>
          </w:p>
        </w:tc>
        <w:tc>
          <w:tcPr>
            <w:tcW w:type="dxa" w:w="1037"/>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r>
      <w:tr>
        <w:trPr>
          <w:cantSplit/>
        </w:trPr>
        <w:tc>
          <w:tcPr>
            <w:tcW w:type="dxa" w:w="144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25 Skjernov2017_CHAG</w:t>
            </w:r>
          </w:p>
        </w:tc>
        <w:tc>
          <w:tcPr>
            <w:tcW w:type="dxa" w:w="439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Whiteley Index 7 (WI-7), seven 0–4 items rescaled 0–100; higher=worse; 6 months after the 12-week core CBT course; report explicitly equates endpoint with 9 months after randomization. Booster at 3 months after core course makes this approximately 3 months after the final planned booster.</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L</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w:t>
            </w:r>
          </w:p>
        </w:tc>
        <w:tc>
          <w:tcPr>
            <w:tcW w:type="dxa" w:w="1037"/>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r>
      <w:tr>
        <w:trPr>
          <w:cantSplit/>
        </w:trPr>
        <w:tc>
          <w:tcPr>
            <w:tcW w:type="dxa" w:w="144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26 ISRCTN14973494</w:t>
            </w:r>
          </w:p>
        </w:tc>
        <w:tc>
          <w:tcPr>
            <w:tcW w:type="dxa" w:w="439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Short Health Anxiety Inventory, 14-item main health-anxiety section; higher=worse; Six months after randomization as stated in Crawford 2024 trial results; general assessment methods describe surveys 3/6 months after baseline and King 2025 refers to recruitment. All CBT sessions ended before month 6, but individual treatment-completion-to-assessment intervals are not supplied.</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L</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w:t>
            </w:r>
          </w:p>
        </w:tc>
        <w:tc>
          <w:tcPr>
            <w:tcW w:type="dxa" w:w="1037"/>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r>
      <w:tr>
        <w:trPr>
          <w:cantSplit/>
        </w:trPr>
        <w:tc>
          <w:tcPr>
            <w:tcW w:type="dxa" w:w="144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27 NCT02314065</w:t>
            </w:r>
          </w:p>
        </w:tc>
        <w:tc>
          <w:tcPr>
            <w:tcW w:type="dxa" w:w="439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HAI 18 total (0–54); Week 12, end of assigned treatment</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L</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L</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L</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w:t>
            </w:r>
          </w:p>
        </w:tc>
        <w:tc>
          <w:tcPr>
            <w:tcW w:type="dxa" w:w="1037"/>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w:t>
            </w:r>
          </w:p>
        </w:tc>
      </w:tr>
      <w:tr>
        <w:trPr>
          <w:cantSplit/>
        </w:trPr>
        <w:tc>
          <w:tcPr>
            <w:tcW w:type="dxa" w:w="144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28 NCT02735434</w:t>
            </w:r>
          </w:p>
        </w:tc>
        <w:tc>
          <w:tcPr>
            <w:tcW w:type="dxa" w:w="439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WI 7 transformed 0–100; 6 months after 12-week treatment; 10 months after self-referral baseline, about 9 months after randomization</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L</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L</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w:t>
            </w:r>
          </w:p>
        </w:tc>
        <w:tc>
          <w:tcPr>
            <w:tcW w:type="dxa" w:w="1037"/>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r>
      <w:tr>
        <w:trPr>
          <w:cantSplit/>
        </w:trPr>
        <w:tc>
          <w:tcPr>
            <w:tcW w:type="dxa" w:w="144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29 Shahidi2023_HAI27_COVIDcaregivers</w:t>
            </w:r>
          </w:p>
        </w:tc>
        <w:tc>
          <w:tcPr>
            <w:tcW w:type="dxa" w:w="439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HAI 18 total (0–54); Immediately after 9 weekly sessions</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w:t>
            </w:r>
          </w:p>
        </w:tc>
        <w:tc>
          <w:tcPr>
            <w:tcW w:type="dxa" w:w="1037"/>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r>
      <w:tr>
        <w:trPr>
          <w:cantSplit/>
        </w:trPr>
        <w:tc>
          <w:tcPr>
            <w:tcW w:type="dxa" w:w="144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30 McManus2012_MBCT</w:t>
            </w:r>
          </w:p>
        </w:tc>
        <w:tc>
          <w:tcPr>
            <w:tcW w:type="dxa" w:w="439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SHAI 18 total; Post 8-week MBCT/US intervention period</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L</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L</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L</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w:t>
            </w:r>
          </w:p>
        </w:tc>
        <w:tc>
          <w:tcPr>
            <w:tcW w:type="dxa" w:w="1037"/>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r>
      <w:tr>
        <w:trPr>
          <w:cantSplit/>
        </w:trPr>
        <w:tc>
          <w:tcPr>
            <w:tcW w:type="dxa" w:w="144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31 Fallon2017_NCT00339079</w:t>
            </w:r>
          </w:p>
        </w:tc>
        <w:tc>
          <w:tcPr>
            <w:tcW w:type="dxa" w:w="439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Whiteley Index 14 (14–70), continuous log-transformed analysis; Week 24, after CBT core+booster period</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L</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w:t>
            </w:r>
          </w:p>
        </w:tc>
        <w:tc>
          <w:tcPr>
            <w:tcW w:type="dxa" w:w="1037"/>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r>
      <w:tr>
        <w:trPr>
          <w:cantSplit/>
        </w:trPr>
        <w:tc>
          <w:tcPr>
            <w:tcW w:type="dxa" w:w="144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32 Seivewright2008_N49</w:t>
            </w:r>
          </w:p>
        </w:tc>
        <w:tc>
          <w:tcPr>
            <w:tcW w:type="dxa" w:w="439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ShortHAI (core 14 item healthanxiety); 6 months afterbaseline/randomization; therapy could continue up to 6 months</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L</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L</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w:t>
            </w:r>
          </w:p>
        </w:tc>
        <w:tc>
          <w:tcPr>
            <w:tcW w:type="dxa" w:w="1037"/>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r>
      <w:tr>
        <w:trPr>
          <w:cantSplit/>
        </w:trPr>
        <w:tc>
          <w:tcPr>
            <w:tcW w:type="dxa" w:w="144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33 Barsky2004_N187</w:t>
            </w:r>
          </w:p>
        </w:tc>
        <w:tc>
          <w:tcPr>
            <w:tcW w:type="dxa" w:w="439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Whiteley Index 14, mean-item 1–5; 12 months aftertreatmentcompletion</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U</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L</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w:t>
            </w:r>
          </w:p>
        </w:tc>
        <w:tc>
          <w:tcPr>
            <w:tcW w:type="dxa" w:w="1037"/>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r>
      <w:tr>
        <w:trPr>
          <w:cantSplit/>
        </w:trPr>
        <w:tc>
          <w:tcPr>
            <w:tcW w:type="dxa" w:w="144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34 Buwalda2007</w:t>
            </w:r>
          </w:p>
        </w:tc>
        <w:tc>
          <w:tcPr>
            <w:tcW w:type="dxa" w:w="439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GIAS 42 total; Post 6 weekly sessions (before 4 weekbooster)</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U</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w:t>
            </w:r>
          </w:p>
        </w:tc>
        <w:tc>
          <w:tcPr>
            <w:tcW w:type="dxa" w:w="1037"/>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r>
      <w:tr>
        <w:trPr>
          <w:cantSplit/>
        </w:trPr>
        <w:tc>
          <w:tcPr>
            <w:tcW w:type="dxa" w:w="144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35 Schwind2016</w:t>
            </w:r>
          </w:p>
        </w:tc>
        <w:tc>
          <w:tcPr>
            <w:tcW w:type="dxa" w:w="439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Illness Attitude Scales 27-item total, 0–108; Post one week of daily training</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L</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L</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w:t>
            </w:r>
          </w:p>
        </w:tc>
        <w:tc>
          <w:tcPr>
            <w:tcW w:type="dxa" w:w="1037"/>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w:t>
            </w:r>
          </w:p>
        </w:tc>
      </w:tr>
      <w:tr>
        <w:trPr>
          <w:cantSplit/>
        </w:trPr>
        <w:tc>
          <w:tcPr>
            <w:tcW w:type="dxa" w:w="144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36 Barghbani2023</w:t>
            </w:r>
          </w:p>
        </w:tc>
        <w:tc>
          <w:tcPr>
            <w:tcW w:type="dxa" w:w="439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HAI 18 total, 0–54; Immediately after three weeks</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L</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w:t>
            </w:r>
          </w:p>
        </w:tc>
        <w:tc>
          <w:tcPr>
            <w:tcW w:type="dxa" w:w="1037"/>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r>
      <w:tr>
        <w:trPr>
          <w:cantSplit/>
        </w:trPr>
        <w:tc>
          <w:tcPr>
            <w:tcW w:type="dxa" w:w="144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37 BourgaultFagnou2013_N57</w:t>
            </w:r>
          </w:p>
        </w:tc>
        <w:tc>
          <w:tcPr>
            <w:tcW w:type="dxa" w:w="439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Whiteley Index 14; Post 6-week assigned treatment/wait</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L</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w:t>
            </w:r>
          </w:p>
        </w:tc>
        <w:tc>
          <w:tcPr>
            <w:tcW w:type="dxa" w:w="1037"/>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r>
      <w:tr>
        <w:trPr>
          <w:cantSplit/>
        </w:trPr>
        <w:tc>
          <w:tcPr>
            <w:tcW w:type="dxa" w:w="144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38 NCT01119469</w:t>
            </w:r>
          </w:p>
        </w:tc>
        <w:tc>
          <w:tcPr>
            <w:tcW w:type="dxa" w:w="439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IAS 27 total self-report; Initial 3-monthpostcourse/postwait, beforeWLcrossover</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L</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w:t>
            </w:r>
          </w:p>
        </w:tc>
        <w:tc>
          <w:tcPr>
            <w:tcW w:type="dxa" w:w="1037"/>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r>
      <w:tr>
        <w:trPr>
          <w:cantSplit/>
        </w:trPr>
        <w:tc>
          <w:tcPr>
            <w:tcW w:type="dxa" w:w="144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39 NCT01119469</w:t>
            </w:r>
          </w:p>
        </w:tc>
        <w:tc>
          <w:tcPr>
            <w:tcW w:type="dxa" w:w="439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H-YBOCS cognitive subscale, clinician-rated; Initial 3-monthpostcourse/postwait, beforeWLcrossover</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L</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L</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w:t>
            </w:r>
          </w:p>
        </w:tc>
        <w:tc>
          <w:tcPr>
            <w:tcW w:type="dxa" w:w="1037"/>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r>
      <w:tr>
        <w:trPr>
          <w:cantSplit/>
        </w:trPr>
        <w:tc>
          <w:tcPr>
            <w:tcW w:type="dxa" w:w="144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40 NCT01119469</w:t>
            </w:r>
          </w:p>
        </w:tc>
        <w:tc>
          <w:tcPr>
            <w:tcW w:type="dxa" w:w="439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H-YBOCS behavioral subscale, clinician-rated; Initial 3-monthpostcourse/postwait, beforeWLcrossover</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L</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L</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w:t>
            </w:r>
          </w:p>
        </w:tc>
        <w:tc>
          <w:tcPr>
            <w:tcW w:type="dxa" w:w="1037"/>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r>
      <w:tr>
        <w:trPr>
          <w:cantSplit/>
        </w:trPr>
        <w:tc>
          <w:tcPr>
            <w:tcW w:type="dxa" w:w="144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41 NCT01119469</w:t>
            </w:r>
          </w:p>
        </w:tc>
        <w:tc>
          <w:tcPr>
            <w:tcW w:type="dxa" w:w="439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IAS 27 total self-report; Initial 3-monthpostcourse beforeWLcrossover</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L</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w:t>
            </w:r>
          </w:p>
        </w:tc>
        <w:tc>
          <w:tcPr>
            <w:tcW w:type="dxa" w:w="1037"/>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r>
      <w:tr>
        <w:trPr>
          <w:cantSplit/>
        </w:trPr>
        <w:tc>
          <w:tcPr>
            <w:tcW w:type="dxa" w:w="144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42 Jakes2025_SMS_safetybehaviour</w:t>
            </w:r>
          </w:p>
        </w:tc>
        <w:tc>
          <w:tcPr>
            <w:tcW w:type="dxa" w:w="439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IAS 27 total; Baseline-to-week 8 change; 4 weeks after 4-week text intervention</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w:t>
            </w:r>
          </w:p>
        </w:tc>
        <w:tc>
          <w:tcPr>
            <w:tcW w:type="dxa" w:w="1037"/>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r>
      <w:tr>
        <w:trPr>
          <w:cantSplit/>
        </w:trPr>
        <w:tc>
          <w:tcPr>
            <w:tcW w:type="dxa" w:w="144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43 ISRCTN14565822</w:t>
            </w:r>
          </w:p>
        </w:tc>
        <w:tc>
          <w:tcPr>
            <w:tcW w:type="dxa" w:w="439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HAI 14 total 0–42; 6 months afterrandomization, notaftertreatmentcompletion</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L</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L</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w:t>
            </w:r>
          </w:p>
        </w:tc>
        <w:tc>
          <w:tcPr>
            <w:tcW w:type="dxa" w:w="1037"/>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r>
      <w:tr>
        <w:trPr>
          <w:cantSplit/>
        </w:trPr>
        <w:tc>
          <w:tcPr>
            <w:tcW w:type="dxa" w:w="144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44 NCT02298036</w:t>
            </w:r>
          </w:p>
        </w:tc>
        <w:tc>
          <w:tcPr>
            <w:tcW w:type="dxa" w:w="439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SHAI/HAI 14 total 0–42; 12 months afterbaseline/randomization, notaftertreatmentcompletion</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L</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w:t>
            </w:r>
          </w:p>
        </w:tc>
        <w:tc>
          <w:tcPr>
            <w:tcW w:type="dxa" w:w="1037"/>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r>
      <w:tr>
        <w:trPr>
          <w:cantSplit/>
        </w:trPr>
        <w:tc>
          <w:tcPr>
            <w:tcW w:type="dxa" w:w="144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45 GREEVEN_2007_N112</w:t>
            </w:r>
          </w:p>
        </w:tc>
        <w:tc>
          <w:tcPr>
            <w:tcW w:type="dxa" w:w="439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Whiteley Index 14, 0–42; Week 16 endassignedcourse</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L</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w:t>
            </w:r>
          </w:p>
        </w:tc>
        <w:tc>
          <w:tcPr>
            <w:tcW w:type="dxa" w:w="1037"/>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r>
      <w:tr>
        <w:trPr>
          <w:cantSplit/>
        </w:trPr>
        <w:tc>
          <w:tcPr>
            <w:tcW w:type="dxa" w:w="144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46 NCT00208247</w:t>
            </w:r>
          </w:p>
        </w:tc>
        <w:tc>
          <w:tcPr>
            <w:tcW w:type="dxa" w:w="439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HAI 14 self-report; 6 months/26 weeksafterinitialallocation</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L</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L</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w:t>
            </w:r>
          </w:p>
        </w:tc>
        <w:tc>
          <w:tcPr>
            <w:tcW w:type="dxa" w:w="1037"/>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r>
      <w:tr>
        <w:trPr>
          <w:cantSplit/>
        </w:trPr>
        <w:tc>
          <w:tcPr>
            <w:tcW w:type="dxa" w:w="144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47 Bovell2012_Regina_guided_self_help_N14</w:t>
            </w:r>
          </w:p>
        </w:tc>
        <w:tc>
          <w:tcPr>
            <w:tcW w:type="dxa" w:w="439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SHAI 18 total; T 3 after 8 weekassignedcourse/wait</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w:t>
            </w:r>
          </w:p>
        </w:tc>
        <w:tc>
          <w:tcPr>
            <w:tcW w:type="dxa" w:w="1037"/>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r>
      <w:tr>
        <w:trPr>
          <w:cantSplit/>
        </w:trPr>
        <w:tc>
          <w:tcPr>
            <w:tcW w:type="dxa" w:w="144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48 Antognelli2020_N89</w:t>
            </w:r>
          </w:p>
        </w:tc>
        <w:tc>
          <w:tcPr>
            <w:tcW w:type="dxa" w:w="439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SHAI 18 total; Two weeks after two-session/one-week training period</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L</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L</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w:t>
            </w:r>
          </w:p>
        </w:tc>
        <w:tc>
          <w:tcPr>
            <w:tcW w:type="dxa" w:w="1037"/>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r>
      <w:tr>
        <w:trPr>
          <w:cantSplit/>
        </w:trPr>
        <w:tc>
          <w:tcPr>
            <w:tcW w:type="dxa" w:w="144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49 Kerstner2015</w:t>
            </w:r>
          </w:p>
        </w:tc>
        <w:tc>
          <w:tcPr>
            <w:tcW w:type="dxa" w:w="439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Modified 14-item Short Health Anxiety Inventory (mSHAI); Two-week endpoint immediately after fourth session, before optional CBT</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L</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w:t>
            </w:r>
          </w:p>
        </w:tc>
        <w:tc>
          <w:tcPr>
            <w:tcW w:type="dxa" w:w="1037"/>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r>
      <w:tr>
        <w:trPr>
          <w:cantSplit/>
        </w:trPr>
        <w:tc>
          <w:tcPr>
            <w:tcW w:type="dxa" w:w="144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50 Schwind2016</w:t>
            </w:r>
          </w:p>
        </w:tc>
        <w:tc>
          <w:tcPr>
            <w:tcW w:type="dxa" w:w="439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Illness Attitude Scales 27-item total, 0–108; End of one week of daily attention training</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L</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L</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w:t>
            </w:r>
          </w:p>
        </w:tc>
        <w:tc>
          <w:tcPr>
            <w:tcW w:type="dxa" w:w="1037"/>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w:t>
            </w:r>
          </w:p>
        </w:tc>
      </w:tr>
      <w:tr>
        <w:trPr>
          <w:cantSplit/>
        </w:trPr>
        <w:tc>
          <w:tcPr>
            <w:tcW w:type="dxa" w:w="144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51 Bailey2024</w:t>
            </w:r>
          </w:p>
        </w:tc>
        <w:tc>
          <w:tcPr>
            <w:tcW w:type="dxa" w:w="439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Whiteley Index total, Table 1 range 14–70; distinct from WI 7 screening; Post treatment/waiting period; up to 12 sessions, actual 6–12; exact common calendar week not verified</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L</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L</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L</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w:t>
            </w:r>
          </w:p>
        </w:tc>
        <w:tc>
          <w:tcPr>
            <w:tcW w:type="dxa" w:w="1037"/>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r>
      <w:tr>
        <w:trPr>
          <w:cantSplit/>
        </w:trPr>
        <w:tc>
          <w:tcPr>
            <w:tcW w:type="dxa" w:w="144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52 Seivewright2008_N49</w:t>
            </w:r>
          </w:p>
        </w:tc>
        <w:tc>
          <w:tcPr>
            <w:tcW w:type="dxa" w:w="439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Health Anxiety Inventory, short form; exact scored item count not verified; 3 months after randomization; variable treatment duration and later boosters</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L</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L</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w:t>
            </w:r>
          </w:p>
        </w:tc>
        <w:tc>
          <w:tcPr>
            <w:tcW w:type="dxa" w:w="1037"/>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r>
      <w:tr>
        <w:trPr>
          <w:cantSplit/>
        </w:trPr>
        <w:tc>
          <w:tcPr>
            <w:tcW w:type="dxa" w:w="144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53 Seivewright2008_N49</w:t>
            </w:r>
          </w:p>
        </w:tc>
        <w:tc>
          <w:tcPr>
            <w:tcW w:type="dxa" w:w="439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Health Anxiety Inventory, short form; exact scored item count not verified; 6 months after randomization; variable treatment duration and later boosters</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L</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L</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w:t>
            </w:r>
          </w:p>
        </w:tc>
        <w:tc>
          <w:tcPr>
            <w:tcW w:type="dxa" w:w="1037"/>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r>
      <w:tr>
        <w:trPr>
          <w:cantSplit/>
        </w:trPr>
        <w:tc>
          <w:tcPr>
            <w:tcW w:type="dxa" w:w="144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54 Seivewright2008_N49</w:t>
            </w:r>
          </w:p>
        </w:tc>
        <w:tc>
          <w:tcPr>
            <w:tcW w:type="dxa" w:w="439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Health Anxiety Inventory, short form; exact scored item count not verified; 12 months after randomization; not uniformly treatment-free follow-up because treatment timing varied and boosters were allowed</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L</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L</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w:t>
            </w:r>
          </w:p>
        </w:tc>
        <w:tc>
          <w:tcPr>
            <w:tcW w:type="dxa" w:w="1037"/>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r>
      <w:tr>
        <w:trPr>
          <w:cantSplit/>
        </w:trPr>
        <w:tc>
          <w:tcPr>
            <w:tcW w:type="dxa" w:w="144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55 Shabahang2021_overlap_unresolved</w:t>
            </w:r>
          </w:p>
        </w:tc>
        <w:tc>
          <w:tcPr>
            <w:tcW w:type="dxa" w:w="439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SHAI 18, range 0-54, lower is better; Immediate post-treatment, 3 weeks</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L</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w:t>
            </w:r>
          </w:p>
        </w:tc>
        <w:tc>
          <w:tcPr>
            <w:tcW w:type="dxa" w:w="1037"/>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r>
      <w:tr>
        <w:trPr>
          <w:cantSplit/>
        </w:trPr>
        <w:tc>
          <w:tcPr>
            <w:tcW w:type="dxa" w:w="144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56 Liao2026_HAV08153</w:t>
            </w:r>
          </w:p>
        </w:tc>
        <w:tc>
          <w:tcPr>
            <w:tcW w:type="dxa" w:w="439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SHAI 18 total, Chinese version; range 0-54; lower is better; Report-labelled week 4</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L</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w:t>
            </w:r>
          </w:p>
        </w:tc>
        <w:tc>
          <w:tcPr>
            <w:tcW w:type="dxa" w:w="1037"/>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r>
      <w:tr>
        <w:trPr>
          <w:cantSplit/>
        </w:trPr>
        <w:tc>
          <w:tcPr>
            <w:tcW w:type="dxa" w:w="144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57 Liao2026_HAV08153</w:t>
            </w:r>
          </w:p>
        </w:tc>
        <w:tc>
          <w:tcPr>
            <w:tcW w:type="dxa" w:w="439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SHAI 18 total, Chinese version; range 0-54; lower is better; Report-labelled week 12</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L</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c>
          <w:tcPr>
            <w:tcW w:type="dxa" w:w="4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w:t>
            </w:r>
          </w:p>
        </w:tc>
        <w:tc>
          <w:tcPr>
            <w:tcW w:type="dxa" w:w="1037"/>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w:t>
            </w:r>
          </w:p>
        </w:tc>
      </w:tr>
    </w:tbl>
    <w:p>
      <w:r>
        <w:t>D1 is randomization; D1a and D1b are cluster randomization and recruitment timing; D2 is deviations from intended interventions; D3 is missing outcome data; D4 is measurement; D5 is selection of the reported result.</w:t>
      </w:r>
    </w:p>
    <w:p>
      <w:r>
        <w:t>Some high-risk judgments follow the official algorithm where information about likely outcome-dependent missingness or allocation-awareness influence is unavailable. These judgments do not prove that a specific numerical bias occurred.</w:t>
      </w:r>
    </w:p>
    <w:p>
      <w:r>
        <w:t>A family-level or earlier-time appraisal is not transferred automatically to raw versus model estimates or later follow-up.</w:t>
      </w:r>
    </w:p>
    <w:p>
      <w:pPr>
        <w:pStyle w:val="Heading1"/>
      </w:pPr>
      <w:r>
        <w:t>Table S4 Numerical result inventory</w:t>
      </w:r>
    </w:p>
    <w:p>
      <w:r>
        <w:t>The 45 rows are source-linked results rather than 45 trials. Effects with different metrics, scale versions, time origins or analysis populations must not be directly ranked. Detailed arm summaries and programs are in Supplement 2.</w:t>
      </w:r>
    </w:p>
    <w:tbl>
      <w:tblPr>
        <w:tblW w:type="auto" w:w="0"/>
        <w:jc w:val="center"/>
        <w:tblLayout w:type="fixed"/>
        <w:tblLook w:firstColumn="1" w:firstRow="1" w:lastColumn="0" w:lastRow="0" w:noHBand="0" w:noVBand="1" w:val="04A0"/>
      </w:tblPr>
      <w:tblGrid>
        <w:gridCol w:w="2257"/>
        <w:gridCol w:w="2257"/>
        <w:gridCol w:w="2257"/>
        <w:gridCol w:w="2257"/>
      </w:tblGrid>
      <w:tr>
        <w:trPr>
          <w:tblHeader/>
          <w:cantSplit/>
        </w:trPr>
        <w:tc>
          <w:tcPr>
            <w:tcW w:type="dxa" w:w="288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shd w:fill="E7E6E6"/>
          </w:tcPr>
          <w:p>
            <w:pPr>
              <w:keepNext/>
              <w:spacing w:line="240" w:lineRule="auto" w:after="60"/>
            </w:pPr>
            <w:r>
              <w:rPr>
                <w:b/>
                <w:sz w:val="18"/>
              </w:rPr>
              <w:t>Result identifier</w:t>
            </w:r>
          </w:p>
        </w:tc>
        <w:tc>
          <w:tcPr>
            <w:tcW w:type="dxa" w:w="180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shd w:fill="E7E6E6"/>
          </w:tcPr>
          <w:p>
            <w:pPr>
              <w:keepNext/>
              <w:spacing w:line="240" w:lineRule="auto" w:after="60"/>
            </w:pPr>
            <w:r>
              <w:rPr>
                <w:b/>
                <w:sz w:val="18"/>
              </w:rPr>
              <w:t>Effect and 95% CI</w:t>
            </w:r>
          </w:p>
        </w:tc>
        <w:tc>
          <w:tcPr>
            <w:tcW w:type="dxa" w:w="259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shd w:fill="E7E6E6"/>
          </w:tcPr>
          <w:p>
            <w:pPr>
              <w:keepNext/>
              <w:spacing w:line="240" w:lineRule="auto" w:after="60"/>
            </w:pPr>
            <w:r>
              <w:rPr>
                <w:b/>
                <w:sz w:val="18"/>
              </w:rPr>
              <w:t>Time anchor</w:t>
            </w:r>
          </w:p>
        </w:tc>
        <w:tc>
          <w:tcPr>
            <w:tcW w:type="dxa" w:w="1728"/>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shd w:fill="E7E6E6"/>
          </w:tcPr>
          <w:p>
            <w:pPr>
              <w:keepNext/>
              <w:spacing w:line="240" w:lineRule="auto" w:after="60"/>
            </w:pPr>
            <w:r>
              <w:rPr>
                <w:b/>
                <w:sz w:val="18"/>
              </w:rPr>
              <w:t>Appraisal match</w:t>
            </w:r>
          </w:p>
        </w:tc>
      </w:tr>
      <w:tr>
        <w:trPr>
          <w:cantSplit/>
        </w:trPr>
        <w:tc>
          <w:tcPr>
            <w:tcW w:type="dxa" w:w="288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A20_ICBT_FTF_EOT_raw</w:t>
            </w:r>
          </w:p>
        </w:tc>
        <w:tc>
          <w:tcPr>
            <w:tcW w:type="dxa" w:w="180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Hedges_g 0.069 [-0.211, 0.350]</w:t>
            </w:r>
          </w:p>
        </w:tc>
        <w:tc>
          <w:tcPr>
            <w:tcW w:type="dxa" w:w="259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Immediately after 12-week assigned treatment/control period</w:t>
            </w:r>
          </w:p>
        </w:tc>
        <w:tc>
          <w:tcPr>
            <w:tcW w:type="dxa" w:w="1728"/>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matched exact result</w:t>
            </w:r>
          </w:p>
        </w:tc>
      </w:tr>
      <w:tr>
        <w:trPr>
          <w:cantSplit/>
        </w:trPr>
        <w:tc>
          <w:tcPr>
            <w:tcW w:type="dxa" w:w="288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Antognelli2020_end</w:t>
            </w:r>
          </w:p>
        </w:tc>
        <w:tc>
          <w:tcPr>
            <w:tcW w:type="dxa" w:w="180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Hedges_g -0.255 [-0.686, 0.176]</w:t>
            </w:r>
          </w:p>
        </w:tc>
        <w:tc>
          <w:tcPr>
            <w:tcW w:type="dxa" w:w="259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after treatment completion; treatment_end=0</w:t>
            </w:r>
          </w:p>
        </w:tc>
        <w:tc>
          <w:tcPr>
            <w:tcW w:type="dxa" w:w="1728"/>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matched exact result</w:t>
            </w:r>
          </w:p>
        </w:tc>
      </w:tr>
      <w:tr>
        <w:trPr>
          <w:cantSplit/>
        </w:trPr>
        <w:tc>
          <w:tcPr>
            <w:tcW w:type="dxa" w:w="288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Antognelli2020_short</w:t>
            </w:r>
          </w:p>
        </w:tc>
        <w:tc>
          <w:tcPr>
            <w:tcW w:type="dxa" w:w="180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Hedges_g -0.360 [-0.800, 0.080]</w:t>
            </w:r>
          </w:p>
        </w:tc>
        <w:tc>
          <w:tcPr>
            <w:tcW w:type="dxa" w:w="259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after treatment completion; treatment_end=0</w:t>
            </w:r>
          </w:p>
        </w:tc>
        <w:tc>
          <w:tcPr>
            <w:tcW w:type="dxa" w:w="1728"/>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matched exact result</w:t>
            </w:r>
          </w:p>
        </w:tc>
      </w:tr>
      <w:tr>
        <w:trPr>
          <w:cantSplit/>
        </w:trPr>
        <w:tc>
          <w:tcPr>
            <w:tcW w:type="dxa" w:w="288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Barghbani2023_HAI18_change</w:t>
            </w:r>
          </w:p>
        </w:tc>
        <w:tc>
          <w:tcPr>
            <w:tcW w:type="dxa" w:w="180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HAI18_change_difference -3.610 [-7.148, -0.072]</w:t>
            </w:r>
          </w:p>
        </w:tc>
        <w:tc>
          <w:tcPr>
            <w:tcW w:type="dxa" w:w="259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Refer to named assessment in the result-specific appraisal table</w:t>
            </w:r>
          </w:p>
        </w:tc>
        <w:tc>
          <w:tcPr>
            <w:tcW w:type="dxa" w:w="1728"/>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related appraisal only descriptive sensitivity</w:t>
            </w:r>
          </w:p>
        </w:tc>
      </w:tr>
      <w:tr>
        <w:trPr>
          <w:cantSplit/>
        </w:trPr>
        <w:tc>
          <w:tcPr>
            <w:tcW w:type="dxa" w:w="288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Barghbani2023_HAI18_post</w:t>
            </w:r>
          </w:p>
        </w:tc>
        <w:tc>
          <w:tcPr>
            <w:tcW w:type="dxa" w:w="180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Hedges_g -0.342 [-0.872, 0.188]</w:t>
            </w:r>
          </w:p>
        </w:tc>
        <w:tc>
          <w:tcPr>
            <w:tcW w:type="dxa" w:w="259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Immediately after 3 weeks</w:t>
            </w:r>
          </w:p>
        </w:tc>
        <w:tc>
          <w:tcPr>
            <w:tcW w:type="dxa" w:w="1728"/>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matched exact result</w:t>
            </w:r>
          </w:p>
        </w:tc>
      </w:tr>
      <w:tr>
        <w:trPr>
          <w:cantSplit/>
        </w:trPr>
        <w:tc>
          <w:tcPr>
            <w:tcW w:type="dxa" w:w="288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Bourgault2013_end</w:t>
            </w:r>
          </w:p>
        </w:tc>
        <w:tc>
          <w:tcPr>
            <w:tcW w:type="dxa" w:w="180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Hedges_g -0.978 [-1.557, -0.399]</w:t>
            </w:r>
          </w:p>
        </w:tc>
        <w:tc>
          <w:tcPr>
            <w:tcW w:type="dxa" w:w="259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after treatment completion; treatment_end=0</w:t>
            </w:r>
          </w:p>
        </w:tc>
        <w:tc>
          <w:tcPr>
            <w:tcW w:type="dxa" w:w="1728"/>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matched exact result</w:t>
            </w:r>
          </w:p>
        </w:tc>
      </w:tr>
      <w:tr>
        <w:trPr>
          <w:cantSplit/>
        </w:trPr>
        <w:tc>
          <w:tcPr>
            <w:tcW w:type="dxa" w:w="288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Bovell2012_end</w:t>
            </w:r>
          </w:p>
        </w:tc>
        <w:tc>
          <w:tcPr>
            <w:tcW w:type="dxa" w:w="180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Hedges_g -2.173 [-3.524, -0.822]</w:t>
            </w:r>
          </w:p>
        </w:tc>
        <w:tc>
          <w:tcPr>
            <w:tcW w:type="dxa" w:w="259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after treatment completion; treatment_end=0</w:t>
            </w:r>
          </w:p>
        </w:tc>
        <w:tc>
          <w:tcPr>
            <w:tcW w:type="dxa" w:w="1728"/>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matched exact result</w:t>
            </w:r>
          </w:p>
        </w:tc>
      </w:tr>
      <w:tr>
        <w:trPr>
          <w:cantSplit/>
        </w:trPr>
        <w:tc>
          <w:tcPr>
            <w:tcW w:type="dxa" w:w="288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Bovell2012_observed</w:t>
            </w:r>
          </w:p>
        </w:tc>
        <w:tc>
          <w:tcPr>
            <w:tcW w:type="dxa" w:w="180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Hedges_g -2.464 [-4.036, -0.893]</w:t>
            </w:r>
          </w:p>
        </w:tc>
        <w:tc>
          <w:tcPr>
            <w:tcW w:type="dxa" w:w="259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after treatment completion; treatment_end=0</w:t>
            </w:r>
          </w:p>
        </w:tc>
        <w:tc>
          <w:tcPr>
            <w:tcW w:type="dxa" w:w="1728"/>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matched exact result</w:t>
            </w:r>
          </w:p>
        </w:tc>
      </w:tr>
      <w:tr>
        <w:trPr>
          <w:cantSplit/>
        </w:trPr>
        <w:tc>
          <w:tcPr>
            <w:tcW w:type="dxa" w:w="288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CHAG2017_WI7_change6mo</w:t>
            </w:r>
          </w:p>
        </w:tc>
        <w:tc>
          <w:tcPr>
            <w:tcW w:type="dxa" w:w="180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WI7_model_change_difference -28.600 [-40.900, -16.200]</w:t>
            </w:r>
          </w:p>
        </w:tc>
        <w:tc>
          <w:tcPr>
            <w:tcW w:type="dxa" w:w="259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Refer to named assessment in the result-specific appraisal table</w:t>
            </w:r>
          </w:p>
        </w:tc>
        <w:tc>
          <w:tcPr>
            <w:tcW w:type="dxa" w:w="1728"/>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matched exact result</w:t>
            </w:r>
          </w:p>
        </w:tc>
      </w:tr>
      <w:tr>
        <w:trPr>
          <w:cantSplit/>
        </w:trPr>
        <w:tc>
          <w:tcPr>
            <w:tcW w:type="dxa" w:w="288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CHAMP_HAI14_12m_randomization</w:t>
            </w:r>
          </w:p>
        </w:tc>
        <w:tc>
          <w:tcPr>
            <w:tcW w:type="dxa" w:w="180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MD -2.970 [-4.370, -1.570]</w:t>
            </w:r>
          </w:p>
        </w:tc>
        <w:tc>
          <w:tcPr>
            <w:tcW w:type="dxa" w:w="259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12 months after randomization; not treatment-completion anchored</w:t>
            </w:r>
          </w:p>
        </w:tc>
        <w:tc>
          <w:tcPr>
            <w:tcW w:type="dxa" w:w="1728"/>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matched exact result</w:t>
            </w:r>
          </w:p>
        </w:tc>
      </w:tr>
      <w:tr>
        <w:trPr>
          <w:cantSplit/>
        </w:trPr>
        <w:tc>
          <w:tcPr>
            <w:tcW w:type="dxa" w:w="288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CHAMP_HAI14_6m_randomization</w:t>
            </w:r>
          </w:p>
        </w:tc>
        <w:tc>
          <w:tcPr>
            <w:tcW w:type="dxa" w:w="180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MD -4.830 [-6.210, -3.450]</w:t>
            </w:r>
          </w:p>
        </w:tc>
        <w:tc>
          <w:tcPr>
            <w:tcW w:type="dxa" w:w="259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6 months after randomization; not treatment-completion anchored</w:t>
            </w:r>
          </w:p>
        </w:tc>
        <w:tc>
          <w:tcPr>
            <w:tcW w:type="dxa" w:w="1728"/>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matched exact result</w:t>
            </w:r>
          </w:p>
        </w:tc>
      </w:tr>
      <w:tr>
        <w:trPr>
          <w:cantSplit/>
        </w:trPr>
        <w:tc>
          <w:tcPr>
            <w:tcW w:type="dxa" w:w="288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Eilenberg2016_WI7_6m_post_treatment_MD</w:t>
            </w:r>
          </w:p>
        </w:tc>
        <w:tc>
          <w:tcPr>
            <w:tcW w:type="dxa" w:w="180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MD -20.500 [-29.400, -11.700]</w:t>
            </w:r>
          </w:p>
        </w:tc>
        <w:tc>
          <w:tcPr>
            <w:tcW w:type="dxa" w:w="259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10 months after randomization =6 months after treatment</w:t>
            </w:r>
          </w:p>
        </w:tc>
        <w:tc>
          <w:tcPr>
            <w:tcW w:type="dxa" w:w="1728"/>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matched exact result</w:t>
            </w:r>
          </w:p>
        </w:tc>
      </w:tr>
      <w:tr>
        <w:trPr>
          <w:cantSplit/>
        </w:trPr>
        <w:tc>
          <w:tcPr>
            <w:tcW w:type="dxa" w:w="288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Greeven2007_CBT_medication_paroxetine_WI14_EOT</w:t>
            </w:r>
          </w:p>
        </w:tc>
        <w:tc>
          <w:tcPr>
            <w:tcW w:type="dxa" w:w="180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Hedges_g -0.090 [-0.541, 0.362]</w:t>
            </w:r>
          </w:p>
        </w:tc>
        <w:tc>
          <w:tcPr>
            <w:tcW w:type="dxa" w:w="259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16 weeks after treatment start/randomization</w:t>
            </w:r>
          </w:p>
        </w:tc>
        <w:tc>
          <w:tcPr>
            <w:tcW w:type="dxa" w:w="1728"/>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matched exact result</w:t>
            </w:r>
          </w:p>
        </w:tc>
      </w:tr>
      <w:tr>
        <w:trPr>
          <w:cantSplit/>
        </w:trPr>
        <w:tc>
          <w:tcPr>
            <w:tcW w:type="dxa" w:w="288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Greeven2007_CBT_pill_placebo_clinical_management_WI14_EOT</w:t>
            </w:r>
          </w:p>
        </w:tc>
        <w:tc>
          <w:tcPr>
            <w:tcW w:type="dxa" w:w="180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Hedges_g -0.443 [-0.905, 0.020]</w:t>
            </w:r>
          </w:p>
        </w:tc>
        <w:tc>
          <w:tcPr>
            <w:tcW w:type="dxa" w:w="259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16 weeks after treatment start/randomization</w:t>
            </w:r>
          </w:p>
        </w:tc>
        <w:tc>
          <w:tcPr>
            <w:tcW w:type="dxa" w:w="1728"/>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matched exact result</w:t>
            </w:r>
          </w:p>
        </w:tc>
      </w:tr>
      <w:tr>
        <w:trPr>
          <w:cantSplit/>
        </w:trPr>
        <w:tc>
          <w:tcPr>
            <w:tcW w:type="dxa" w:w="288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H11_ICBT_forum_EOT_raw</w:t>
            </w:r>
          </w:p>
        </w:tc>
        <w:tc>
          <w:tcPr>
            <w:tcW w:type="dxa" w:w="180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Hedges_g -1.601 [-2.098, -1.104]</w:t>
            </w:r>
          </w:p>
        </w:tc>
        <w:tc>
          <w:tcPr>
            <w:tcW w:type="dxa" w:w="259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Immediately after 12-week assigned treatment/control period</w:t>
            </w:r>
          </w:p>
        </w:tc>
        <w:tc>
          <w:tcPr>
            <w:tcW w:type="dxa" w:w="1728"/>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matched exact result</w:t>
            </w:r>
          </w:p>
        </w:tc>
      </w:tr>
      <w:tr>
        <w:trPr>
          <w:cantSplit/>
        </w:trPr>
        <w:tc>
          <w:tcPr>
            <w:tcW w:type="dxa" w:w="288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H14_ICBT_BSM_EOT_raw</w:t>
            </w:r>
          </w:p>
        </w:tc>
        <w:tc>
          <w:tcPr>
            <w:tcW w:type="dxa" w:w="180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Hedges_g -0.263 [-0.582, 0.056]</w:t>
            </w:r>
          </w:p>
        </w:tc>
        <w:tc>
          <w:tcPr>
            <w:tcW w:type="dxa" w:w="259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Immediately after 12-week assigned treatment/control period</w:t>
            </w:r>
          </w:p>
        </w:tc>
        <w:tc>
          <w:tcPr>
            <w:tcW w:type="dxa" w:w="1728"/>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matched exact result</w:t>
            </w:r>
          </w:p>
        </w:tc>
      </w:tr>
      <w:tr>
        <w:trPr>
          <w:cantSplit/>
        </w:trPr>
        <w:tc>
          <w:tcPr>
            <w:tcW w:type="dxa" w:w="288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H16_all3_CBT_WL_EOT_raw</w:t>
            </w:r>
          </w:p>
        </w:tc>
        <w:tc>
          <w:tcPr>
            <w:tcW w:type="dxa" w:w="180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Hedges_g -0.940 [-1.351, -0.529]</w:t>
            </w:r>
          </w:p>
        </w:tc>
        <w:tc>
          <w:tcPr>
            <w:tcW w:type="dxa" w:w="259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Immediately after 12-week assigned treatment/control period</w:t>
            </w:r>
          </w:p>
        </w:tc>
        <w:tc>
          <w:tcPr>
            <w:tcW w:type="dxa" w:w="1728"/>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matched exact result</w:t>
            </w:r>
          </w:p>
        </w:tc>
      </w:tr>
      <w:tr>
        <w:trPr>
          <w:cantSplit/>
        </w:trPr>
        <w:tc>
          <w:tcPr>
            <w:tcW w:type="dxa" w:w="288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Hoffmann2021_WI7_6m_post_treatment_MD</w:t>
            </w:r>
          </w:p>
        </w:tc>
        <w:tc>
          <w:tcPr>
            <w:tcW w:type="dxa" w:w="180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MD -19.000 [-27.200, -10.800]</w:t>
            </w:r>
          </w:p>
        </w:tc>
        <w:tc>
          <w:tcPr>
            <w:tcW w:type="dxa" w:w="259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6 months after treatment = nominal 10 months after self-referral and 9 months after randomization</w:t>
            </w:r>
          </w:p>
        </w:tc>
        <w:tc>
          <w:tcPr>
            <w:tcW w:type="dxa" w:w="1728"/>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matched exact result</w:t>
            </w:r>
          </w:p>
        </w:tc>
      </w:tr>
      <w:tr>
        <w:trPr>
          <w:cantSplit/>
        </w:trPr>
        <w:tc>
          <w:tcPr>
            <w:tcW w:type="dxa" w:w="288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Jakes2025_IAS_short</w:t>
            </w:r>
          </w:p>
        </w:tc>
        <w:tc>
          <w:tcPr>
            <w:tcW w:type="dxa" w:w="180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MD -0.320 [-5.600, 4.910]</w:t>
            </w:r>
          </w:p>
        </w:tc>
        <w:tc>
          <w:tcPr>
            <w:tcW w:type="dxa" w:w="259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four weeks after treatment; baseline to week 8 model change</w:t>
            </w:r>
          </w:p>
        </w:tc>
        <w:tc>
          <w:tcPr>
            <w:tcW w:type="dxa" w:w="1728"/>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matched exact result</w:t>
            </w:r>
          </w:p>
        </w:tc>
      </w:tr>
      <w:tr>
        <w:trPr>
          <w:cantSplit/>
        </w:trPr>
        <w:tc>
          <w:tcPr>
            <w:tcW w:type="dxa" w:w="288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Lee2015_end</w:t>
            </w:r>
          </w:p>
        </w:tc>
        <w:tc>
          <w:tcPr>
            <w:tcW w:type="dxa" w:w="180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Hedges_g -0.224 [-0.865, 0.417]</w:t>
            </w:r>
          </w:p>
        </w:tc>
        <w:tc>
          <w:tcPr>
            <w:tcW w:type="dxa" w:w="259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after treatment completion; treatment_end=0</w:t>
            </w:r>
          </w:p>
        </w:tc>
        <w:tc>
          <w:tcPr>
            <w:tcW w:type="dxa" w:w="1728"/>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matched exact result</w:t>
            </w:r>
          </w:p>
        </w:tc>
      </w:tr>
      <w:tr>
        <w:trPr>
          <w:cantSplit/>
        </w:trPr>
        <w:tc>
          <w:tcPr>
            <w:tcW w:type="dxa" w:w="288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McManus2012_SHAI18_12mo_ITT</w:t>
            </w:r>
          </w:p>
        </w:tc>
        <w:tc>
          <w:tcPr>
            <w:tcW w:type="dxa" w:w="180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Hedges_g -0.481 [-0.939, -0.023]</w:t>
            </w:r>
          </w:p>
        </w:tc>
        <w:tc>
          <w:tcPr>
            <w:tcW w:type="dxa" w:w="259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12 months after intervention</w:t>
            </w:r>
          </w:p>
        </w:tc>
        <w:tc>
          <w:tcPr>
            <w:tcW w:type="dxa" w:w="1728"/>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related appraisal only descriptive sensitivity</w:t>
            </w:r>
          </w:p>
        </w:tc>
      </w:tr>
      <w:tr>
        <w:trPr>
          <w:cantSplit/>
        </w:trPr>
        <w:tc>
          <w:tcPr>
            <w:tcW w:type="dxa" w:w="288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McManus2012_SHAI18_post_ITT</w:t>
            </w:r>
          </w:p>
        </w:tc>
        <w:tc>
          <w:tcPr>
            <w:tcW w:type="dxa" w:w="180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Hedges_g -0.336 [-0.790, 0.119]</w:t>
            </w:r>
          </w:p>
        </w:tc>
        <w:tc>
          <w:tcPr>
            <w:tcW w:type="dxa" w:w="259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Immediately after 8-week MBCT/usual-services period</w:t>
            </w:r>
          </w:p>
        </w:tc>
        <w:tc>
          <w:tcPr>
            <w:tcW w:type="dxa" w:w="1728"/>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matched exact result</w:t>
            </w:r>
          </w:p>
        </w:tc>
      </w:tr>
      <w:tr>
        <w:trPr>
          <w:cantSplit/>
        </w:trPr>
        <w:tc>
          <w:tcPr>
            <w:tcW w:type="dxa" w:w="288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Morriss2019_SHAI14_12m_baseline</w:t>
            </w:r>
          </w:p>
        </w:tc>
        <w:tc>
          <w:tcPr>
            <w:tcW w:type="dxa" w:w="180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MD -2.810 [-5.110, -0.500]</w:t>
            </w:r>
          </w:p>
        </w:tc>
        <w:tc>
          <w:tcPr>
            <w:tcW w:type="dxa" w:w="259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12 months after baseline/randomization; not treatment-completion anchored</w:t>
            </w:r>
          </w:p>
        </w:tc>
        <w:tc>
          <w:tcPr>
            <w:tcW w:type="dxa" w:w="1728"/>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matched exact result</w:t>
            </w:r>
          </w:p>
        </w:tc>
      </w:tr>
      <w:tr>
        <w:trPr>
          <w:cantSplit/>
        </w:trPr>
        <w:tc>
          <w:tcPr>
            <w:tcW w:type="dxa" w:w="288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Morriss2019_SHAI14_6m_baseline</w:t>
            </w:r>
          </w:p>
        </w:tc>
        <w:tc>
          <w:tcPr>
            <w:tcW w:type="dxa" w:w="180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MD -2.810 [-5.110, -0.500]</w:t>
            </w:r>
          </w:p>
        </w:tc>
        <w:tc>
          <w:tcPr>
            <w:tcW w:type="dxa" w:w="259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6 months after baseline/randomization; not treatment-completion anchored</w:t>
            </w:r>
          </w:p>
        </w:tc>
        <w:tc>
          <w:tcPr>
            <w:tcW w:type="dxa" w:w="1728"/>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matched exact result</w:t>
            </w:r>
          </w:p>
        </w:tc>
      </w:tr>
      <w:tr>
        <w:trPr>
          <w:cantSplit/>
        </w:trPr>
        <w:tc>
          <w:tcPr>
            <w:tcW w:type="dxa" w:w="288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N18_ICBT_psychoeducation_EOT_reported_g</w:t>
            </w:r>
          </w:p>
        </w:tc>
        <w:tc>
          <w:tcPr>
            <w:tcW w:type="dxa" w:w="180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Hedges_g -1.390 [-1.930, -0.870]</w:t>
            </w:r>
          </w:p>
        </w:tc>
        <w:tc>
          <w:tcPr>
            <w:tcW w:type="dxa" w:w="259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Post-treatment after six lessons across 12 weeks; current registry specifies one week after treatment/week 13</w:t>
            </w:r>
          </w:p>
        </w:tc>
        <w:tc>
          <w:tcPr>
            <w:tcW w:type="dxa" w:w="1728"/>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matched exact result</w:t>
            </w:r>
          </w:p>
        </w:tc>
      </w:tr>
      <w:tr>
        <w:trPr>
          <w:cantSplit/>
        </w:trPr>
        <w:tc>
          <w:tcPr>
            <w:tcW w:type="dxa" w:w="288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OBryan2019_SHAI14_month1</w:t>
            </w:r>
          </w:p>
        </w:tc>
        <w:tc>
          <w:tcPr>
            <w:tcW w:type="dxa" w:w="180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Hedges_g -0.502 [-1.046, 0.042]</w:t>
            </w:r>
          </w:p>
        </w:tc>
        <w:tc>
          <w:tcPr>
            <w:tcW w:type="dxa" w:w="259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1 month after intervention</w:t>
            </w:r>
          </w:p>
        </w:tc>
        <w:tc>
          <w:tcPr>
            <w:tcW w:type="dxa" w:w="1728"/>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related appraisal only descriptive sensitivity</w:t>
            </w:r>
          </w:p>
        </w:tc>
      </w:tr>
      <w:tr>
        <w:trPr>
          <w:cantSplit/>
        </w:trPr>
        <w:tc>
          <w:tcPr>
            <w:tcW w:type="dxa" w:w="288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OBryan2019_SHAI14_week1</w:t>
            </w:r>
          </w:p>
        </w:tc>
        <w:tc>
          <w:tcPr>
            <w:tcW w:type="dxa" w:w="180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Hedges_g -0.305 [-0.799, 0.190]</w:t>
            </w:r>
          </w:p>
        </w:tc>
        <w:tc>
          <w:tcPr>
            <w:tcW w:type="dxa" w:w="259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1 week after intervention</w:t>
            </w:r>
          </w:p>
        </w:tc>
        <w:tc>
          <w:tcPr>
            <w:tcW w:type="dxa" w:w="1728"/>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related appraisal only descriptive sensitivity</w:t>
            </w:r>
          </w:p>
        </w:tc>
      </w:tr>
      <w:tr>
        <w:trPr>
          <w:cantSplit/>
        </w:trPr>
        <w:tc>
          <w:tcPr>
            <w:tcW w:type="dxa" w:w="288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OBryan2019_model_month1</w:t>
            </w:r>
          </w:p>
        </w:tc>
        <w:tc>
          <w:tcPr>
            <w:tcW w:type="dxa" w:w="180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SHAI14_model_change_difference -1.890 [-4.650, 0.870]</w:t>
            </w:r>
          </w:p>
        </w:tc>
        <w:tc>
          <w:tcPr>
            <w:tcW w:type="dxa" w:w="259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Refer to named assessment in the result-specific appraisal table</w:t>
            </w:r>
          </w:p>
        </w:tc>
        <w:tc>
          <w:tcPr>
            <w:tcW w:type="dxa" w:w="1728"/>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matched exact result</w:t>
            </w:r>
          </w:p>
        </w:tc>
      </w:tr>
      <w:tr>
        <w:trPr>
          <w:cantSplit/>
        </w:trPr>
        <w:tc>
          <w:tcPr>
            <w:tcW w:type="dxa" w:w="288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OBryan2019_model_week1</w:t>
            </w:r>
          </w:p>
        </w:tc>
        <w:tc>
          <w:tcPr>
            <w:tcW w:type="dxa" w:w="180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SHAI14_model_change_difference -0.460 [-2.630, 1.700]</w:t>
            </w:r>
          </w:p>
        </w:tc>
        <w:tc>
          <w:tcPr>
            <w:tcW w:type="dxa" w:w="259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Refer to named assessment in the result-specific appraisal table</w:t>
            </w:r>
          </w:p>
        </w:tc>
        <w:tc>
          <w:tcPr>
            <w:tcW w:type="dxa" w:w="1728"/>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related appraisal only descriptive sensitivity</w:t>
            </w:r>
          </w:p>
        </w:tc>
      </w:tr>
      <w:tr>
        <w:trPr>
          <w:cantSplit/>
        </w:trPr>
        <w:tc>
          <w:tcPr>
            <w:tcW w:type="dxa" w:w="288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Shabahang2021_SHAI18_post</w:t>
            </w:r>
          </w:p>
        </w:tc>
        <w:tc>
          <w:tcPr>
            <w:tcW w:type="dxa" w:w="180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Hedges_g -1.074 [-1.415, -0.733]</w:t>
            </w:r>
          </w:p>
        </w:tc>
        <w:tc>
          <w:tcPr>
            <w:tcW w:type="dxa" w:w="259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After the 3-week assigned intervention</w:t>
            </w:r>
          </w:p>
        </w:tc>
        <w:tc>
          <w:tcPr>
            <w:tcW w:type="dxa" w:w="1728"/>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matched exact result</w:t>
            </w:r>
          </w:p>
        </w:tc>
      </w:tr>
      <w:tr>
        <w:trPr>
          <w:cantSplit/>
        </w:trPr>
        <w:tc>
          <w:tcPr>
            <w:tcW w:type="dxa" w:w="288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Shahidi2023_end</w:t>
            </w:r>
          </w:p>
        </w:tc>
        <w:tc>
          <w:tcPr>
            <w:tcW w:type="dxa" w:w="180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Hedges_g -1.469 [-2.016, -0.922]</w:t>
            </w:r>
          </w:p>
        </w:tc>
        <w:tc>
          <w:tcPr>
            <w:tcW w:type="dxa" w:w="259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after treatment completion; treatment_end=0</w:t>
            </w:r>
          </w:p>
        </w:tc>
        <w:tc>
          <w:tcPr>
            <w:tcW w:type="dxa" w:w="1728"/>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matched exact result</w:t>
            </w:r>
          </w:p>
        </w:tc>
      </w:tr>
      <w:tr>
        <w:trPr>
          <w:cantSplit/>
        </w:trPr>
        <w:tc>
          <w:tcPr>
            <w:tcW w:type="dxa" w:w="288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Sorensen2011_CBT_active_psychological_STPP_HAI14_EOT</w:t>
            </w:r>
          </w:p>
        </w:tc>
        <w:tc>
          <w:tcPr>
            <w:tcW w:type="dxa" w:w="180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Hedges_g -1.303 [-1.974, -0.632]</w:t>
            </w:r>
          </w:p>
        </w:tc>
        <w:tc>
          <w:tcPr>
            <w:tcW w:type="dxa" w:w="259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Approximately 6 months after randomization, completion of 16-session treatment; before WL rerandomization</w:t>
            </w:r>
          </w:p>
        </w:tc>
        <w:tc>
          <w:tcPr>
            <w:tcW w:type="dxa" w:w="1728"/>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matched exact result</w:t>
            </w:r>
          </w:p>
        </w:tc>
      </w:tr>
      <w:tr>
        <w:trPr>
          <w:cantSplit/>
        </w:trPr>
        <w:tc>
          <w:tcPr>
            <w:tcW w:type="dxa" w:w="288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Sorensen2011_CBT_waiting_list_HAI14_EOT</w:t>
            </w:r>
          </w:p>
        </w:tc>
        <w:tc>
          <w:tcPr>
            <w:tcW w:type="dxa" w:w="180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Hedges_g -1.405 [-2.004, -0.807]</w:t>
            </w:r>
          </w:p>
        </w:tc>
        <w:tc>
          <w:tcPr>
            <w:tcW w:type="dxa" w:w="259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Approximately 6 months after randomization, completion of 16-session treatment; before WL rerandomization</w:t>
            </w:r>
          </w:p>
        </w:tc>
        <w:tc>
          <w:tcPr>
            <w:tcW w:type="dxa" w:w="1728"/>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matched exact result</w:t>
            </w:r>
          </w:p>
        </w:tc>
      </w:tr>
      <w:tr>
        <w:trPr>
          <w:cantSplit/>
        </w:trPr>
        <w:tc>
          <w:tcPr>
            <w:tcW w:type="dxa" w:w="288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Visser2001_CT_ERP_IAS_HA_EOT</w:t>
            </w:r>
          </w:p>
        </w:tc>
        <w:tc>
          <w:tcPr>
            <w:tcW w:type="dxa" w:w="180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Hedges_g -0.381 [-0.981, 0.218]</w:t>
            </w:r>
          </w:p>
        </w:tc>
        <w:tc>
          <w:tcPr>
            <w:tcW w:type="dxa" w:w="259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12 weeks after treatment start, initial pre-WL-crossover comparison</w:t>
            </w:r>
          </w:p>
        </w:tc>
        <w:tc>
          <w:tcPr>
            <w:tcW w:type="dxa" w:w="1728"/>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matched exact result</w:t>
            </w:r>
          </w:p>
        </w:tc>
      </w:tr>
      <w:tr>
        <w:trPr>
          <w:cantSplit/>
        </w:trPr>
        <w:tc>
          <w:tcPr>
            <w:tcW w:type="dxa" w:w="288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Weck2015_CT_ET_IAS27_postcourse</w:t>
            </w:r>
          </w:p>
        </w:tc>
        <w:tc>
          <w:tcPr>
            <w:tcW w:type="dxa" w:w="180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Hedges_g 0.029 [-0.564, 0.623]</w:t>
            </w:r>
          </w:p>
        </w:tc>
        <w:tc>
          <w:tcPr>
            <w:tcW w:type="dxa" w:w="259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12 weekly sessions before WL crossover; before later boosters</w:t>
            </w:r>
          </w:p>
        </w:tc>
        <w:tc>
          <w:tcPr>
            <w:tcW w:type="dxa" w:w="1728"/>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matched exact result</w:t>
            </w:r>
          </w:p>
        </w:tc>
      </w:tr>
      <w:tr>
        <w:trPr>
          <w:cantSplit/>
        </w:trPr>
        <w:tc>
          <w:tcPr>
            <w:tcW w:type="dxa" w:w="288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Weck2015_CT_ET_combined_HYBOCS_behavioural5_postcourse</w:t>
            </w:r>
          </w:p>
        </w:tc>
        <w:tc>
          <w:tcPr>
            <w:tcW w:type="dxa" w:w="180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Hedges_g -0.937 [-1.384, -0.490]</w:t>
            </w:r>
          </w:p>
        </w:tc>
        <w:tc>
          <w:tcPr>
            <w:tcW w:type="dxa" w:w="259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12 weekly sessions before WL crossover; boosters scheduled 1/3/6 months after regular course</w:t>
            </w:r>
          </w:p>
        </w:tc>
        <w:tc>
          <w:tcPr>
            <w:tcW w:type="dxa" w:w="1728"/>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matched exact result</w:t>
            </w:r>
          </w:p>
        </w:tc>
      </w:tr>
      <w:tr>
        <w:trPr>
          <w:cantSplit/>
        </w:trPr>
        <w:tc>
          <w:tcPr>
            <w:tcW w:type="dxa" w:w="288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Weck2015_CT_ET_combined_HYBOCS_cognitive5_postcourse</w:t>
            </w:r>
          </w:p>
        </w:tc>
        <w:tc>
          <w:tcPr>
            <w:tcW w:type="dxa" w:w="180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Hedges_g -1.161 [-1.619, -0.702]</w:t>
            </w:r>
          </w:p>
        </w:tc>
        <w:tc>
          <w:tcPr>
            <w:tcW w:type="dxa" w:w="259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12 weekly sessions before WL crossover; boosters scheduled 1/3/6 months after regular course</w:t>
            </w:r>
          </w:p>
        </w:tc>
        <w:tc>
          <w:tcPr>
            <w:tcW w:type="dxa" w:w="1728"/>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matched exact result</w:t>
            </w:r>
          </w:p>
        </w:tc>
      </w:tr>
      <w:tr>
        <w:trPr>
          <w:cantSplit/>
        </w:trPr>
        <w:tc>
          <w:tcPr>
            <w:tcW w:type="dxa" w:w="288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Weck2015_CT_ET_combined_IAS27_postcourse</w:t>
            </w:r>
          </w:p>
        </w:tc>
        <w:tc>
          <w:tcPr>
            <w:tcW w:type="dxa" w:w="180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Hedges_g -1.176 [-1.635, -0.716]</w:t>
            </w:r>
          </w:p>
        </w:tc>
        <w:tc>
          <w:tcPr>
            <w:tcW w:type="dxa" w:w="259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12 weekly sessions before WL crossover; boosters scheduled 1/3/6 months after regular course</w:t>
            </w:r>
          </w:p>
        </w:tc>
        <w:tc>
          <w:tcPr>
            <w:tcW w:type="dxa" w:w="1728"/>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matched exact result</w:t>
            </w:r>
          </w:p>
        </w:tc>
      </w:tr>
      <w:tr>
        <w:trPr>
          <w:cantSplit/>
        </w:trPr>
        <w:tc>
          <w:tcPr>
            <w:tcW w:type="dxa" w:w="288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Kerstner2015_mSHAI_2week_raw_endpoint</w:t>
            </w:r>
          </w:p>
        </w:tc>
        <w:tc>
          <w:tcPr>
            <w:tcW w:type="dxa" w:w="180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Hedges_g -0.602 [-1.033, -0.171]</w:t>
            </w:r>
          </w:p>
        </w:tc>
        <w:tc>
          <w:tcPr>
            <w:tcW w:type="dxa" w:w="259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Two-week posttraining immediately after session 4; before optional later CBT</w:t>
            </w:r>
          </w:p>
        </w:tc>
        <w:tc>
          <w:tcPr>
            <w:tcW w:type="dxa" w:w="1728"/>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matched exact result</w:t>
            </w:r>
          </w:p>
        </w:tc>
      </w:tr>
      <w:tr>
        <w:trPr>
          <w:cantSplit/>
        </w:trPr>
        <w:tc>
          <w:tcPr>
            <w:tcW w:type="dxa" w:w="288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Bailey2024_WI14_post_raw_endpoint</w:t>
            </w:r>
          </w:p>
        </w:tc>
        <w:tc>
          <w:tcPr>
            <w:tcW w:type="dxa" w:w="180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Hedges_g -3.210 [-4.512, -1.908]</w:t>
            </w:r>
          </w:p>
        </w:tc>
        <w:tc>
          <w:tcPr>
            <w:tcW w:type="dxa" w:w="259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End of treatment/wait, before crossover</w:t>
            </w:r>
          </w:p>
        </w:tc>
        <w:tc>
          <w:tcPr>
            <w:tcW w:type="dxa" w:w="1728"/>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matched exact result</w:t>
            </w:r>
          </w:p>
        </w:tc>
      </w:tr>
      <w:tr>
        <w:trPr>
          <w:cantSplit/>
        </w:trPr>
        <w:tc>
          <w:tcPr>
            <w:tcW w:type="dxa" w:w="288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Schwind2016_IAS_ATT_vs_none_1week</w:t>
            </w:r>
          </w:p>
        </w:tc>
        <w:tc>
          <w:tcPr>
            <w:tcW w:type="dxa" w:w="180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Hedges_g 0.024 [-0.615, 0.663]</w:t>
            </w:r>
          </w:p>
        </w:tc>
        <w:tc>
          <w:tcPr>
            <w:tcW w:type="dxa" w:w="259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End of one week of daily attention training</w:t>
            </w:r>
          </w:p>
        </w:tc>
        <w:tc>
          <w:tcPr>
            <w:tcW w:type="dxa" w:w="1728"/>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matched exact result</w:t>
            </w:r>
          </w:p>
        </w:tc>
      </w:tr>
      <w:tr>
        <w:trPr>
          <w:cantSplit/>
        </w:trPr>
        <w:tc>
          <w:tcPr>
            <w:tcW w:type="dxa" w:w="288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Schwind2016_IAS_ATT_vs_body_1week</w:t>
            </w:r>
          </w:p>
        </w:tc>
        <w:tc>
          <w:tcPr>
            <w:tcW w:type="dxa" w:w="180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Hedges_g 0.430 [-0.217, 1.076]</w:t>
            </w:r>
          </w:p>
        </w:tc>
        <w:tc>
          <w:tcPr>
            <w:tcW w:type="dxa" w:w="259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End of one week of daily attention training</w:t>
            </w:r>
          </w:p>
        </w:tc>
        <w:tc>
          <w:tcPr>
            <w:tcW w:type="dxa" w:w="1728"/>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matched exact result</w:t>
            </w:r>
          </w:p>
        </w:tc>
      </w:tr>
      <w:tr>
        <w:trPr>
          <w:cantSplit/>
        </w:trPr>
        <w:tc>
          <w:tcPr>
            <w:tcW w:type="dxa" w:w="288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Seivewright2008_HAI_shortform_month3_raw_availablecase</w:t>
            </w:r>
          </w:p>
        </w:tc>
        <w:tc>
          <w:tcPr>
            <w:tcW w:type="dxa" w:w="180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Hedges_g -0.717 [-1.326, -0.107]</w:t>
            </w:r>
          </w:p>
        </w:tc>
        <w:tc>
          <w:tcPr>
            <w:tcW w:type="dxa" w:w="259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Months after randomization; not a fixed immediate post-treatment measurement</w:t>
            </w:r>
          </w:p>
        </w:tc>
        <w:tc>
          <w:tcPr>
            <w:tcW w:type="dxa" w:w="1728"/>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matched exact result</w:t>
            </w:r>
          </w:p>
        </w:tc>
      </w:tr>
      <w:tr>
        <w:trPr>
          <w:cantSplit/>
        </w:trPr>
        <w:tc>
          <w:tcPr>
            <w:tcW w:type="dxa" w:w="288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Seivewright2008_HAI_shortform_month6_raw_availablecase</w:t>
            </w:r>
          </w:p>
        </w:tc>
        <w:tc>
          <w:tcPr>
            <w:tcW w:type="dxa" w:w="180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Hedges_g -1.070 [-1.701, -0.440]</w:t>
            </w:r>
          </w:p>
        </w:tc>
        <w:tc>
          <w:tcPr>
            <w:tcW w:type="dxa" w:w="259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Months after randomization; not a fixed immediate post-treatment measurement</w:t>
            </w:r>
          </w:p>
        </w:tc>
        <w:tc>
          <w:tcPr>
            <w:tcW w:type="dxa" w:w="1728"/>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matched exact result</w:t>
            </w:r>
          </w:p>
        </w:tc>
      </w:tr>
      <w:tr>
        <w:trPr>
          <w:cantSplit/>
        </w:trPr>
        <w:tc>
          <w:tcPr>
            <w:tcW w:type="dxa" w:w="288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Seivewright2008_HAI_shortform_month12_raw_availablecase</w:t>
            </w:r>
          </w:p>
        </w:tc>
        <w:tc>
          <w:tcPr>
            <w:tcW w:type="dxa" w:w="180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Hedges_g -1.136 [-1.789, -0.483]</w:t>
            </w:r>
          </w:p>
        </w:tc>
        <w:tc>
          <w:tcPr>
            <w:tcW w:type="dxa" w:w="259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Months after randomization; not a fixed immediate post-treatment measurement</w:t>
            </w:r>
          </w:p>
        </w:tc>
        <w:tc>
          <w:tcPr>
            <w:tcW w:type="dxa" w:w="1728"/>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line="240" w:lineRule="auto" w:after="60"/>
            </w:pPr>
            <w:r>
              <w:rPr>
                <w:b w:val="0"/>
                <w:sz w:val="18"/>
              </w:rPr>
              <w:t>matched exact result</w:t>
            </w:r>
          </w:p>
        </w:tc>
      </w:tr>
    </w:tbl>
    <w:p>
      <w:r>
        <w:t>Rows are not independent studies or participants. Shared controls, repeated outcomes and alternative estimands must not enter the same analysis as independent observations.</w:t>
      </w:r>
    </w:p>
    <w:p>
      <w:r>
        <w:t>Forty rows have matching result-specific appraisals. The remaining five are explicitly descriptive or sensitivity results: the Barghbani change score, McManus one-year SHAI, two O’Bryan raw endpoints, and O’Bryan week-one model contrast. Their related appraisals do not certify exact applicability.</w:t>
      </w:r>
    </w:p>
    <w:p>
      <w:r>
        <w:t>Published adjusted means and standard errors are not converted into raw standard deviations; model contrasts retain the original confidence limits.</w:t>
      </w:r>
    </w:p>
    <w:p>
      <w:pPr>
        <w:pStyle w:val="Heading1"/>
      </w:pPr>
      <w:r>
        <w:t>Interpretive limits</w:t>
      </w:r>
    </w:p>
    <w:p>
      <w:r>
        <w:t>The historical three-family CBT–waiting-list pool remains an exploratory supplementary sensitivity. Selection followed knowledge of results and available numerical summaries; alternative heterogeneity estimators cannot make it a complete evidence estimate.</w:t>
      </w:r>
    </w:p>
    <w:p>
      <w:r>
        <w:t>No pooled effect across all psychological interventions is reported. Intervention content, comparator, outcome version, timing and source estimand differ; narrative synthesis preserves those differences.</w:t>
      </w:r>
    </w:p>
    <w:p>
      <w:r>
        <w:t>The illustrative internet-CBT/bias-modification and medical-service displays are unpooled source-linked comparisons. They are not an exhaustive representation of every result in the review.</w:t>
      </w:r>
    </w:p>
    <w:p>
      <w:r>
        <w:t>Sorensen raw variances do not account for partial nesting; this contrast must not be promoted as a correctly cluster-adjusted primary pooled result.</w:t>
      </w:r>
    </w:p>
    <w:p>
      <w:r>
        <w:t>The Shabahang reports must not be entered simultaneously as independent samples. Different values or treatment delivery do not establish participant independence.</w:t>
      </w:r>
    </w:p>
    <w:p>
      <w:r>
        <w:t>Absence of extractable harms, remission, function or care-use estimates is not evidence of safety, recovery, improved functioning or cost savings.</w:t>
      </w:r>
    </w:p>
    <w:p>
      <w:r>
        <w:t>Specialist-database coverage and citation tracking were limited. A dated retrieval cutoff closes the documented review process while retaining uncertainty; it does not establish that unavailable reports were irrelevant.</w:t>
      </w:r>
    </w:p>
    <w:p>
      <w:pPr>
        <w:pStyle w:val="Heading1"/>
      </w:pPr>
      <w:r>
        <w:t>References</w:t>
      </w:r>
    </w:p>
    <w:p>
      <w:pPr>
        <w:ind w:left="432" w:hanging="432"/>
      </w:pPr>
      <w:r>
        <w:t xml:space="preserve">Antognelli, S. L., Sharrock, M. J., &amp; Newby, J. M. (2020). A randomised controlled trial of computerised interpretation bias modification for health anxiety. </w:t>
      </w:r>
      <w:r>
        <w:rPr>
          <w:i/>
        </w:rPr>
        <w:t>Journal of Behavior Therapy and Experimental Psychiatry</w:t>
      </w:r>
      <w:r>
        <w:t>, 66, Article 101518. https://doi.org/10.1016/j.jbtep.2019.101518</w:t>
      </w:r>
    </w:p>
    <w:p>
      <w:pPr>
        <w:ind w:left="432" w:hanging="432"/>
      </w:pPr>
      <w:r>
        <w:t xml:space="preserve">Avia, M. D., Ruiz, M. A., Olivares, M. E., Crespo, M., Guisado, A. B., Sánchez, A., &amp; Varela, A. (1996). The meaning of psychological symptoms: Effectiveness of a group intervention with hypochondriacal patients. </w:t>
      </w:r>
      <w:r>
        <w:rPr>
          <w:i/>
        </w:rPr>
        <w:t>Behaviour Research and Therapy</w:t>
      </w:r>
      <w:r>
        <w:t>, 34(1), 23–31. https://doi.org/10.1016/0005-7967(95)00052-y</w:t>
      </w:r>
    </w:p>
    <w:p>
      <w:pPr>
        <w:ind w:left="432" w:hanging="432"/>
      </w:pPr>
      <w:r>
        <w:t xml:space="preserve">Axelsson, E., Andersson, E., Ljótsson, B., Björkander, D., Hedman-Lagerlöf, M., &amp; Hedman-Lagerlöf, E. (2020). Effect of internet vs face-to-face cognitive behavior therapy for health anxiety: A randomized noninferiority clinical trial. </w:t>
      </w:r>
      <w:r>
        <w:rPr>
          <w:i/>
        </w:rPr>
        <w:t>JAMA Psychiatry</w:t>
      </w:r>
      <w:r>
        <w:t>, 77(9), 915–924. https://doi.org/10.1001/jamapsychiatry.2020.0940</w:t>
      </w:r>
    </w:p>
    <w:p>
      <w:pPr>
        <w:ind w:left="432" w:hanging="432"/>
      </w:pPr>
      <w:r>
        <w:t xml:space="preserve">Bailey, R., &amp; Wells, A. (2024). Feasibility and preliminary efficacy of metacognitive therapy for health anxiety: A pilot RCT. </w:t>
      </w:r>
      <w:r>
        <w:rPr>
          <w:i/>
        </w:rPr>
        <w:t>Journal of Affective Disorders Reports</w:t>
      </w:r>
      <w:r>
        <w:t>, 16, Article 100751. https://doi.org/10.1016/j.jadr.2024.100751</w:t>
      </w:r>
    </w:p>
    <w:p>
      <w:pPr>
        <w:ind w:left="432" w:hanging="432"/>
      </w:pPr>
      <w:r>
        <w:t xml:space="preserve">Barghbani, H., Barghbani, R., Salehi, Y., &amp; Rad, M. (2023). Investigating the effects of the virtual training of the Benson relaxation technique on illness anxiety disorder among the informal caregivers of COVID-19 patients: A randomized clinical trial. </w:t>
      </w:r>
      <w:r>
        <w:rPr>
          <w:i/>
        </w:rPr>
        <w:t>Journal of Research &amp; Health</w:t>
      </w:r>
      <w:r>
        <w:t>, 13(2), 99–108. https://doi.org/10.32598/jrh.13.2.2111.1</w:t>
      </w:r>
    </w:p>
    <w:p>
      <w:pPr>
        <w:ind w:left="432" w:hanging="432"/>
      </w:pPr>
      <w:r>
        <w:t xml:space="preserve">Barsky, A. J., &amp; Ahern, D. K. (2004). Cognitive behavior therapy for hypochondriasis: A randomized controlled trial. </w:t>
      </w:r>
      <w:r>
        <w:rPr>
          <w:i/>
        </w:rPr>
        <w:t>JAMA</w:t>
      </w:r>
      <w:r>
        <w:t>, 291(12), 1464–1470. https://doi.org/10.1001/jama.291.12.1464</w:t>
      </w:r>
    </w:p>
    <w:p>
      <w:pPr>
        <w:ind w:left="432" w:hanging="432"/>
      </w:pPr>
      <w:r>
        <w:t xml:space="preserve">Barsky, A. J., Ahern, D. K., Bauer, M. R., Nolido, N., &amp; Orav, E. J. (2013). A randomized trial of treatments for high-utilizing somatizing patients. </w:t>
      </w:r>
      <w:r>
        <w:rPr>
          <w:i/>
        </w:rPr>
        <w:t>Journal of General Internal Medicine</w:t>
      </w:r>
      <w:r>
        <w:t>, 28(11), 1396–1404. https://doi.org/10.1007/s11606-013-2392-6</w:t>
      </w:r>
    </w:p>
    <w:p>
      <w:pPr>
        <w:ind w:left="432" w:hanging="432"/>
      </w:pPr>
      <w:r>
        <w:t xml:space="preserve">Bourgault-Fagnou, M. D., &amp; Hadjistavropoulos, H. D. (2013). A randomized trial of two forms of cognitive behaviour therapy for an older adult population with subclinical health anxiety. </w:t>
      </w:r>
      <w:r>
        <w:rPr>
          <w:i/>
        </w:rPr>
        <w:t>Cognitive Behaviour Therapy</w:t>
      </w:r>
      <w:r>
        <w:t>, 42(1), 31–44. https://doi.org/10.1080/16506073.2012.717302</w:t>
      </w:r>
    </w:p>
    <w:p>
      <w:pPr>
        <w:ind w:left="432" w:hanging="432"/>
      </w:pPr>
      <w:r>
        <w:t>Bovell, C. V. (2012). Randomized controlled feasibility trial of a self-help book for health anxiety [Doctoral dissertation, University of Regina]. Library and Archives Canada. https://www.collectionscanada.gc.ca/obj/thesescanada/vol2/SRU/TC-SRU-3566.pdf</w:t>
      </w:r>
    </w:p>
    <w:p>
      <w:pPr>
        <w:ind w:left="432" w:hanging="432"/>
      </w:pPr>
      <w:r>
        <w:t xml:space="preserve">Buwalda, F. M., Bouman, T. K., &amp; van Duijn, M. A. J. (2007). Psychoeducation for hypochondriasis: A comparison of a cognitive-behavioural approach and a problem-solving approach. </w:t>
      </w:r>
      <w:r>
        <w:rPr>
          <w:i/>
        </w:rPr>
        <w:t>Behaviour Research and Therapy</w:t>
      </w:r>
      <w:r>
        <w:t>, 45(5), 887–899. https://doi.org/10.1016/j.brat.2006.08.004</w:t>
      </w:r>
    </w:p>
    <w:p>
      <w:pPr>
        <w:ind w:left="432" w:hanging="432"/>
      </w:pPr>
      <w:r>
        <w:t xml:space="preserve">Campbell, M., McKenzie, J. E., Sowden, A., Katikireddi, S. V., Brennan, S. E., Ellis, S., Hartmann-Boyce, J., Ryan, R., Shepperd, S., Thomas, J., Welch, V., &amp; Thomson, H. (2020). Synthesis without meta-analysis (SWiM) in systematic reviews: Reporting guideline. </w:t>
      </w:r>
      <w:r>
        <w:rPr>
          <w:i/>
        </w:rPr>
        <w:t>BMJ</w:t>
      </w:r>
      <w:r>
        <w:t>, 368, Article l6890. https://doi.org/10.1136/bmj.l6890</w:t>
      </w:r>
    </w:p>
    <w:p>
      <w:pPr>
        <w:ind w:left="432" w:hanging="432"/>
      </w:pPr>
      <w:r>
        <w:t xml:space="preserve">Clark, D. M., Salkovskis, P. M., Hackmann, A., Wells, A., Fennell, M., Ludgate, J., Ahmad, S., Richards, H. C., &amp; Gelder, M. (1998). Two psychological treatments for hypochondriasis. A randomised controlled trial. </w:t>
      </w:r>
      <w:r>
        <w:rPr>
          <w:i/>
        </w:rPr>
        <w:t>British Journal of Psychiatry</w:t>
      </w:r>
      <w:r>
        <w:t>, 173(3), 218–225. https://doi.org/10.1192/bjp.173.3.218</w:t>
      </w:r>
    </w:p>
    <w:p>
      <w:pPr>
        <w:ind w:left="432" w:hanging="432"/>
      </w:pPr>
      <w:r>
        <w:t xml:space="preserve">Crawford, M. J., King, J. D., McQuaid, A., Bassett, P., Leeson, V. C., Tella, O., Di Simplicio, M., Tyrer, P., Tyrer, H., Watt, R. G., &amp; Barnicot, K. (2024). Severe COVID anxiety among adults in the United Kingdom: Cohort study and nested feasibility trial. </w:t>
      </w:r>
      <w:r>
        <w:rPr>
          <w:i/>
        </w:rPr>
        <w:t>BMC Psychiatry</w:t>
      </w:r>
      <w:r>
        <w:t>, 24(1), Article 27. https://doi.org/10.1186/s12888-023-05446-9</w:t>
      </w:r>
    </w:p>
    <w:p>
      <w:pPr>
        <w:ind w:left="432" w:hanging="432"/>
      </w:pPr>
      <w:r>
        <w:t xml:space="preserve">Du, X., Lai, L., Shi, C., Guo, Z., Han, J., Zhang, T., &amp; Ren, Z. (2024). Internet-based cognitive bias modification of interpretation in health anxiety: A randomized controlled trial. </w:t>
      </w:r>
      <w:r>
        <w:rPr>
          <w:i/>
        </w:rPr>
        <w:t>Acta Psychologica Sinica</w:t>
      </w:r>
      <w:r>
        <w:t>, 56(10), 1351–1366. https://doi.org/10.3724/sp.j.1041.2024.01351</w:t>
      </w:r>
    </w:p>
    <w:p>
      <w:pPr>
        <w:ind w:left="432" w:hanging="432"/>
      </w:pPr>
      <w:r>
        <w:t xml:space="preserve">Eilenberg, T., Fink, P., Jensen, J. S., Rief, W., &amp; Frostholm, L. (2016). Acceptance and commitment group therapy (ACT-G) for health anxiety: A randomized controlled trial. </w:t>
      </w:r>
      <w:r>
        <w:rPr>
          <w:i/>
        </w:rPr>
        <w:t>Psychological Medicine</w:t>
      </w:r>
      <w:r>
        <w:t>, 46(1), 103–115. https://doi.org/10.1017/s0033291715001579</w:t>
      </w:r>
    </w:p>
    <w:p>
      <w:pPr>
        <w:ind w:left="432" w:hanging="432"/>
      </w:pPr>
      <w:r>
        <w:t xml:space="preserve">Fallon, B. A., Ahern, D. K., Pavlicova, M., Slavov, I., Skritskya, N., &amp; Barsky, A. J. (2017). A randomized controlled trial of medication and cognitive-behavioral therapy for hypochondriasis. </w:t>
      </w:r>
      <w:r>
        <w:rPr>
          <w:i/>
        </w:rPr>
        <w:t>American Journal of Psychiatry</w:t>
      </w:r>
      <w:r>
        <w:t>, 174(8), 756–764. https://doi.org/10.1176/appi.ajp.2017.16020189</w:t>
      </w:r>
    </w:p>
    <w:p>
      <w:pPr>
        <w:ind w:left="432" w:hanging="432"/>
      </w:pPr>
      <w:r>
        <w:t xml:space="preserve">Fava, G. A., Grandi, S., Rafanelli, C., Fabbri, S., &amp; Cazzaro, M. (2000). Explanatory therapy in hypochondriasis. </w:t>
      </w:r>
      <w:r>
        <w:rPr>
          <w:i/>
        </w:rPr>
        <w:t>The Journal of Clinical Psychiatry</w:t>
      </w:r>
      <w:r>
        <w:t>, 61(4), 317–322. https://doi.org/10.4088/jcp.v61n0414</w:t>
      </w:r>
    </w:p>
    <w:p>
      <w:pPr>
        <w:ind w:left="432" w:hanging="432"/>
      </w:pPr>
      <w:r>
        <w:t xml:space="preserve">Greeven, A., van Balkom, A. J. L. M., Visser, S., Merkelbach, J. W., van Rood, Y. R., van Dyck, R., Van der Does, A. J. W., Zitman, F. G., &amp; Spinhoven, P. (2007). Cognitive behavior therapy and paroxetine in the treatment of hypochondriasis: A randomized controlled trial. </w:t>
      </w:r>
      <w:r>
        <w:rPr>
          <w:i/>
        </w:rPr>
        <w:t>American Journal of Psychiatry</w:t>
      </w:r>
      <w:r>
        <w:t>, 164(1), 91–99. https://doi.org/10.1176/ajp.2007.164.1.91</w:t>
      </w:r>
    </w:p>
    <w:p>
      <w:pPr>
        <w:ind w:left="432" w:hanging="432"/>
      </w:pPr>
      <w:r>
        <w:t xml:space="preserve">Guyatt, G. H., Oxman, A. D., Vist, G. E., Kunz, R., Falck-Ytter, Y., Alonso-Coello, P., Schünemann, H. J., &amp; GRADE Working Group. (2008). GRADE: An emerging consensus on rating quality of evidence and strength of recommendations. </w:t>
      </w:r>
      <w:r>
        <w:rPr>
          <w:i/>
        </w:rPr>
        <w:t>BMJ</w:t>
      </w:r>
      <w:r>
        <w:t>, 336(7650), 924–926. https://doi.org/10.1136/bmj.39489.470347.ad</w:t>
      </w:r>
    </w:p>
    <w:p>
      <w:pPr>
        <w:ind w:left="432" w:hanging="432"/>
      </w:pPr>
      <w:r>
        <w:t xml:space="preserve">Hedman, E., Andersson, G., Andersson, E., Ljótsson, B., Rück, C., Asmundson, G. J. G., &amp; Lindefors, N. (2011). Internet-based cognitive–behavioural therapy for severe health anxiety: Randomised controlled trial. </w:t>
      </w:r>
      <w:r>
        <w:rPr>
          <w:i/>
        </w:rPr>
        <w:t>The British Journal of Psychiatry</w:t>
      </w:r>
      <w:r>
        <w:t>, 198(3), 230–236. https://doi.org/10.1192/bjp.bp.110.086843</w:t>
      </w:r>
    </w:p>
    <w:p>
      <w:pPr>
        <w:ind w:left="432" w:hanging="432"/>
      </w:pPr>
      <w:r>
        <w:t xml:space="preserve">Hedman, E., Axelsson, E., Andersson, E., Lekander, M., &amp; Ljótsson, B. (2016). Exposure-based cognitive–behavioural therapy via the internet and as bibliotherapy for somatic symptom disorder and illness anxiety disorder: Randomised controlled trial. </w:t>
      </w:r>
      <w:r>
        <w:rPr>
          <w:i/>
        </w:rPr>
        <w:t>The British Journal of Psychiatry</w:t>
      </w:r>
      <w:r>
        <w:t>, 209(5), 407–413. https://doi.org/10.1192/bjp.bp.116.181396</w:t>
      </w:r>
    </w:p>
    <w:p>
      <w:pPr>
        <w:ind w:left="432" w:hanging="432"/>
      </w:pPr>
      <w:r>
        <w:t xml:space="preserve">Hedman, E., Axelsson, E., Görling, A., Ritzman, C., Ronnheden, M., El Alaoui, S., Andersson, E., Lekander, M., &amp; Ljótsson, B. (2014). Internet-delivered exposure-based cognitive-behavioural therapy and behavioural stress management for severe health anxiety: Randomised controlled trial. </w:t>
      </w:r>
      <w:r>
        <w:rPr>
          <w:i/>
        </w:rPr>
        <w:t>British Journal of Psychiatry</w:t>
      </w:r>
      <w:r>
        <w:t>, 205(4), 307–314. https://doi.org/10.1192/bjp.bp.113.140913</w:t>
      </w:r>
    </w:p>
    <w:p>
      <w:pPr>
        <w:ind w:left="432" w:hanging="432"/>
      </w:pPr>
      <w:r>
        <w:t xml:space="preserve">Hoffmann, D., Rask, C. U., Hedman-Lagerlöf, E., Jensen, J. S., &amp; Frostholm, L. (2021). Efficacy of internet-delivered acceptance and commitment therapy for severe health anxiety: Results from a randomized, controlled trial. </w:t>
      </w:r>
      <w:r>
        <w:rPr>
          <w:i/>
        </w:rPr>
        <w:t>Psychological Medicine</w:t>
      </w:r>
      <w:r>
        <w:t>, 51(15), 2685–2695. https://doi.org/10.1017/s0033291720001312</w:t>
      </w:r>
    </w:p>
    <w:p>
      <w:pPr>
        <w:ind w:left="432" w:hanging="432"/>
      </w:pPr>
      <w:r>
        <w:t xml:space="preserve">Hüsing, P., Busmann, M., Löwe, B., &amp; Engelmann, P. (2025). A personalized online intervention to enhance back pain-related self-efficacy: A two-arm randomized controlled trial (IDRIS). </w:t>
      </w:r>
      <w:r>
        <w:rPr>
          <w:i/>
        </w:rPr>
        <w:t>Internet Interventions</w:t>
      </w:r>
      <w:r>
        <w:t>, 42, Article 100892. https://doi.org/10.1016/j.invent.2025.100892</w:t>
      </w:r>
    </w:p>
    <w:p>
      <w:pPr>
        <w:ind w:left="432" w:hanging="432"/>
      </w:pPr>
      <w:r>
        <w:t xml:space="preserve">Jakes, K. S., Jessup, S. C., Rosenfield, D., &amp; Olatunji, B. O. (2025). Effects of text message reminders of safety behavior reduction on health anxiety: A randomized control trial. </w:t>
      </w:r>
      <w:r>
        <w:rPr>
          <w:i/>
        </w:rPr>
        <w:t>Behaviour Research and Therapy</w:t>
      </w:r>
      <w:r>
        <w:t>, 192, 104790. https://doi.org/10.1016/j.brat.2025.104790</w:t>
      </w:r>
    </w:p>
    <w:p>
      <w:pPr>
        <w:ind w:left="432" w:hanging="432"/>
      </w:pPr>
      <w:r>
        <w:t xml:space="preserve">Kerstner, T., Witthöft, M., Mier, D., Diener, C., Rist, F., &amp; Bailer, J. (2015). A diary-based modification of symptom attributions in pathological health anxiety: Effects on symptom report and cognitive biases. </w:t>
      </w:r>
      <w:r>
        <w:rPr>
          <w:i/>
        </w:rPr>
        <w:t>Journal of Consulting and Clinical Psychology</w:t>
      </w:r>
      <w:r>
        <w:t>, 83(3), 578–589. https://doi.org/10.1037/a0039056</w:t>
      </w:r>
    </w:p>
    <w:p>
      <w:pPr>
        <w:ind w:left="432" w:hanging="432"/>
      </w:pPr>
      <w:r>
        <w:t xml:space="preserve">King, J. D., McQuaid, A., Barnicot, K., Bassett, P., Leeson, V. C., Di Simplicio, M., Tyrer, P., Tyrer, H., Watt, R. G., &amp; Crawford, M. J. (2025). Trajectory of severe COVID anxiety and predictors for recovery in an 18-month UK cohort. </w:t>
      </w:r>
      <w:r>
        <w:rPr>
          <w:i/>
        </w:rPr>
        <w:t>BJPsych Open</w:t>
      </w:r>
      <w:r>
        <w:t>, 11(6), Article e263. https://doi.org/10.1192/bjo.2025.10884</w:t>
      </w:r>
    </w:p>
    <w:p>
      <w:pPr>
        <w:ind w:left="432" w:hanging="432"/>
      </w:pPr>
      <w:r>
        <w:t xml:space="preserve">Krzikalla, C., Buhlmann, U., Schug, J., Kopei, I., Gerlach, A. L., Doebler, P., Morina, N., &amp; Andor, T. (2024). Worry postponement from the metacognitive perspective: A randomized waitlist-controlled trial. </w:t>
      </w:r>
      <w:r>
        <w:rPr>
          <w:i/>
        </w:rPr>
        <w:t>Clinical Psychology in Europe</w:t>
      </w:r>
      <w:r>
        <w:t>, 6(2), Article e12741. https://doi.org/10.32872/cpe.12741</w:t>
      </w:r>
    </w:p>
    <w:p>
      <w:pPr>
        <w:ind w:left="432" w:hanging="432"/>
      </w:pPr>
      <w:r>
        <w:t xml:space="preserve">Lee, H.-J., Goetz, A. R., Turkel, J. E., &amp; Siwiec, S. G. (2015). Computerized attention retraining for individuals with elevated health anxiety. </w:t>
      </w:r>
      <w:r>
        <w:rPr>
          <w:i/>
        </w:rPr>
        <w:t>Anxiety, Stress, &amp; Coping</w:t>
      </w:r>
      <w:r>
        <w:t>, 28(2), 226–237. https://doi.org/10.1080/10615806.2014.918964</w:t>
      </w:r>
    </w:p>
    <w:p>
      <w:pPr>
        <w:ind w:left="432" w:hanging="432"/>
      </w:pPr>
      <w:r>
        <w:t>Liao, Y., Wang, W., Fang, Y., Zhang, W., Song, S., &amp; Zhang, K. (2026). Impact of short videos on agomelatine and pregabalin efficacy for illness anxiety disorder: A randomized controlled trial [Preprint]. Research Square. https://doi.org/10.21203/rs.3.rs-9566804/v1</w:t>
      </w:r>
    </w:p>
    <w:p>
      <w:pPr>
        <w:ind w:left="432" w:hanging="432"/>
      </w:pPr>
      <w:r>
        <w:t xml:space="preserve">McManus, F., Surawy, C., Muse, K., Vazquez-Montes, M., &amp; Williams, J. M. G. (2012). A randomized clinical trial of mindfulness-based cognitive therapy versus unrestricted services for health anxiety (hypochondriasis). </w:t>
      </w:r>
      <w:r>
        <w:rPr>
          <w:i/>
        </w:rPr>
        <w:t>Journal of Consulting and Clinical Psychology</w:t>
      </w:r>
      <w:r>
        <w:t>, 80(5), 817–828. https://doi.org/10.1037/a0028782</w:t>
      </w:r>
    </w:p>
    <w:p>
      <w:pPr>
        <w:ind w:left="432" w:hanging="432"/>
      </w:pPr>
      <w:r>
        <w:t xml:space="preserve">Morriss, R., Patel, S., Malins, S., Guo, B., Higton, F., James, M., Wu, M., Brown, P., Boycott, N., Kaylor-Hughes, C., Morris, M., Rowley, E., Simpson, J., Smart, D., Stubley, M., Kai, J., &amp; Tyrer, H. (2019). Clinical and economic outcomes of remotely delivered cognitive behaviour therapy versus treatment as usual for repeat unscheduled care users with severe health anxiety: A multicentre randomised controlled trial. </w:t>
      </w:r>
      <w:r>
        <w:rPr>
          <w:i/>
        </w:rPr>
        <w:t>BMC Medicine</w:t>
      </w:r>
      <w:r>
        <w:t>, 17(1), Article 16. https://doi.org/10.1186/s12916-019-1253-5</w:t>
      </w:r>
    </w:p>
    <w:p>
      <w:pPr>
        <w:ind w:left="432" w:hanging="432"/>
      </w:pPr>
      <w:r>
        <w:t xml:space="preserve">Newby, J. M., Smith, J., Uppal, S., Mason, E., Mahoney, A. E. J., &amp; Andrews, G. (2018). Internet-based cognitive behavioral therapy versus psychoeducation control for illness anxiety disorder and somatic symptom disorder: A randomized controlled trial. </w:t>
      </w:r>
      <w:r>
        <w:rPr>
          <w:i/>
        </w:rPr>
        <w:t>Journal of Consulting and Clinical Psychology</w:t>
      </w:r>
      <w:r>
        <w:t>, 86(1), 89–98. https://doi.org/10.1037/ccp0000248</w:t>
      </w:r>
    </w:p>
    <w:p>
      <w:pPr>
        <w:ind w:left="432" w:hanging="432"/>
      </w:pPr>
      <w:r>
        <w:t>O'Bryan, E. M. (2019). A randomized controlled trial evaluating the efficacy of a brief computerized anxiety sensitivity reduction intervention for health anxiety [Doctoral dissertation, University of Cincinnati]. OhioLINK. https://etd.ohiolink.edu/acprod/odb_etd/ws/send_file/send?accession=ucin1572879397495098&amp;disposition=inline</w:t>
      </w:r>
    </w:p>
    <w:p>
      <w:pPr>
        <w:ind w:left="432" w:hanging="432"/>
      </w:pPr>
      <w:r>
        <w:t xml:space="preserve">O'Bryan, E. M., McLeish, A. C., Norr, A. M., Ely, S., Bass, Z., Davies, C. D., Capron, D. W., Schmidt, N. B., &amp; Mano, K. E. J. (2021). A randomized controlled trial evaluating the efficacy of a brief computerized anxiety sensitivity reduction intervention for health anxiety. </w:t>
      </w:r>
      <w:r>
        <w:rPr>
          <w:i/>
        </w:rPr>
        <w:t>Journal of Anxiety Disorders</w:t>
      </w:r>
      <w:r>
        <w:t>, 82, Article 102425. https://doi.org/10.1016/j.janxdis.2021.102425</w:t>
      </w:r>
    </w:p>
    <w:p>
      <w:pPr>
        <w:ind w:left="432" w:hanging="432"/>
      </w:pPr>
      <w:r>
        <w:t xml:space="preserve">Page, M. J., McKenzie, J. E., Bossuyt, P. M., Boutron, I., Hoffmann, T. C., Mulrow, C. D., Shamseer, L., Tetzlaff, J. M., Akl, E. A., Brennan, S. E., Chou, R., Glanville, J., Grimshaw, J. M., Hróbjartsson, A., Lalu, M. M., Li, T., Loder, E. W., Mayo-Wilson, E., McDonald, S., ... Moher, D. (2021). The PRISMA 2020 statement: An updated guideline for reporting systematic reviews. </w:t>
      </w:r>
      <w:r>
        <w:rPr>
          <w:i/>
        </w:rPr>
        <w:t>BMJ</w:t>
      </w:r>
      <w:r>
        <w:t>, 372, Article n71. https://doi.org/10.1136/bmj.n71</w:t>
      </w:r>
    </w:p>
    <w:p>
      <w:pPr>
        <w:ind w:left="432" w:hanging="432"/>
      </w:pPr>
      <w:r>
        <w:t>Papis, K. G. (2015). Emotional intelligence and sociotropy-autonomy in young women with DSM-IV-TR hypochondriasis: A mixed-method study [Doctoral dissertation, University of Wolverhampton]. Wolverhampton Intellectual Repository and E-Theses. https://hdl.handle.net/2436/582290</w:t>
      </w:r>
    </w:p>
    <w:p>
      <w:pPr>
        <w:ind w:left="432" w:hanging="432"/>
      </w:pPr>
      <w:r>
        <w:t xml:space="preserve">Rethlefsen, M. L., Kirtley, S., Waffenschmidt, S., Ayala, A. P., Moher, D., Page, M. J., Koffel, J. B., &amp; PRISMA-S Group. (2021). PRISMA-S: An extension to the PRISMA statement for reporting literature searches in systematic reviews. </w:t>
      </w:r>
      <w:r>
        <w:rPr>
          <w:i/>
        </w:rPr>
        <w:t>Systematic Reviews</w:t>
      </w:r>
      <w:r>
        <w:t>, 10(1), Article 39. https://doi.org/10.1186/s13643-020-01542-z</w:t>
      </w:r>
    </w:p>
    <w:p>
      <w:pPr>
        <w:ind w:left="432" w:hanging="432"/>
      </w:pPr>
      <w:r>
        <w:t xml:space="preserve">Schwind, J., Gropalis, M., Witthöft, M., &amp; Weck, F. (2016). The effects of attention training on health anxiety: An experimental investigation. </w:t>
      </w:r>
      <w:r>
        <w:rPr>
          <w:i/>
        </w:rPr>
        <w:t>Cognitive Therapy and Research</w:t>
      </w:r>
      <w:r>
        <w:t>, 40(2), 245–255. https://doi.org/10.1007/s10608-015-9745-x</w:t>
      </w:r>
    </w:p>
    <w:p>
      <w:pPr>
        <w:ind w:left="432" w:hanging="432"/>
      </w:pPr>
      <w:r>
        <w:t xml:space="preserve">Seivewright, H., Green, J., Salkovskis, P., Barrett, B., Nur, U., &amp; Tyrer, P. (2008). Cognitive-behavioural therapy for health anxiety in a genitourinary medicine clinic: Randomised controlled trial. </w:t>
      </w:r>
      <w:r>
        <w:rPr>
          <w:i/>
        </w:rPr>
        <w:t>British Journal of Psychiatry</w:t>
      </w:r>
      <w:r>
        <w:t>, 193(4), 332–337. https://doi.org/10.1192/bjp.bp.108.052936</w:t>
      </w:r>
    </w:p>
    <w:p>
      <w:pPr>
        <w:ind w:left="432" w:hanging="432"/>
      </w:pPr>
      <w:r>
        <w:t xml:space="preserve">Shabahang, R. (2020). Cognitive behavioural intervention for health anxiety, somatosensory amplification, and depression in coronavirus disease 2019 anxiety: An interventional study in Iran. </w:t>
      </w:r>
      <w:r>
        <w:rPr>
          <w:i/>
        </w:rPr>
        <w:t>Psychiatria i Psychologia Kliniczna</w:t>
      </w:r>
      <w:r>
        <w:t>, 20(2), 87–93. https://doi.org/10.15557/PiPK.2020.0011</w:t>
      </w:r>
    </w:p>
    <w:p>
      <w:pPr>
        <w:ind w:left="432" w:hanging="432"/>
      </w:pPr>
      <w:r>
        <w:t xml:space="preserve">Shabahang, R., Aruguete, M. S., &amp; McCutcheon, L. (2021). Video-based cognitive-behavioral intervention for COVID-19 anxiety: A randomized controlled trial. </w:t>
      </w:r>
      <w:r>
        <w:rPr>
          <w:i/>
        </w:rPr>
        <w:t>Trends in Psychiatry and Psychotherapy</w:t>
      </w:r>
      <w:r>
        <w:t>, 43(2), 141–150. https://doi.org/10.47626/2237-6089-2020-0056</w:t>
      </w:r>
    </w:p>
    <w:p>
      <w:pPr>
        <w:ind w:left="432" w:hanging="432"/>
      </w:pPr>
      <w:r>
        <w:t xml:space="preserve">Shahidi, S., Zargar, F., Aghaee Khajelangi, H., &amp; Tarrahi, M. J. (2023). The effect of internet-delivered mindfulness stress reduction combined with acceptance and commitment therapy on health anxiety and quality of life of caregiver of patients infected by COVID-19: A randomized clinical trial. </w:t>
      </w:r>
      <w:r>
        <w:rPr>
          <w:i/>
        </w:rPr>
        <w:t>International Journal of Community Based Nursing and Midwifery</w:t>
      </w:r>
      <w:r>
        <w:t>, 11(2), 110–121. https://doi.org/10.30476/ijcbnm.2023.97271.2172</w:t>
      </w:r>
    </w:p>
    <w:p>
      <w:pPr>
        <w:ind w:left="432" w:hanging="432"/>
      </w:pPr>
      <w:r>
        <w:t>Skjernov, M. K. de M. (2017). Group cognitive behaviour therapy for severe health anxiety: A randomised controlled trial; Personality disorders and traits in severe health anxiety [Doctoral dissertation, University of Copenhagen]. Region Zealand. https://pure.regsj.dk/ws/portalfiles/portal/23440634/PhD_thesis_Mathias_Skjernov.pdf</w:t>
      </w:r>
    </w:p>
    <w:p>
      <w:pPr>
        <w:ind w:left="432" w:hanging="432"/>
      </w:pPr>
      <w:r>
        <w:t xml:space="preserve">Sterne, J. A. C., Savović, J., Page, M. J., Elbers, R. G., Blencowe, N. S., Boutron, I., Cates, C. J., Cheng, H.-Y., Corbett, M. S., Eldridge, S. M., Emberson, J. R., Hernán, M. A., Hopewell, S., Hróbjartsson, A., Junqueira, D. R., Jüni, P., Kirkham, J. J., Lasserson, T., Li, T., ... Higgins, J. P. T. (2019). RoB 2: A revised tool for assessing risk of bias in randomised trials. </w:t>
      </w:r>
      <w:r>
        <w:rPr>
          <w:i/>
        </w:rPr>
        <w:t>BMJ</w:t>
      </w:r>
      <w:r>
        <w:t>, 366, Article l4898. https://doi.org/10.1136/bmj.l4898</w:t>
      </w:r>
    </w:p>
    <w:p>
      <w:pPr>
        <w:ind w:left="432" w:hanging="432"/>
      </w:pPr>
      <w:r>
        <w:t xml:space="preserve">Sørensen, P., Birket-Smith, M., Wattar, U., Buemann, I., &amp; Salkovskis, P. (2011). A randomized clinical trial of cognitive behavioural therapy versus short-term psychodynamic psychotherapy versus no intervention for patients with hypochondriasis. </w:t>
      </w:r>
      <w:r>
        <w:rPr>
          <w:i/>
        </w:rPr>
        <w:t>Psychological Medicine</w:t>
      </w:r>
      <w:r>
        <w:t>, 41(2), 431–441. https://doi.org/10.1017/s0033291710000292</w:t>
      </w:r>
    </w:p>
    <w:p>
      <w:pPr>
        <w:ind w:left="432" w:hanging="432"/>
      </w:pPr>
      <w:r>
        <w:t xml:space="preserve">Town, J. M., Abbass, A., &amp; Campbell, S. (2024). Halifax somatic symptom disorder trial: A pilot randomized controlled trial of intensive short-term dynamic psychotherapy in the emergency department. </w:t>
      </w:r>
      <w:r>
        <w:rPr>
          <w:i/>
        </w:rPr>
        <w:t>Journal of Psychosomatic Research</w:t>
      </w:r>
      <w:r>
        <w:t>, 187, 111889. https://doi.org/10.1016/j.jpsychores.2024.111889</w:t>
      </w:r>
    </w:p>
    <w:p>
      <w:pPr>
        <w:ind w:left="432" w:hanging="432"/>
      </w:pPr>
      <w:r>
        <w:t xml:space="preserve">Townend, M. (1994). The efficacy of cognitive‐behavioural psychotherapy for hypochondriasis: A pilot investigation. </w:t>
      </w:r>
      <w:r>
        <w:rPr>
          <w:i/>
        </w:rPr>
        <w:t>Journal of Psychiatric and Mental Health Nursing</w:t>
      </w:r>
      <w:r>
        <w:t>, 1(3), 185–186. https://doi.org/10.1111/j.1365-2850.1994.tb00043.x</w:t>
      </w:r>
    </w:p>
    <w:p>
      <w:pPr>
        <w:ind w:left="432" w:hanging="432"/>
      </w:pPr>
      <w:r>
        <w:t xml:space="preserve">Tyrer, P., Cooper, S., Salkovskis, P., Tyrer, H., Crawford, M., Byford, S., Dupont, S., Finnis, S., Green, J., McLaren, E., Murphy, D., Reid, S., Smith, G., Wang, D., Warwick, H., Petkova, H., &amp; Barrett, B. (2014). Clinical and cost-effectiveness of cognitive behaviour therapy for health anxiety in medical patients: A multicentre randomised controlled trial. </w:t>
      </w:r>
      <w:r>
        <w:rPr>
          <w:i/>
        </w:rPr>
        <w:t>The Lancet</w:t>
      </w:r>
      <w:r>
        <w:t>, 383(9913), 219–225. https://doi.org/10.1016/s0140-6736(13)61905-4</w:t>
      </w:r>
    </w:p>
    <w:p>
      <w:pPr>
        <w:ind w:left="432" w:hanging="432"/>
      </w:pPr>
      <w:r>
        <w:t xml:space="preserve">Tyrer, P., Salkovskis, P., Tyrer, H., Wang, D., Crawford, M. J., Dupont, S., Cooper, S., Green, J., Murphy, D., Smith, G., Bhogal, S., Nourmand, S., Lazarevic, V., Loebenberg, G., Evered, R., Kings, S., McNulty, A., Lisseman-Stones, Y., McAllister, S., ... Barrett, B. (2017). Cognitive–behaviour therapy for health anxiety in medical patients (CHAMP): A randomised controlled trial with outcomes to 5 years. </w:t>
      </w:r>
      <w:r>
        <w:rPr>
          <w:i/>
        </w:rPr>
        <w:t>Health Technology Assessment</w:t>
      </w:r>
      <w:r>
        <w:t>, 21(50), 1–58. https://doi.org/10.3310/hta21500</w:t>
      </w:r>
    </w:p>
    <w:p>
      <w:pPr>
        <w:ind w:left="432" w:hanging="432"/>
      </w:pPr>
      <w:r>
        <w:t xml:space="preserve">Tyrer, P., Tyrer, H., Morriss, R., Crawford, M., Cooper, S., Yang, M., Guo, B., Mulder, R. T., Kemp, S., &amp; Barrett, B. (2017). Clinical and cost-effectiveness of adapted cognitive behaviour therapy for non-cardiac chest pain: A multicentre, randomised controlled trial. </w:t>
      </w:r>
      <w:r>
        <w:rPr>
          <w:i/>
        </w:rPr>
        <w:t>Open Heart</w:t>
      </w:r>
      <w:r>
        <w:t>, 4(1), e000582. https://doi.org/10.1136/openhrt-2016-000582</w:t>
      </w:r>
    </w:p>
    <w:p>
      <w:pPr>
        <w:ind w:left="432" w:hanging="432"/>
      </w:pPr>
      <w:r>
        <w:t xml:space="preserve">Visser, S., &amp; Bouman, T. K. (2001). The treatment of hypochondriasis: Exposure plus response prevention vs cognitive therapy. </w:t>
      </w:r>
      <w:r>
        <w:rPr>
          <w:i/>
        </w:rPr>
        <w:t>Behaviour Research and Therapy</w:t>
      </w:r>
      <w:r>
        <w:t>, 39(4), 423–442. https://doi.org/10.1016/s0005-7967(00)00022-x</w:t>
      </w:r>
    </w:p>
    <w:p>
      <w:pPr>
        <w:ind w:left="432" w:hanging="432"/>
      </w:pPr>
      <w:r>
        <w:t xml:space="preserve">Warwick, H. M. C., Clark, D. M., Cobb, A. M., &amp; Salkovskis, P. M. (1996). A controlled trial of cognitive-behavioural treatment of hypochondriasis. </w:t>
      </w:r>
      <w:r>
        <w:rPr>
          <w:i/>
        </w:rPr>
        <w:t>British Journal of Psychiatry</w:t>
      </w:r>
      <w:r>
        <w:t>, 169(2), 189–195. https://doi.org/10.1192/bjp.169.2.189</w:t>
      </w:r>
    </w:p>
    <w:p>
      <w:pPr>
        <w:ind w:left="432" w:hanging="432"/>
      </w:pPr>
      <w:r>
        <w:t xml:space="preserve">Weck, F., Neng, J. M. B., &amp; Stangier, U. (2013). The effects of attention training on the perception of bodily sensations in patients with hypochondriasis: A randomized controlled pilot trial. </w:t>
      </w:r>
      <w:r>
        <w:rPr>
          <w:i/>
        </w:rPr>
        <w:t>Cognitive Therapy and Research</w:t>
      </w:r>
      <w:r>
        <w:t>, 37(3), 514–520. https://doi.org/10.1007/s10608-012-9482-3</w:t>
      </w:r>
    </w:p>
    <w:p>
      <w:pPr>
        <w:ind w:left="432" w:hanging="432"/>
      </w:pPr>
      <w:r>
        <w:t xml:space="preserve">Weck, F., Neng, J. M. B., Richtberg, S., Jakob, M., &amp; Stangier, U. (2015). Cognitive therapy versus exposure therapy for hypochondriasis (health anxiety): A randomized controlled trial. </w:t>
      </w:r>
      <w:r>
        <w:rPr>
          <w:i/>
        </w:rPr>
        <w:t>Journal of Consulting and Clinical Psychology</w:t>
      </w:r>
      <w:r>
        <w:t>, 83(4), 665–676. https://doi.org/10.1037/ccp0000013</w:t>
      </w:r>
    </w:p>
    <w:sectPr w:rsidR="00FC693F" w:rsidRPr="0006063C" w:rsidSect="00034616">
      <w:footerReference w:type="default" r:id="rId9"/>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line="276" w:lineRule="auto"/>
      <w:outlineLvl w:val="0"/>
    </w:pPr>
    <w:rPr>
      <w:rFonts w:asciiTheme="majorHAnsi" w:eastAsiaTheme="majorEastAsia" w:hAnsiTheme="majorHAnsi" w:cstheme="majorBidi" w:ascii="Times New Roman" w:hAnsi="Times New Roman"/>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40" w:after="120" w:line="276" w:lineRule="auto"/>
      <w:outlineLvl w:val="1"/>
    </w:pPr>
    <w:rPr>
      <w:rFonts w:asciiTheme="majorHAnsi" w:eastAsiaTheme="majorEastAsia" w:hAnsiTheme="majorHAnsi" w:cstheme="majorBidi" w:ascii="Times New Roman" w:hAnsi="Times New Roman"/>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40" w:after="120" w:line="276" w:lineRule="auto"/>
      <w:outlineLvl w:val="2"/>
    </w:pPr>
    <w:rPr>
      <w:rFonts w:asciiTheme="majorHAnsi" w:eastAsiaTheme="majorEastAsia" w:hAnsiTheme="majorHAnsi" w:cstheme="majorBidi" w:ascii="Times New Roman" w:hAnsi="Times New Roman"/>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76" w:lineRule="auto"/>
      <w:contextualSpacing/>
    </w:pPr>
    <w:rPr>
      <w:rFonts w:asciiTheme="majorHAnsi" w:eastAsiaTheme="majorEastAsia" w:hAnsiTheme="majorHAnsi" w:cstheme="majorBidi" w:ascii="Times New Roman" w:hAnsi="Times New Roman"/>
      <w:b/>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line="276" w:lineRule="auto" w:after="120"/>
    </w:pPr>
    <w:rPr>
      <w:rFonts w:asciiTheme="majorHAnsi" w:eastAsiaTheme="majorEastAsia" w:hAnsiTheme="majorHAnsi" w:cstheme="majorBidi" w:ascii="Times New Roman" w:hAnsi="Times New Roman"/>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76" w:lineRule="auto" w:after="120"/>
    </w:pPr>
    <w:rPr>
      <w:rFonts w:ascii="Times New Roman" w:hAnsi="Times New Roman"/>
      <w:b/>
      <w:bCs/>
      <w:color w:val="000000"/>
      <w:sz w:val="22"/>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 1 Evidence account and source assessment</dc:title>
  <dc:subject/>
  <dc:creator/>
  <cp:keywords/>
  <dc:description/>
  <cp:lastModifiedBy/>
  <cp:revision>1</cp:revision>
  <dcterms:created xsi:type="dcterms:W3CDTF">2013-12-23T23:15:00Z</dcterms:created>
  <dcterms:modified xsi:type="dcterms:W3CDTF">2013-12-23T23:15:00Z</dcterms:modified>
  <cp:category/>
</cp:coreProperties>
</file>