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C2272B0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D1C5E33" w14:textId="77777777" w:rsidR="00C331B7" w:rsidRPr="009D0E81" w:rsidRDefault="00C331B7" w:rsidP="009D0E81">
      <w:pPr>
        <w:pStyle w:val="Title"/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D0E81">
        <w:rPr>
          <w:rFonts w:ascii="Times New Roman" w:hAnsi="Times New Roman" w:cs="Times New Roman"/>
          <w:b/>
          <w:bCs/>
          <w:sz w:val="20"/>
          <w:szCs w:val="20"/>
        </w:rPr>
        <w:t>Target Fishing and Molecular Docking of Terpenes: A Systematic Evaluation of Method Concordance and Ligand Efficiency</w:t>
      </w:r>
    </w:p>
    <w:p w14:paraId="0456AF03" w14:textId="77777777" w:rsidR="00C331B7" w:rsidRPr="009D0E81" w:rsidRDefault="00C331B7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45AB3C" w14:textId="77777777" w:rsidR="00C13036" w:rsidRPr="009D0E81" w:rsidRDefault="00C13036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C84A976" w14:textId="77777777" w:rsidR="00C331B7" w:rsidRPr="009D0E81" w:rsidRDefault="00C331B7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0E81">
        <w:rPr>
          <w:rFonts w:ascii="Times New Roman" w:hAnsi="Times New Roman" w:cs="Times New Roman"/>
          <w:sz w:val="20"/>
          <w:szCs w:val="20"/>
        </w:rPr>
        <w:t>Manasa Hegde</w:t>
      </w:r>
      <w:r w:rsidRPr="009D0E8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D0E81">
        <w:rPr>
          <w:rFonts w:ascii="Times New Roman" w:hAnsi="Times New Roman" w:cs="Times New Roman"/>
          <w:sz w:val="20"/>
          <w:szCs w:val="20"/>
        </w:rPr>
        <w:t>; Armin Ahmadi</w:t>
      </w:r>
      <w:r w:rsidRPr="009D0E8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D0E81">
        <w:rPr>
          <w:rFonts w:ascii="Times New Roman" w:hAnsi="Times New Roman" w:cs="Times New Roman"/>
          <w:sz w:val="20"/>
          <w:szCs w:val="20"/>
        </w:rPr>
        <w:t>; Daniel McShan</w:t>
      </w:r>
      <w:r w:rsidRPr="009D0E8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D0E81">
        <w:rPr>
          <w:rFonts w:ascii="Times New Roman" w:hAnsi="Times New Roman" w:cs="Times New Roman"/>
          <w:sz w:val="20"/>
          <w:szCs w:val="20"/>
        </w:rPr>
        <w:t>; Susan Trapp</w:t>
      </w:r>
      <w:r w:rsidRPr="009D0E81">
        <w:rPr>
          <w:rFonts w:ascii="Times New Roman" w:hAnsi="Times New Roman" w:cs="Times New Roman"/>
          <w:sz w:val="20"/>
          <w:szCs w:val="20"/>
          <w:vertAlign w:val="superscript"/>
        </w:rPr>
        <w:t>2,*</w:t>
      </w:r>
      <w:r w:rsidRPr="009D0E81"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r w:rsidRPr="009D0E81">
        <w:rPr>
          <w:rFonts w:ascii="Times New Roman" w:hAnsi="Times New Roman" w:cs="Times New Roman"/>
          <w:sz w:val="20"/>
          <w:szCs w:val="20"/>
        </w:rPr>
        <w:t>Jerome Baudry</w:t>
      </w:r>
      <w:r w:rsidRPr="009D0E81">
        <w:rPr>
          <w:rFonts w:ascii="Times New Roman" w:hAnsi="Times New Roman" w:cs="Times New Roman"/>
          <w:sz w:val="20"/>
          <w:szCs w:val="20"/>
          <w:vertAlign w:val="superscript"/>
        </w:rPr>
        <w:t>1,*</w:t>
      </w:r>
    </w:p>
    <w:p w14:paraId="5865BD27" w14:textId="77777777" w:rsidR="00C331B7" w:rsidRPr="009D0E81" w:rsidRDefault="00C331B7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165E3A" w14:textId="77777777" w:rsidR="00C331B7" w:rsidRPr="009D0E81" w:rsidRDefault="00C331B7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0E81">
        <w:rPr>
          <w:rFonts w:ascii="Times New Roman" w:hAnsi="Times New Roman" w:cs="Times New Roman"/>
          <w:sz w:val="20"/>
          <w:szCs w:val="20"/>
        </w:rPr>
        <w:t>1: Department of Biological Sciences, The University of Alabama in Huntsville, Huntsville, Alabama, USA</w:t>
      </w:r>
    </w:p>
    <w:p w14:paraId="3F29C7D6" w14:textId="77777777" w:rsidR="00C331B7" w:rsidRPr="009D0E81" w:rsidRDefault="00C331B7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0E444BE" w14:textId="77777777" w:rsidR="00C331B7" w:rsidRPr="009D0E81" w:rsidRDefault="00C331B7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0E81">
        <w:rPr>
          <w:rFonts w:ascii="Times New Roman" w:hAnsi="Times New Roman" w:cs="Times New Roman"/>
          <w:sz w:val="20"/>
          <w:szCs w:val="20"/>
        </w:rPr>
        <w:t xml:space="preserve">2: </w:t>
      </w:r>
      <w:r w:rsidRPr="009D0E81">
        <w:rPr>
          <w:rFonts w:ascii="Times New Roman" w:hAnsi="Times New Roman" w:cs="Times New Roman"/>
          <w:color w:val="000000"/>
          <w:sz w:val="20"/>
          <w:szCs w:val="20"/>
        </w:rPr>
        <w:t>Terpedia, LLC, Colorado, USA</w:t>
      </w:r>
    </w:p>
    <w:p w14:paraId="102E0B5D" w14:textId="77777777" w:rsidR="00C331B7" w:rsidRPr="009D0E81" w:rsidRDefault="00C331B7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769632" w14:textId="77777777" w:rsidR="00C331B7" w:rsidRPr="009D0E81" w:rsidRDefault="00C331B7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0E81">
        <w:rPr>
          <w:rFonts w:ascii="Times New Roman" w:hAnsi="Times New Roman" w:cs="Times New Roman"/>
          <w:sz w:val="20"/>
          <w:szCs w:val="20"/>
        </w:rPr>
        <w:t>*: Corresponding Authors: jerome.baudry@uah.edu; susan@terpedia.com</w:t>
      </w:r>
    </w:p>
    <w:p w14:paraId="30FD3F64" w14:textId="77777777" w:rsidR="00C835C5" w:rsidRPr="009D0E81" w:rsidRDefault="00000000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E75AFB9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3E34898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164906A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A04F7E4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BA6C74F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839079B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EE579FD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48586A0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18A65F0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575A2C6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CF23FB3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4829197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0182659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983EBAA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4F4AF9A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A016E6C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3F63061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6AAB88E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E76E5B8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579E48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6601336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ECDDD67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AB389A4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FEF3490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BC68539" w14:textId="6BA2CF14" w:rsidR="00C835C5" w:rsidRPr="009D0E81" w:rsidRDefault="00000000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Supplementary Information 3</w:t>
      </w:r>
    </w:p>
    <w:p w14:paraId="59F1A5BC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67008D2" w14:textId="77777777" w:rsidR="00C835C5" w:rsidRPr="009D0E81" w:rsidRDefault="00000000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Effect of heavy atoms on docking scores</w:t>
      </w:r>
    </w:p>
    <w:p w14:paraId="330F2CDE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8390C8C" w14:textId="78D05890" w:rsidR="00C835C5" w:rsidRPr="009D0E81" w:rsidRDefault="00D9375F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S1. Cannabinoid receptor</w:t>
      </w:r>
      <w:r w:rsidRPr="009D0E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2</w:t>
      </w:r>
      <w:r w:rsidR="00A22546"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(CB2)</w:t>
      </w:r>
    </w:p>
    <w:p w14:paraId="6FA35722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1BF9E3" w14:textId="4DF7E8E2" w:rsidR="00977738" w:rsidRPr="00E963E8" w:rsidRDefault="0097036A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0E81">
        <w:rPr>
          <w:rFonts w:ascii="Times New Roman" w:hAnsi="Times New Roman" w:cs="Times New Roman"/>
          <w:sz w:val="20"/>
          <w:szCs w:val="20"/>
        </w:rPr>
        <w:t xml:space="preserve">Figure S1 shows the relationship between the number of heavy atoms and docking scores for monoterpenes and sesquiterpenes, analyzed separately and together with their respective known ligands, docked against CB2. </w:t>
      </w:r>
      <w:r w:rsidR="00977738" w:rsidRPr="009D0E81">
        <w:rPr>
          <w:rFonts w:ascii="Times New Roman" w:hAnsi="Times New Roman" w:cs="Times New Roman"/>
          <w:sz w:val="20"/>
          <w:szCs w:val="20"/>
        </w:rPr>
        <w:t>In Figure S1</w:t>
      </w:r>
      <w:r w:rsidR="00E963E8">
        <w:rPr>
          <w:rFonts w:ascii="Times New Roman" w:hAnsi="Times New Roman" w:cs="Times New Roman"/>
          <w:sz w:val="20"/>
          <w:szCs w:val="20"/>
        </w:rPr>
        <w:t>a</w:t>
      </w:r>
      <w:r w:rsidR="00977738" w:rsidRPr="009D0E81">
        <w:rPr>
          <w:rFonts w:ascii="Times New Roman" w:hAnsi="Times New Roman" w:cs="Times New Roman"/>
          <w:sz w:val="20"/>
          <w:szCs w:val="20"/>
        </w:rPr>
        <w:t xml:space="preserve">, monoterpenes </w:t>
      </w:r>
      <w:r w:rsidR="00340BB4" w:rsidRPr="009D0E81">
        <w:rPr>
          <w:rFonts w:ascii="Times New Roman" w:hAnsi="Times New Roman" w:cs="Times New Roman"/>
          <w:sz w:val="20"/>
          <w:szCs w:val="20"/>
        </w:rPr>
        <w:t>along</w:t>
      </w:r>
      <w:r w:rsidR="00977738" w:rsidRPr="009D0E81">
        <w:rPr>
          <w:rFonts w:ascii="Times New Roman" w:hAnsi="Times New Roman" w:cs="Times New Roman"/>
          <w:sz w:val="20"/>
          <w:szCs w:val="20"/>
        </w:rPr>
        <w:t xml:space="preserve"> with their known ligands (MK) showed a coefficient</w:t>
      </w:r>
      <w:r w:rsidR="00976A57">
        <w:rPr>
          <w:rFonts w:ascii="Times New Roman" w:hAnsi="Times New Roman" w:cs="Times New Roman"/>
          <w:sz w:val="20"/>
          <w:szCs w:val="20"/>
        </w:rPr>
        <w:t xml:space="preserve"> of determination</w:t>
      </w:r>
      <w:r w:rsidR="00977738" w:rsidRPr="009D0E81">
        <w:rPr>
          <w:rFonts w:ascii="Times New Roman" w:hAnsi="Times New Roman" w:cs="Times New Roman"/>
          <w:sz w:val="20"/>
          <w:szCs w:val="20"/>
        </w:rPr>
        <w:t xml:space="preserve"> of 0.946, which decreased to 0.112 when only monoterpenes were considered in Figure S1</w:t>
      </w:r>
      <w:r w:rsidR="00E963E8">
        <w:rPr>
          <w:rFonts w:ascii="Times New Roman" w:hAnsi="Times New Roman" w:cs="Times New Roman"/>
          <w:sz w:val="20"/>
          <w:szCs w:val="20"/>
        </w:rPr>
        <w:t>b</w:t>
      </w:r>
      <w:r w:rsidR="00977738" w:rsidRPr="009D0E81">
        <w:rPr>
          <w:rFonts w:ascii="Times New Roman" w:hAnsi="Times New Roman" w:cs="Times New Roman"/>
          <w:sz w:val="20"/>
          <w:szCs w:val="20"/>
        </w:rPr>
        <w:t xml:space="preserve">. Similarly, sesquiterpenes combined with their known ligands (SK) showed a </w:t>
      </w:r>
      <w:r w:rsidR="00976A57">
        <w:rPr>
          <w:rFonts w:ascii="Times New Roman" w:hAnsi="Times New Roman" w:cs="Times New Roman"/>
          <w:sz w:val="20"/>
          <w:szCs w:val="20"/>
        </w:rPr>
        <w:t>coefficient of determination</w:t>
      </w:r>
      <w:r w:rsidR="00977738" w:rsidRPr="009D0E81">
        <w:rPr>
          <w:rFonts w:ascii="Times New Roman" w:hAnsi="Times New Roman" w:cs="Times New Roman"/>
          <w:sz w:val="20"/>
          <w:szCs w:val="20"/>
        </w:rPr>
        <w:t xml:space="preserve"> of 0.926 in Figure S1</w:t>
      </w:r>
      <w:r w:rsidR="00E963E8">
        <w:rPr>
          <w:rFonts w:ascii="Times New Roman" w:hAnsi="Times New Roman" w:cs="Times New Roman"/>
          <w:sz w:val="20"/>
          <w:szCs w:val="20"/>
        </w:rPr>
        <w:t>c</w:t>
      </w:r>
      <w:r w:rsidR="00977738" w:rsidRPr="009D0E81">
        <w:rPr>
          <w:rFonts w:ascii="Times New Roman" w:hAnsi="Times New Roman" w:cs="Times New Roman"/>
          <w:sz w:val="20"/>
          <w:szCs w:val="20"/>
        </w:rPr>
        <w:t>, decreasing to 0.245 when only sesquiterpenes were considered in Figure S1</w:t>
      </w:r>
      <w:r w:rsidR="00E963E8">
        <w:rPr>
          <w:rFonts w:ascii="Times New Roman" w:hAnsi="Times New Roman" w:cs="Times New Roman"/>
          <w:sz w:val="20"/>
          <w:szCs w:val="20"/>
        </w:rPr>
        <w:t>d</w:t>
      </w:r>
      <w:r w:rsidR="00977738" w:rsidRPr="009D0E81">
        <w:rPr>
          <w:rFonts w:ascii="Times New Roman" w:hAnsi="Times New Roman" w:cs="Times New Roman"/>
          <w:sz w:val="20"/>
          <w:szCs w:val="20"/>
        </w:rPr>
        <w:t>.</w:t>
      </w:r>
      <w:r w:rsidR="00D9375F" w:rsidRPr="009D0E8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546D5D" w14:textId="62AA8FBA" w:rsidR="00694A55" w:rsidRDefault="00694A55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8A383DC" w14:textId="77777777" w:rsidR="00694A55" w:rsidRDefault="00694A55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BFC6A32" w14:textId="350FD866" w:rsidR="00BF1A21" w:rsidRDefault="00BF1A21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BED8FCE" wp14:editId="1AB5211E">
            <wp:extent cx="5930900" cy="3771900"/>
            <wp:effectExtent l="0" t="0" r="0" b="0"/>
            <wp:docPr id="50045123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451234" name="Picture 5004512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3771900"/>
                    </a:xfrm>
                    <a:prstGeom prst="rect">
                      <a:avLst/>
                    </a:prstGeom>
                    <a:ln w="3175">
                      <a:noFill/>
                    </a:ln>
                  </pic:spPr>
                </pic:pic>
              </a:graphicData>
            </a:graphic>
          </wp:inline>
        </w:drawing>
      </w:r>
    </w:p>
    <w:p w14:paraId="4A54AD27" w14:textId="0D5D97B7" w:rsidR="00567C61" w:rsidRPr="009D0E81" w:rsidRDefault="00567C61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B9D1405" w14:textId="72373C92" w:rsidR="00C835C5" w:rsidRPr="009D0E81" w:rsidRDefault="00000000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Fig</w:t>
      </w:r>
      <w:r w:rsidR="00C13036"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S1</w:t>
      </w:r>
      <w:r w:rsidRPr="009D0E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9375F" w:rsidRPr="009D0E81">
        <w:rPr>
          <w:rFonts w:ascii="Times New Roman" w:hAnsi="Times New Roman" w:cs="Times New Roman"/>
          <w:sz w:val="20"/>
          <w:szCs w:val="20"/>
        </w:rPr>
        <w:t xml:space="preserve">Heavy atom count versus docking score for monoterpenes, sesquiterpenes, and their known ligands docked against CB2. Red represents known ligands, and blue represents terpenes.  </w:t>
      </w:r>
    </w:p>
    <w:p w14:paraId="58E3E288" w14:textId="77777777" w:rsidR="00D9375F" w:rsidRPr="009D0E81" w:rsidRDefault="00D9375F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593265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360B519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C6E3E40" w14:textId="55439A71" w:rsidR="00C835C5" w:rsidRPr="009D0E81" w:rsidRDefault="009D0E8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S2. Androgen receptor</w:t>
      </w:r>
    </w:p>
    <w:p w14:paraId="1E9D744A" w14:textId="0CD266B8" w:rsidR="00357E9F" w:rsidRDefault="001C61A1" w:rsidP="00357E9F">
      <w:pPr>
        <w:pStyle w:val="NormalWeb"/>
        <w:spacing w:line="360" w:lineRule="auto"/>
        <w:jc w:val="both"/>
        <w:rPr>
          <w:sz w:val="20"/>
          <w:szCs w:val="20"/>
        </w:rPr>
      </w:pPr>
      <w:r w:rsidRPr="009D0E81">
        <w:rPr>
          <w:sz w:val="20"/>
          <w:szCs w:val="20"/>
        </w:rPr>
        <w:t xml:space="preserve">In the AR docking analysis, </w:t>
      </w:r>
      <w:r w:rsidR="00977738" w:rsidRPr="009D0E81">
        <w:rPr>
          <w:sz w:val="20"/>
          <w:szCs w:val="20"/>
        </w:rPr>
        <w:t xml:space="preserve">MK showed a </w:t>
      </w:r>
      <w:r w:rsidR="00976A57">
        <w:rPr>
          <w:sz w:val="20"/>
          <w:szCs w:val="20"/>
        </w:rPr>
        <w:t>coefficient of determination</w:t>
      </w:r>
      <w:r w:rsidR="00977738" w:rsidRPr="009D0E81">
        <w:rPr>
          <w:sz w:val="20"/>
          <w:szCs w:val="20"/>
        </w:rPr>
        <w:t xml:space="preserve"> of 0.899</w:t>
      </w:r>
      <w:r w:rsidRPr="009D0E81">
        <w:rPr>
          <w:sz w:val="20"/>
          <w:szCs w:val="20"/>
        </w:rPr>
        <w:t xml:space="preserve"> in Figure S2</w:t>
      </w:r>
      <w:r w:rsidR="004D2049">
        <w:rPr>
          <w:sz w:val="20"/>
          <w:szCs w:val="20"/>
        </w:rPr>
        <w:t>a</w:t>
      </w:r>
      <w:r w:rsidR="00977738" w:rsidRPr="009D0E81">
        <w:rPr>
          <w:sz w:val="20"/>
          <w:szCs w:val="20"/>
        </w:rPr>
        <w:t>, which decreased to 0.643 when only monoterpenes were considered in Figure S2</w:t>
      </w:r>
      <w:r w:rsidR="004D2049">
        <w:rPr>
          <w:sz w:val="20"/>
          <w:szCs w:val="20"/>
        </w:rPr>
        <w:t>b</w:t>
      </w:r>
      <w:r w:rsidR="00977738" w:rsidRPr="009D0E81">
        <w:rPr>
          <w:sz w:val="20"/>
          <w:szCs w:val="20"/>
        </w:rPr>
        <w:t xml:space="preserve">. Similarly, SK showed a </w:t>
      </w:r>
      <w:r w:rsidR="00976A57">
        <w:rPr>
          <w:sz w:val="20"/>
          <w:szCs w:val="20"/>
        </w:rPr>
        <w:t>coefficient of determination</w:t>
      </w:r>
      <w:r w:rsidR="00977738" w:rsidRPr="009D0E81">
        <w:rPr>
          <w:sz w:val="20"/>
          <w:szCs w:val="20"/>
        </w:rPr>
        <w:t xml:space="preserve"> of 0.787 in Figure S2</w:t>
      </w:r>
      <w:r w:rsidR="004D2049">
        <w:rPr>
          <w:sz w:val="20"/>
          <w:szCs w:val="20"/>
        </w:rPr>
        <w:t>c</w:t>
      </w:r>
      <w:r w:rsidR="00977738" w:rsidRPr="009D0E81">
        <w:rPr>
          <w:sz w:val="20"/>
          <w:szCs w:val="20"/>
        </w:rPr>
        <w:t>, decreasing to 0.394 when only sesquiterpenes were considered in Figure S2</w:t>
      </w:r>
      <w:r w:rsidR="004D2049">
        <w:rPr>
          <w:sz w:val="20"/>
          <w:szCs w:val="20"/>
        </w:rPr>
        <w:t>d</w:t>
      </w:r>
      <w:r w:rsidR="00977738" w:rsidRPr="009D0E81">
        <w:rPr>
          <w:sz w:val="20"/>
          <w:szCs w:val="20"/>
        </w:rPr>
        <w:t>.</w:t>
      </w:r>
    </w:p>
    <w:p w14:paraId="03848CEA" w14:textId="77777777" w:rsidR="00357E9F" w:rsidRDefault="00357E9F" w:rsidP="009D0E81">
      <w:pPr>
        <w:spacing w:line="36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14:paraId="27A8C812" w14:textId="384E7E2B" w:rsidR="00357E9F" w:rsidRPr="00357E9F" w:rsidRDefault="00357E9F" w:rsidP="009D0E81">
      <w:pPr>
        <w:spacing w:line="360" w:lineRule="auto"/>
        <w:jc w:val="both"/>
        <w:rPr>
          <w:rFonts w:ascii="Times New Roman" w:eastAsia="Times New Roman" w:hAnsi="Times New Roman" w:cs="Times New Roman"/>
          <w:noProof/>
          <w:color w:val="FFFFFF" w:themeColor="background1"/>
          <w:sz w:val="20"/>
          <w:szCs w:val="20"/>
        </w:rPr>
      </w:pPr>
      <w:r w:rsidRPr="00357E9F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64B1116" wp14:editId="5076AF3C">
            <wp:extent cx="5930900" cy="3771900"/>
            <wp:effectExtent l="0" t="0" r="0" b="0"/>
            <wp:docPr id="15957763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776313" name="Picture 15957763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3771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17E14" w14:textId="77777777" w:rsidR="00357E9F" w:rsidRDefault="00357E9F" w:rsidP="009D0E81">
      <w:pPr>
        <w:spacing w:line="36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14:paraId="718588A0" w14:textId="77777777" w:rsidR="00357E9F" w:rsidRPr="009D0E81" w:rsidRDefault="00357E9F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D415E2B" w14:textId="32B558DA" w:rsidR="00340BB4" w:rsidRPr="009D0E81" w:rsidRDefault="00000000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Fig</w:t>
      </w:r>
      <w:r w:rsidR="00C13036"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S2</w:t>
      </w:r>
      <w:r w:rsidRPr="009D0E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40BB4" w:rsidRPr="009D0E81">
        <w:rPr>
          <w:rFonts w:ascii="Times New Roman" w:hAnsi="Times New Roman" w:cs="Times New Roman"/>
          <w:sz w:val="20"/>
          <w:szCs w:val="20"/>
        </w:rPr>
        <w:t>Heavy atom count versus docking score for monoterpenes, sesquiterpenes, and their known ligands docked against AR. Red represents known ligands, and blue represents terpenes.</w:t>
      </w:r>
    </w:p>
    <w:p w14:paraId="368952FC" w14:textId="77777777" w:rsidR="00340BB4" w:rsidRPr="009D0E81" w:rsidRDefault="00340BB4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7024A10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E8B9FB5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FF410A4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2D458AA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CDF6C17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035B7E4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3B856A9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0DB853F" w14:textId="77777777" w:rsidR="009D0E81" w:rsidRDefault="009D0E81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7E9F5D7" w14:textId="77777777" w:rsidR="009D0E81" w:rsidRPr="009D0E81" w:rsidRDefault="009D0E81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DE00254" w14:textId="358D9323" w:rsidR="00C835C5" w:rsidRPr="009D0E81" w:rsidRDefault="009D0E8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S3. 11β</w:t>
      </w:r>
      <w:r w:rsidR="00816F91">
        <w:rPr>
          <w:rFonts w:ascii="Times New Roman" w:eastAsia="Times New Roman" w:hAnsi="Times New Roman" w:cs="Times New Roman"/>
          <w:b/>
          <w:bCs/>
          <w:sz w:val="20"/>
          <w:szCs w:val="20"/>
        </w:rPr>
        <w:t>-H</w:t>
      </w: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ydroxysteroid dehydrogenase 1</w:t>
      </w:r>
    </w:p>
    <w:p w14:paraId="15C64B67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3E2671C" w14:textId="13CBBB46" w:rsidR="00C835C5" w:rsidRPr="009D0E81" w:rsidRDefault="002150D5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0E81">
        <w:rPr>
          <w:rFonts w:ascii="Times New Roman" w:hAnsi="Times New Roman" w:cs="Times New Roman"/>
          <w:sz w:val="20"/>
          <w:szCs w:val="20"/>
        </w:rPr>
        <w:t xml:space="preserve">In </w:t>
      </w:r>
      <w:r w:rsidR="00633E4A" w:rsidRPr="009D0E81">
        <w:rPr>
          <w:rFonts w:ascii="Times New Roman" w:hAnsi="Times New Roman" w:cs="Times New Roman"/>
          <w:sz w:val="20"/>
          <w:szCs w:val="20"/>
        </w:rPr>
        <w:t>11β-HSD1</w:t>
      </w:r>
      <w:r w:rsidRPr="009D0E81">
        <w:rPr>
          <w:rFonts w:ascii="Times New Roman" w:eastAsia="Times New Roman" w:hAnsi="Times New Roman" w:cs="Times New Roman"/>
          <w:sz w:val="20"/>
          <w:szCs w:val="20"/>
        </w:rPr>
        <w:t xml:space="preserve"> docking analysis,</w:t>
      </w: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9D0E81">
        <w:rPr>
          <w:rFonts w:ascii="Times New Roman" w:hAnsi="Times New Roman" w:cs="Times New Roman"/>
          <w:sz w:val="20"/>
          <w:szCs w:val="20"/>
        </w:rPr>
        <w:t xml:space="preserve">MK showed a </w:t>
      </w:r>
      <w:r w:rsidR="00976A57">
        <w:rPr>
          <w:rFonts w:ascii="Times New Roman" w:hAnsi="Times New Roman" w:cs="Times New Roman"/>
          <w:sz w:val="20"/>
          <w:szCs w:val="20"/>
        </w:rPr>
        <w:t>coefficient of determination</w:t>
      </w:r>
      <w:r w:rsidRPr="009D0E81">
        <w:rPr>
          <w:rFonts w:ascii="Times New Roman" w:hAnsi="Times New Roman" w:cs="Times New Roman"/>
          <w:sz w:val="20"/>
          <w:szCs w:val="20"/>
        </w:rPr>
        <w:t xml:space="preserve"> of 0.901 in </w:t>
      </w:r>
      <w:r w:rsidR="001C61A1" w:rsidRPr="009D0E81">
        <w:rPr>
          <w:rFonts w:ascii="Times New Roman" w:hAnsi="Times New Roman" w:cs="Times New Roman"/>
          <w:sz w:val="20"/>
          <w:szCs w:val="20"/>
        </w:rPr>
        <w:t>Figure S3</w:t>
      </w:r>
      <w:r w:rsidR="002C5692">
        <w:rPr>
          <w:rFonts w:ascii="Times New Roman" w:hAnsi="Times New Roman" w:cs="Times New Roman"/>
          <w:sz w:val="20"/>
          <w:szCs w:val="20"/>
        </w:rPr>
        <w:t>a</w:t>
      </w:r>
      <w:r w:rsidRPr="009D0E81">
        <w:rPr>
          <w:rFonts w:ascii="Times New Roman" w:hAnsi="Times New Roman" w:cs="Times New Roman"/>
          <w:sz w:val="20"/>
          <w:szCs w:val="20"/>
        </w:rPr>
        <w:t>, which decreased to 0.401 when only monoterpenes were considered in Figure S3</w:t>
      </w:r>
      <w:r w:rsidR="002C5692">
        <w:rPr>
          <w:rFonts w:ascii="Times New Roman" w:hAnsi="Times New Roman" w:cs="Times New Roman"/>
          <w:sz w:val="20"/>
          <w:szCs w:val="20"/>
        </w:rPr>
        <w:t>b</w:t>
      </w:r>
      <w:r w:rsidRPr="009D0E81">
        <w:rPr>
          <w:rFonts w:ascii="Times New Roman" w:hAnsi="Times New Roman" w:cs="Times New Roman"/>
          <w:sz w:val="20"/>
          <w:szCs w:val="20"/>
        </w:rPr>
        <w:t xml:space="preserve">. Similarly, SK showed a </w:t>
      </w:r>
      <w:r w:rsidR="00976A57">
        <w:rPr>
          <w:rFonts w:ascii="Times New Roman" w:hAnsi="Times New Roman" w:cs="Times New Roman"/>
          <w:sz w:val="20"/>
          <w:szCs w:val="20"/>
        </w:rPr>
        <w:t>coefficient of determination</w:t>
      </w:r>
      <w:r w:rsidRPr="009D0E81">
        <w:rPr>
          <w:rFonts w:ascii="Times New Roman" w:hAnsi="Times New Roman" w:cs="Times New Roman"/>
          <w:sz w:val="20"/>
          <w:szCs w:val="20"/>
        </w:rPr>
        <w:t xml:space="preserve"> of 0.876 in Figure S3</w:t>
      </w:r>
      <w:r w:rsidR="002C5692">
        <w:rPr>
          <w:rFonts w:ascii="Times New Roman" w:hAnsi="Times New Roman" w:cs="Times New Roman"/>
          <w:sz w:val="20"/>
          <w:szCs w:val="20"/>
        </w:rPr>
        <w:t>c</w:t>
      </w:r>
      <w:r w:rsidRPr="009D0E81">
        <w:rPr>
          <w:rFonts w:ascii="Times New Roman" w:hAnsi="Times New Roman" w:cs="Times New Roman"/>
          <w:sz w:val="20"/>
          <w:szCs w:val="20"/>
        </w:rPr>
        <w:t>, decreas</w:t>
      </w:r>
      <w:r w:rsidR="00816F91">
        <w:rPr>
          <w:rFonts w:ascii="Times New Roman" w:hAnsi="Times New Roman" w:cs="Times New Roman"/>
          <w:sz w:val="20"/>
          <w:szCs w:val="20"/>
        </w:rPr>
        <w:t>ing</w:t>
      </w:r>
      <w:r w:rsidRPr="009D0E81">
        <w:rPr>
          <w:rFonts w:ascii="Times New Roman" w:hAnsi="Times New Roman" w:cs="Times New Roman"/>
          <w:sz w:val="20"/>
          <w:szCs w:val="20"/>
        </w:rPr>
        <w:t xml:space="preserve"> to 0.781 when only sesquiterpenes were considered in Figure S3</w:t>
      </w:r>
      <w:r w:rsidR="002C5692">
        <w:rPr>
          <w:rFonts w:ascii="Times New Roman" w:hAnsi="Times New Roman" w:cs="Times New Roman"/>
          <w:sz w:val="20"/>
          <w:szCs w:val="20"/>
        </w:rPr>
        <w:t>d</w:t>
      </w:r>
      <w:r w:rsidRPr="009D0E81">
        <w:rPr>
          <w:rFonts w:ascii="Times New Roman" w:hAnsi="Times New Roman" w:cs="Times New Roman"/>
          <w:sz w:val="20"/>
          <w:szCs w:val="20"/>
        </w:rPr>
        <w:t>.</w:t>
      </w:r>
    </w:p>
    <w:p w14:paraId="6F9A50CB" w14:textId="478CDEA3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3DE54F" w14:textId="551C5F37" w:rsidR="006D7605" w:rsidRDefault="006D760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886D99E" w14:textId="2D095F72" w:rsidR="002C5692" w:rsidRPr="002C5692" w:rsidRDefault="002C5692" w:rsidP="002C5692">
      <w:pPr>
        <w:rPr>
          <w:rFonts w:ascii="Times New Roman" w:eastAsia="Times New Roman" w:hAnsi="Times New Roman" w:cs="Times New Roman"/>
          <w:b/>
          <w:bCs/>
          <w:color w:val="FFFFFF" w:themeColor="background1"/>
          <w:sz w:val="20"/>
          <w:szCs w:val="20"/>
        </w:rPr>
      </w:pPr>
    </w:p>
    <w:p w14:paraId="3CCAE3DF" w14:textId="0BA4BF2E" w:rsidR="002C5692" w:rsidRDefault="002C5692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4A470CF2" wp14:editId="0C300E99">
            <wp:extent cx="5930900" cy="3771900"/>
            <wp:effectExtent l="0" t="0" r="0" b="0"/>
            <wp:docPr id="59049614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496149" name="Picture 59049614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3771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BAB75" w14:textId="77777777" w:rsidR="002C5692" w:rsidRPr="009D0E81" w:rsidRDefault="002C5692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71B61D3" w14:textId="6C2ABBD2" w:rsidR="00340BB4" w:rsidRPr="009D0E81" w:rsidRDefault="00000000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Fig</w:t>
      </w:r>
      <w:r w:rsidR="00C13036"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S3</w:t>
      </w:r>
      <w:r w:rsidRPr="009D0E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40BB4" w:rsidRPr="009D0E81">
        <w:rPr>
          <w:rFonts w:ascii="Times New Roman" w:hAnsi="Times New Roman" w:cs="Times New Roman"/>
          <w:sz w:val="20"/>
          <w:szCs w:val="20"/>
        </w:rPr>
        <w:t>Heavy atom count versus docking score for monoterpenes, sesquiterpenes, and their known ligands docked against 11β-HSD1. Red represents known ligands, and blue represents terpenes.</w:t>
      </w:r>
    </w:p>
    <w:p w14:paraId="5A9D1F3F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4752F8A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2DC1B5D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C825CD5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3A3859B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CC3ADA4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23182B9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888AD85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3F25950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EAD773C" w14:textId="03CA130B" w:rsidR="00C835C5" w:rsidRPr="009D0E81" w:rsidRDefault="009D0E8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S4. Cytochrome P450 19A1</w:t>
      </w:r>
    </w:p>
    <w:p w14:paraId="7FC3F1D0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9969F26" w14:textId="406B2089" w:rsidR="00C835C5" w:rsidRPr="00CB34A5" w:rsidRDefault="002150D5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0E81">
        <w:rPr>
          <w:rFonts w:ascii="Times New Roman" w:hAnsi="Times New Roman" w:cs="Times New Roman"/>
          <w:sz w:val="20"/>
          <w:szCs w:val="20"/>
        </w:rPr>
        <w:t xml:space="preserve">In CYP19A1 docking analysis, MK showed a </w:t>
      </w:r>
      <w:r w:rsidR="00976A57">
        <w:rPr>
          <w:rFonts w:ascii="Times New Roman" w:hAnsi="Times New Roman" w:cs="Times New Roman"/>
          <w:sz w:val="20"/>
          <w:szCs w:val="20"/>
        </w:rPr>
        <w:t>coefficient of determination</w:t>
      </w:r>
      <w:r w:rsidRPr="009D0E81">
        <w:rPr>
          <w:rFonts w:ascii="Times New Roman" w:hAnsi="Times New Roman" w:cs="Times New Roman"/>
          <w:sz w:val="20"/>
          <w:szCs w:val="20"/>
        </w:rPr>
        <w:t xml:space="preserve"> of 0.307 in Figure S4</w:t>
      </w:r>
      <w:r w:rsidR="00CB34A5">
        <w:rPr>
          <w:rFonts w:ascii="Times New Roman" w:hAnsi="Times New Roman" w:cs="Times New Roman"/>
          <w:sz w:val="20"/>
          <w:szCs w:val="20"/>
        </w:rPr>
        <w:t>a</w:t>
      </w:r>
      <w:r w:rsidRPr="009D0E81">
        <w:rPr>
          <w:rFonts w:ascii="Times New Roman" w:hAnsi="Times New Roman" w:cs="Times New Roman"/>
          <w:sz w:val="20"/>
          <w:szCs w:val="20"/>
        </w:rPr>
        <w:t>, which increased to 0.604 when only monoterpenes were considered in Figure S4</w:t>
      </w:r>
      <w:r w:rsidR="00CB34A5">
        <w:rPr>
          <w:rFonts w:ascii="Times New Roman" w:hAnsi="Times New Roman" w:cs="Times New Roman"/>
          <w:sz w:val="20"/>
          <w:szCs w:val="20"/>
        </w:rPr>
        <w:t>b</w:t>
      </w:r>
      <w:r w:rsidRPr="009D0E81">
        <w:rPr>
          <w:rFonts w:ascii="Times New Roman" w:hAnsi="Times New Roman" w:cs="Times New Roman"/>
          <w:sz w:val="20"/>
          <w:szCs w:val="20"/>
        </w:rPr>
        <w:t xml:space="preserve">. Similarly, SK showed a </w:t>
      </w:r>
      <w:r w:rsidR="00976A57">
        <w:rPr>
          <w:rFonts w:ascii="Times New Roman" w:hAnsi="Times New Roman" w:cs="Times New Roman"/>
          <w:sz w:val="20"/>
          <w:szCs w:val="20"/>
        </w:rPr>
        <w:t>coefficient of determination</w:t>
      </w:r>
      <w:r w:rsidRPr="009D0E81">
        <w:rPr>
          <w:rFonts w:ascii="Times New Roman" w:hAnsi="Times New Roman" w:cs="Times New Roman"/>
          <w:sz w:val="20"/>
          <w:szCs w:val="20"/>
        </w:rPr>
        <w:t xml:space="preserve"> of 0.112 in Figure S4</w:t>
      </w:r>
      <w:r w:rsidR="00CB34A5">
        <w:rPr>
          <w:rFonts w:ascii="Times New Roman" w:hAnsi="Times New Roman" w:cs="Times New Roman"/>
          <w:sz w:val="20"/>
          <w:szCs w:val="20"/>
        </w:rPr>
        <w:t>c</w:t>
      </w:r>
      <w:r w:rsidRPr="009D0E81">
        <w:rPr>
          <w:rFonts w:ascii="Times New Roman" w:hAnsi="Times New Roman" w:cs="Times New Roman"/>
          <w:sz w:val="20"/>
          <w:szCs w:val="20"/>
        </w:rPr>
        <w:t>, increasing slightly to 0.154 when only sesquiterpenes were considered in Figure S4</w:t>
      </w:r>
      <w:r w:rsidR="00CB34A5">
        <w:rPr>
          <w:rFonts w:ascii="Times New Roman" w:hAnsi="Times New Roman" w:cs="Times New Roman"/>
          <w:sz w:val="20"/>
          <w:szCs w:val="20"/>
        </w:rPr>
        <w:t>d</w:t>
      </w:r>
      <w:r w:rsidRPr="009D0E81">
        <w:rPr>
          <w:rFonts w:ascii="Times New Roman" w:hAnsi="Times New Roman" w:cs="Times New Roman"/>
          <w:sz w:val="20"/>
          <w:szCs w:val="20"/>
        </w:rPr>
        <w:t>. The heavy atom</w:t>
      </w:r>
      <w:r w:rsidR="00633E4A">
        <w:rPr>
          <w:rFonts w:ascii="Times New Roman" w:hAnsi="Times New Roman" w:cs="Times New Roman"/>
          <w:sz w:val="20"/>
          <w:szCs w:val="20"/>
        </w:rPr>
        <w:t xml:space="preserve"> counts</w:t>
      </w:r>
      <w:r w:rsidRPr="009D0E81">
        <w:rPr>
          <w:rFonts w:ascii="Times New Roman" w:hAnsi="Times New Roman" w:cs="Times New Roman"/>
          <w:sz w:val="20"/>
          <w:szCs w:val="20"/>
        </w:rPr>
        <w:t xml:space="preserve"> were higher for MK in Figure S4</w:t>
      </w:r>
      <w:r w:rsidR="00633E4A">
        <w:rPr>
          <w:rFonts w:ascii="Times New Roman" w:hAnsi="Times New Roman" w:cs="Times New Roman"/>
          <w:sz w:val="20"/>
          <w:szCs w:val="20"/>
        </w:rPr>
        <w:t>a</w:t>
      </w:r>
      <w:r w:rsidRPr="009D0E81">
        <w:rPr>
          <w:rFonts w:ascii="Times New Roman" w:hAnsi="Times New Roman" w:cs="Times New Roman"/>
          <w:sz w:val="20"/>
          <w:szCs w:val="20"/>
        </w:rPr>
        <w:t xml:space="preserve"> and SK in Figure S4</w:t>
      </w:r>
      <w:r w:rsidR="00CB34A5">
        <w:rPr>
          <w:rFonts w:ascii="Times New Roman" w:hAnsi="Times New Roman" w:cs="Times New Roman"/>
          <w:sz w:val="20"/>
          <w:szCs w:val="20"/>
        </w:rPr>
        <w:t>c</w:t>
      </w:r>
      <w:r w:rsidRPr="009D0E81">
        <w:rPr>
          <w:rFonts w:ascii="Times New Roman" w:hAnsi="Times New Roman" w:cs="Times New Roman"/>
          <w:sz w:val="20"/>
          <w:szCs w:val="20"/>
        </w:rPr>
        <w:t>.</w:t>
      </w:r>
    </w:p>
    <w:p w14:paraId="1203E2CF" w14:textId="77777777" w:rsidR="00CB34A5" w:rsidRDefault="00CB34A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86FE653" w14:textId="1610D46E" w:rsidR="00CB34A5" w:rsidRPr="009D0E81" w:rsidRDefault="00CB34A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1EB23636" wp14:editId="411F734A">
            <wp:extent cx="5930900" cy="3771900"/>
            <wp:effectExtent l="0" t="0" r="0" b="0"/>
            <wp:docPr id="145447959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479590" name="Picture 145447959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3771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00F51" w14:textId="291BDF73" w:rsidR="00C835C5" w:rsidRPr="009D0E81" w:rsidRDefault="00000000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Fig</w:t>
      </w:r>
      <w:r w:rsidR="00C13036"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S4</w:t>
      </w:r>
      <w:r w:rsidRPr="009D0E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40BB4" w:rsidRPr="009D0E81">
        <w:rPr>
          <w:rFonts w:ascii="Times New Roman" w:hAnsi="Times New Roman" w:cs="Times New Roman"/>
          <w:sz w:val="20"/>
          <w:szCs w:val="20"/>
        </w:rPr>
        <w:t xml:space="preserve">Heavy atom count versus docking score for monoterpenes, sesquiterpenes, and their known ligands docked against </w:t>
      </w:r>
      <w:r w:rsidR="00340BB4" w:rsidRPr="009D0E81">
        <w:rPr>
          <w:rFonts w:ascii="Times New Roman" w:eastAsia="Times New Roman" w:hAnsi="Times New Roman" w:cs="Times New Roman"/>
          <w:sz w:val="20"/>
          <w:szCs w:val="20"/>
        </w:rPr>
        <w:t>CYP19A1</w:t>
      </w:r>
      <w:r w:rsidR="00340BB4" w:rsidRPr="009D0E81">
        <w:rPr>
          <w:rFonts w:ascii="Times New Roman" w:hAnsi="Times New Roman" w:cs="Times New Roman"/>
          <w:sz w:val="20"/>
          <w:szCs w:val="20"/>
        </w:rPr>
        <w:t>. Red represents known ligands, and blue represents terpenes.</w:t>
      </w:r>
    </w:p>
    <w:p w14:paraId="49288A31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34A45B4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773051D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62EF775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DEC6574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F5641CD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AF28EEE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9A3CFA8" w14:textId="77777777" w:rsidR="001C61A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63E445F" w14:textId="77777777" w:rsidR="009D0E81" w:rsidRDefault="009D0E8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418F2B2" w14:textId="77777777" w:rsidR="009D0E81" w:rsidRDefault="009D0E8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62CDBB6" w14:textId="77777777" w:rsidR="009D0E81" w:rsidRPr="009D0E81" w:rsidRDefault="009D0E8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0B481C7" w14:textId="77777777" w:rsidR="001C61A1" w:rsidRPr="009D0E81" w:rsidRDefault="001C61A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360E44E" w14:textId="6B1D8FBB" w:rsidR="00C835C5" w:rsidRPr="009D0E81" w:rsidRDefault="009D0E81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S5. Estrogen receptor β</w:t>
      </w:r>
    </w:p>
    <w:p w14:paraId="77235CF9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D4D18F5" w14:textId="4E48517E" w:rsidR="00C835C5" w:rsidRPr="009D0E81" w:rsidRDefault="002150D5" w:rsidP="009D0E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0E81">
        <w:rPr>
          <w:rFonts w:ascii="Times New Roman" w:hAnsi="Times New Roman" w:cs="Times New Roman"/>
          <w:sz w:val="20"/>
          <w:szCs w:val="20"/>
        </w:rPr>
        <w:t xml:space="preserve">In the ERβ docking analysis, MK showed a </w:t>
      </w:r>
      <w:r w:rsidR="00976A57">
        <w:rPr>
          <w:rFonts w:ascii="Times New Roman" w:hAnsi="Times New Roman" w:cs="Times New Roman"/>
          <w:sz w:val="20"/>
          <w:szCs w:val="20"/>
        </w:rPr>
        <w:t>coefficient of determination</w:t>
      </w:r>
      <w:r w:rsidRPr="009D0E81">
        <w:rPr>
          <w:rFonts w:ascii="Times New Roman" w:hAnsi="Times New Roman" w:cs="Times New Roman"/>
          <w:sz w:val="20"/>
          <w:szCs w:val="20"/>
        </w:rPr>
        <w:t xml:space="preserve"> of 0.925 in Figure S5</w:t>
      </w:r>
      <w:r w:rsidR="00E5086D">
        <w:rPr>
          <w:rFonts w:ascii="Times New Roman" w:hAnsi="Times New Roman" w:cs="Times New Roman"/>
          <w:sz w:val="20"/>
          <w:szCs w:val="20"/>
        </w:rPr>
        <w:t>a</w:t>
      </w:r>
      <w:r w:rsidRPr="009D0E81">
        <w:rPr>
          <w:rFonts w:ascii="Times New Roman" w:hAnsi="Times New Roman" w:cs="Times New Roman"/>
          <w:sz w:val="20"/>
          <w:szCs w:val="20"/>
        </w:rPr>
        <w:t xml:space="preserve">, which decreased </w:t>
      </w:r>
      <w:r w:rsidR="009D0E81" w:rsidRPr="009D0E81">
        <w:rPr>
          <w:rFonts w:ascii="Times New Roman" w:hAnsi="Times New Roman" w:cs="Times New Roman"/>
          <w:sz w:val="20"/>
          <w:szCs w:val="20"/>
        </w:rPr>
        <w:t>substantially</w:t>
      </w:r>
      <w:r w:rsidRPr="009D0E81">
        <w:rPr>
          <w:rFonts w:ascii="Times New Roman" w:hAnsi="Times New Roman" w:cs="Times New Roman"/>
          <w:sz w:val="20"/>
          <w:szCs w:val="20"/>
        </w:rPr>
        <w:t xml:space="preserve"> to 0.117 when only monoterpenes were considered in Figure S5</w:t>
      </w:r>
      <w:r w:rsidR="00E5086D">
        <w:rPr>
          <w:rFonts w:ascii="Times New Roman" w:hAnsi="Times New Roman" w:cs="Times New Roman"/>
          <w:sz w:val="20"/>
          <w:szCs w:val="20"/>
        </w:rPr>
        <w:t>b</w:t>
      </w:r>
      <w:r w:rsidRPr="009D0E81">
        <w:rPr>
          <w:rFonts w:ascii="Times New Roman" w:hAnsi="Times New Roman" w:cs="Times New Roman"/>
          <w:sz w:val="20"/>
          <w:szCs w:val="20"/>
        </w:rPr>
        <w:t xml:space="preserve">. Similarly, SK showed a </w:t>
      </w:r>
      <w:r w:rsidR="00976A57">
        <w:rPr>
          <w:rFonts w:ascii="Times New Roman" w:hAnsi="Times New Roman" w:cs="Times New Roman"/>
          <w:sz w:val="20"/>
          <w:szCs w:val="20"/>
        </w:rPr>
        <w:t>coefficient of determination</w:t>
      </w:r>
      <w:r w:rsidRPr="009D0E81">
        <w:rPr>
          <w:rFonts w:ascii="Times New Roman" w:hAnsi="Times New Roman" w:cs="Times New Roman"/>
          <w:sz w:val="20"/>
          <w:szCs w:val="20"/>
        </w:rPr>
        <w:t xml:space="preserve"> of 0.946 in Figure S5</w:t>
      </w:r>
      <w:r w:rsidR="00E5086D">
        <w:rPr>
          <w:rFonts w:ascii="Times New Roman" w:hAnsi="Times New Roman" w:cs="Times New Roman"/>
          <w:sz w:val="20"/>
          <w:szCs w:val="20"/>
        </w:rPr>
        <w:t>c</w:t>
      </w:r>
      <w:r w:rsidRPr="009D0E81">
        <w:rPr>
          <w:rFonts w:ascii="Times New Roman" w:hAnsi="Times New Roman" w:cs="Times New Roman"/>
          <w:sz w:val="20"/>
          <w:szCs w:val="20"/>
        </w:rPr>
        <w:t>, decreasing to 0.312 when only sesquiterpenes were considered in Figure S5</w:t>
      </w:r>
      <w:r w:rsidR="00E5086D">
        <w:rPr>
          <w:rFonts w:ascii="Times New Roman" w:hAnsi="Times New Roman" w:cs="Times New Roman"/>
          <w:sz w:val="20"/>
          <w:szCs w:val="20"/>
        </w:rPr>
        <w:t>d</w:t>
      </w:r>
      <w:r w:rsidRPr="009D0E8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92AD688" w14:textId="299648D7" w:rsidR="00C835C5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2F8FF9B" w14:textId="306567D4" w:rsidR="00E5086D" w:rsidRDefault="00E5086D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D4D0762" wp14:editId="2929ADD3">
            <wp:extent cx="5930900" cy="3771900"/>
            <wp:effectExtent l="0" t="0" r="0" b="0"/>
            <wp:docPr id="210356737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567373" name="Picture 210356737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3771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2C87C" w14:textId="77777777" w:rsidR="00E5086D" w:rsidRPr="009D0E81" w:rsidRDefault="00E5086D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2E0C82C" w14:textId="3D15E680" w:rsidR="00C835C5" w:rsidRPr="009D0E81" w:rsidRDefault="00000000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Fig</w:t>
      </w:r>
      <w:r w:rsidR="00C13036"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 w:rsidRPr="009D0E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S5 </w:t>
      </w:r>
      <w:r w:rsidR="00340BB4" w:rsidRPr="009D0E81">
        <w:rPr>
          <w:rFonts w:ascii="Times New Roman" w:hAnsi="Times New Roman" w:cs="Times New Roman"/>
          <w:sz w:val="20"/>
          <w:szCs w:val="20"/>
        </w:rPr>
        <w:t xml:space="preserve">Heavy atom count versus docking score for monoterpenes, sesquiterpenes, and their known ligands docked against </w:t>
      </w:r>
      <w:r w:rsidR="00340BB4" w:rsidRPr="009D0E81">
        <w:rPr>
          <w:rFonts w:ascii="Times New Roman" w:eastAsia="Times New Roman" w:hAnsi="Times New Roman" w:cs="Times New Roman"/>
          <w:sz w:val="20"/>
          <w:szCs w:val="20"/>
        </w:rPr>
        <w:t>ERβ</w:t>
      </w:r>
      <w:r w:rsidR="00340BB4" w:rsidRPr="009D0E81">
        <w:rPr>
          <w:rFonts w:ascii="Times New Roman" w:hAnsi="Times New Roman" w:cs="Times New Roman"/>
          <w:sz w:val="20"/>
          <w:szCs w:val="20"/>
        </w:rPr>
        <w:t>. Red represents known ligands, and blue represents terpenes.</w:t>
      </w:r>
    </w:p>
    <w:p w14:paraId="246BFB54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D9599F5" w14:textId="77777777" w:rsidR="00C835C5" w:rsidRPr="009D0E81" w:rsidRDefault="00C835C5" w:rsidP="009D0E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C835C5" w:rsidRPr="009D0E8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CDAD27" w14:textId="77777777" w:rsidR="00087854" w:rsidRDefault="00087854" w:rsidP="00C331B7">
      <w:pPr>
        <w:spacing w:line="240" w:lineRule="auto"/>
      </w:pPr>
      <w:r>
        <w:separator/>
      </w:r>
    </w:p>
  </w:endnote>
  <w:endnote w:type="continuationSeparator" w:id="0">
    <w:p w14:paraId="34F7C0C4" w14:textId="77777777" w:rsidR="00087854" w:rsidRDefault="00087854" w:rsidP="00C331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D406B5E6-5C8C-5F4F-8DD0-0E288DA1E143}"/>
    <w:embedBold r:id="rId2" w:fontKey="{406CA87A-5DAF-8846-8133-BF5E0B9D5218}"/>
    <w:embedItalic r:id="rId3" w:fontKey="{97DBA594-D9EB-5944-953B-A23AD87519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31D8A26-A034-F146-BA78-3E8E1273CACF}"/>
    <w:embedBold r:id="rId5" w:fontKey="{5A074A19-586C-704A-B6B4-485ED7508C70}"/>
    <w:embedItalic r:id="rId6" w:fontKey="{7C7357A6-5A39-4943-9988-B0BC60822B1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254FF1D-E492-4B4D-A89C-D42FC807F0F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07806FE-6B0B-3240-A5DD-39BAC8D456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7145F" w14:textId="77777777" w:rsidR="00C331B7" w:rsidRDefault="00C331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2162D2" w14:textId="77777777" w:rsidR="00C331B7" w:rsidRDefault="00C331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2FBB1B" w14:textId="77777777" w:rsidR="00C331B7" w:rsidRDefault="00C331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1D78A6" w14:textId="77777777" w:rsidR="00087854" w:rsidRDefault="00087854" w:rsidP="00C331B7">
      <w:pPr>
        <w:spacing w:line="240" w:lineRule="auto"/>
      </w:pPr>
      <w:r>
        <w:separator/>
      </w:r>
    </w:p>
  </w:footnote>
  <w:footnote w:type="continuationSeparator" w:id="0">
    <w:p w14:paraId="51EF7B37" w14:textId="77777777" w:rsidR="00087854" w:rsidRDefault="00087854" w:rsidP="00C331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9A0B58" w14:textId="77777777" w:rsidR="00C331B7" w:rsidRDefault="00C331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6445D6" w14:textId="77777777" w:rsidR="00C331B7" w:rsidRDefault="00C331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D25B81" w14:textId="77777777" w:rsidR="00C331B7" w:rsidRDefault="00C331B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5C5"/>
    <w:rsid w:val="00021B4E"/>
    <w:rsid w:val="00087854"/>
    <w:rsid w:val="000F433D"/>
    <w:rsid w:val="001B535F"/>
    <w:rsid w:val="001C61A1"/>
    <w:rsid w:val="002150D5"/>
    <w:rsid w:val="002C5692"/>
    <w:rsid w:val="0031017D"/>
    <w:rsid w:val="00340BB4"/>
    <w:rsid w:val="00357E9F"/>
    <w:rsid w:val="003973E8"/>
    <w:rsid w:val="00412861"/>
    <w:rsid w:val="004D2049"/>
    <w:rsid w:val="00554019"/>
    <w:rsid w:val="00567C61"/>
    <w:rsid w:val="00633E4A"/>
    <w:rsid w:val="00694A55"/>
    <w:rsid w:val="006D7605"/>
    <w:rsid w:val="007E0581"/>
    <w:rsid w:val="00816F91"/>
    <w:rsid w:val="008935DE"/>
    <w:rsid w:val="0097036A"/>
    <w:rsid w:val="00976A57"/>
    <w:rsid w:val="00977738"/>
    <w:rsid w:val="009D0E81"/>
    <w:rsid w:val="00A22546"/>
    <w:rsid w:val="00AA00B6"/>
    <w:rsid w:val="00AA2D27"/>
    <w:rsid w:val="00AC14C7"/>
    <w:rsid w:val="00B631F3"/>
    <w:rsid w:val="00BF1A21"/>
    <w:rsid w:val="00C06BB2"/>
    <w:rsid w:val="00C13036"/>
    <w:rsid w:val="00C331B7"/>
    <w:rsid w:val="00C835C5"/>
    <w:rsid w:val="00CB34A5"/>
    <w:rsid w:val="00D9375F"/>
    <w:rsid w:val="00E248A4"/>
    <w:rsid w:val="00E5086D"/>
    <w:rsid w:val="00E5350E"/>
    <w:rsid w:val="00E9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F3B77"/>
  <w15:docId w15:val="{3010CD9B-E387-5D4E-AFB8-93E7EA5B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331B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1B7"/>
  </w:style>
  <w:style w:type="paragraph" w:styleId="Footer">
    <w:name w:val="footer"/>
    <w:basedOn w:val="Normal"/>
    <w:link w:val="FooterChar"/>
    <w:uiPriority w:val="99"/>
    <w:unhideWhenUsed/>
    <w:rsid w:val="00C331B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1B7"/>
  </w:style>
  <w:style w:type="paragraph" w:styleId="NormalWeb">
    <w:name w:val="Normal (Web)"/>
    <w:basedOn w:val="Normal"/>
    <w:uiPriority w:val="99"/>
    <w:unhideWhenUsed/>
    <w:rsid w:val="00977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452DEF-7EF2-4446-8289-34076418F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Manasa Nagesh Hegde</cp:lastModifiedBy>
  <cp:revision>4</cp:revision>
  <dcterms:created xsi:type="dcterms:W3CDTF">2026-09-13T23:38:00Z</dcterms:created>
  <dcterms:modified xsi:type="dcterms:W3CDTF">2026-09-13T23:47:00Z</dcterms:modified>
</cp:coreProperties>
</file>