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13E8" w14:textId="77777777" w:rsidR="007E71CC" w:rsidRPr="00A27F05" w:rsidRDefault="00957831">
      <w:pPr>
        <w:spacing w:after="0" w:line="480" w:lineRule="auto"/>
        <w:rPr>
          <w:b/>
          <w:bCs/>
        </w:rPr>
      </w:pPr>
      <w:r w:rsidRPr="00A27F05">
        <w:rPr>
          <w:rFonts w:eastAsia="Aptos"/>
          <w:b/>
          <w:bCs/>
          <w:color w:val="000000"/>
        </w:rPr>
        <w:t>Supplemental Material</w:t>
      </w:r>
    </w:p>
    <w:p w14:paraId="2D1D583D" w14:textId="77777777" w:rsidR="007E71CC" w:rsidRDefault="00957831">
      <w:pPr>
        <w:spacing w:after="0" w:line="480" w:lineRule="auto"/>
      </w:pPr>
      <w:r>
        <w:rPr>
          <w:rFonts w:eastAsia="Aptos"/>
          <w:color w:val="000000"/>
        </w:rPr>
        <w:t>White matter hyperintensities partly mediate genetically predicted blood pressure effects on vascular dementia</w:t>
      </w:r>
    </w:p>
    <w:p w14:paraId="59CEF566" w14:textId="77777777" w:rsidR="007E71CC" w:rsidRDefault="00957831">
      <w:pPr>
        <w:spacing w:before="240" w:after="0" w:line="480" w:lineRule="auto"/>
      </w:pPr>
      <w:r>
        <w:rPr>
          <w:rFonts w:eastAsia="Aptos"/>
          <w:b/>
          <w:color w:val="000000"/>
        </w:rPr>
        <w:t>Table S1</w:t>
      </w:r>
      <w:r>
        <w:rPr>
          <w:rFonts w:eastAsia="Aptos"/>
          <w:color w:val="000000"/>
        </w:rPr>
        <w:t xml:space="preserve">. Variants dropped by the a priori </w:t>
      </w:r>
      <w:r>
        <w:rPr>
          <w:rFonts w:eastAsia="Aptos"/>
          <w:i/>
          <w:color w:val="000000"/>
        </w:rPr>
        <w:t>APOE</w:t>
      </w:r>
      <w:r>
        <w:rPr>
          <w:rFonts w:eastAsia="Aptos"/>
          <w:color w:val="000000"/>
        </w:rPr>
        <w:t xml:space="preserve"> window</w:t>
      </w:r>
    </w:p>
    <w:p w14:paraId="73A930B4" w14:textId="77777777" w:rsidR="007E71CC" w:rsidRDefault="00957831">
      <w:pPr>
        <w:spacing w:after="0" w:line="480" w:lineRule="auto"/>
      </w:pPr>
      <w:r>
        <w:rPr>
          <w:rFonts w:eastAsia="Aptos"/>
          <w:color w:val="000000"/>
        </w:rPr>
        <w:t>GRCh37 chr19:44,909,039–45,912,650.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7E71CC" w14:paraId="4241499E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CBE63C0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Phenotype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6F05880D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SNP dropped</w:t>
            </w:r>
          </w:p>
        </w:tc>
      </w:tr>
      <w:tr w:rsidR="007E71CC" w14:paraId="43F7CB64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05A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WMH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5D37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rs769449</w:t>
            </w:r>
          </w:p>
        </w:tc>
      </w:tr>
      <w:tr w:rsidR="007E71CC" w14:paraId="477D15B6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8EF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DBP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CF07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rs73036520</w:t>
            </w:r>
          </w:p>
        </w:tc>
      </w:tr>
      <w:tr w:rsidR="007E71CC" w14:paraId="599DF094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BC9D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SBP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902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rs7255933</w:t>
            </w:r>
          </w:p>
        </w:tc>
      </w:tr>
      <w:tr w:rsidR="007E71CC" w14:paraId="049B5B40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3CA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SBP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9E5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rs10420519</w:t>
            </w:r>
          </w:p>
        </w:tc>
      </w:tr>
      <w:tr w:rsidR="007E71CC" w14:paraId="72E9C63B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673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PP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6EF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rs7412</w:t>
            </w:r>
          </w:p>
        </w:tc>
      </w:tr>
    </w:tbl>
    <w:p w14:paraId="0D66B0CF" w14:textId="77777777" w:rsidR="007E71CC" w:rsidRDefault="00957831">
      <w:pPr>
        <w:spacing w:before="240" w:after="0" w:line="480" w:lineRule="auto"/>
      </w:pPr>
      <w:r>
        <w:rPr>
          <w:rFonts w:eastAsia="Aptos"/>
          <w:b/>
          <w:color w:val="000000"/>
        </w:rPr>
        <w:t>Table S2</w:t>
      </w:r>
      <w:r>
        <w:rPr>
          <w:rFonts w:eastAsia="Aptos"/>
          <w:color w:val="000000"/>
        </w:rPr>
        <w:t xml:space="preserve">. 17q21.31 </w:t>
      </w:r>
      <w:r w:rsidR="00897D8B">
        <w:rPr>
          <w:rFonts w:eastAsia="Aptos"/>
          <w:color w:val="000000"/>
        </w:rPr>
        <w:t>leave-out</w:t>
      </w:r>
      <w:r>
        <w:rPr>
          <w:rFonts w:eastAsia="Aptos"/>
          <w:color w:val="000000"/>
        </w:rPr>
        <w:t xml:space="preserve"> (European BP to WMH)</w:t>
      </w:r>
    </w:p>
    <w:p w14:paraId="3799B3EA" w14:textId="77777777" w:rsidR="007E71CC" w:rsidRDefault="00957831">
      <w:pPr>
        <w:spacing w:after="0" w:line="480" w:lineRule="auto"/>
      </w:pPr>
      <w:r>
        <w:rPr>
          <w:rFonts w:eastAsia="Aptos"/>
          <w:color w:val="000000"/>
        </w:rPr>
        <w:t>Region: hg19 chr17:43–46 Mb. This is a published WMH locus and contains the H1/H2 inversion. The H1 allele raises BP and lowers WMH, so the region can pull a polygenic BP to WMH estimate. The check asked whether that estimate moved by more than 10% after the region was dropped.</w:t>
      </w:r>
      <w:r w:rsidR="00F876C6" w:rsidRPr="00F876C6">
        <w:rPr>
          <w:rFonts w:eastAsia="Aptos"/>
          <w:color w:val="000000"/>
        </w:rPr>
        <w:t xml:space="preserve"> It was not a discovery.</w:t>
      </w:r>
      <w:r>
        <w:rPr>
          <w:rFonts w:eastAsia="Aptos"/>
          <w:color w:val="000000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1558"/>
        <w:gridCol w:w="1558"/>
        <w:gridCol w:w="1558"/>
        <w:gridCol w:w="1559"/>
        <w:gridCol w:w="1558"/>
      </w:tblGrid>
      <w:tr w:rsidR="007E71CC" w14:paraId="5B47B910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1E97F31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Exposure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4656C14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Set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0942AD6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IVs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5E02D049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β (95% CI)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2CFD5D2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0EEAA850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 xml:space="preserve">Change vs primary </w:t>
            </w:r>
            <w:r>
              <w:rPr>
                <w:rFonts w:eastAsia="Aptos"/>
                <w:b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b/>
                <w:color w:val="000000"/>
                <w:sz w:val="18"/>
              </w:rPr>
              <w:t>-excl.</w:t>
            </w:r>
          </w:p>
        </w:tc>
      </w:tr>
      <w:tr w:rsidR="007E71CC" w14:paraId="65358122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76E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DBP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387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17q excl.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D7B7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451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0F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0.190 (0.133–0.247)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F91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6.59×10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6EE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+8.3% (below 10%)</w:t>
            </w:r>
          </w:p>
        </w:tc>
      </w:tr>
      <w:tr w:rsidR="007E71CC" w14:paraId="72E6E128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D58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SBP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B17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17q excl.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900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449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30C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0.096 (0.064–0.128)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AF1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3.71×10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F86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+5.1% (below 10%)</w:t>
            </w:r>
          </w:p>
        </w:tc>
      </w:tr>
    </w:tbl>
    <w:p w14:paraId="1E58B5E4" w14:textId="77777777" w:rsidR="007E71CC" w:rsidRDefault="00957831">
      <w:pPr>
        <w:spacing w:before="240" w:after="0" w:line="480" w:lineRule="auto"/>
      </w:pPr>
      <w:r>
        <w:rPr>
          <w:rFonts w:eastAsia="Aptos"/>
          <w:b/>
          <w:color w:val="000000"/>
        </w:rPr>
        <w:t>Table S3</w:t>
      </w:r>
      <w:r>
        <w:rPr>
          <w:rFonts w:eastAsia="Aptos"/>
          <w:color w:val="000000"/>
        </w:rPr>
        <w:t>. Japanese non-BP exposures to JPSC-AD WMH</w:t>
      </w:r>
    </w:p>
    <w:p w14:paraId="4C46B721" w14:textId="77777777" w:rsidR="007E71CC" w:rsidRDefault="00957831">
      <w:pPr>
        <w:spacing w:after="0" w:line="480" w:lineRule="auto"/>
      </w:pPr>
      <w:r>
        <w:rPr>
          <w:rFonts w:eastAsia="Aptos"/>
          <w:color w:val="000000"/>
        </w:rPr>
        <w:t xml:space="preserve">Units: WMH residual SD per 1-SD exposure residual. Bonferroni </w:t>
      </w:r>
      <w:r w:rsidR="00563544">
        <w:rPr>
          <w:rFonts w:eastAsia="Aptos"/>
          <w:color w:val="000000"/>
        </w:rPr>
        <w:t>0.05/7=0.007</w:t>
      </w:r>
      <w:r>
        <w:rPr>
          <w:rFonts w:eastAsia="Aptos"/>
          <w:color w:val="000000"/>
        </w:rPr>
        <w:t xml:space="preserve">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1869"/>
        <w:gridCol w:w="1870"/>
        <w:gridCol w:w="1870"/>
        <w:gridCol w:w="1870"/>
      </w:tblGrid>
      <w:tr w:rsidR="007E71CC" w14:paraId="4F74A7FB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4FEC5BE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Exposure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98DC059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IVs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0E18E89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6CA046B7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P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5BC5D47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 xml:space="preserve">Passes </w:t>
            </w:r>
            <w:r w:rsidR="00563544">
              <w:rPr>
                <w:rFonts w:eastAsia="Aptos"/>
                <w:b/>
                <w:color w:val="000000"/>
                <w:sz w:val="18"/>
              </w:rPr>
              <w:t>0.007</w:t>
            </w:r>
            <w:r>
              <w:rPr>
                <w:rFonts w:eastAsia="Aptos"/>
                <w:b/>
                <w:color w:val="000000"/>
                <w:sz w:val="18"/>
              </w:rPr>
              <w:t>?</w:t>
            </w:r>
          </w:p>
        </w:tc>
      </w:tr>
      <w:tr w:rsidR="007E71CC" w14:paraId="78120E24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1E5A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eGFR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383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52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6CF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−0.031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A3BC8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0.73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468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</w:t>
            </w:r>
          </w:p>
        </w:tc>
      </w:tr>
      <w:tr w:rsidR="007E71CC" w14:paraId="7719FFAB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734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Serum creatinine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B8A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51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3E1C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0.027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B5E50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0.77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E7F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</w:t>
            </w:r>
          </w:p>
        </w:tc>
      </w:tr>
      <w:tr w:rsidR="007E71CC" w14:paraId="41DD6E8C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41C0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HbA1c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3BB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24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C01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0.132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A3B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0.061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A01D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</w:t>
            </w:r>
          </w:p>
        </w:tc>
      </w:tr>
      <w:tr w:rsidR="007E71CC" w14:paraId="481E909A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CDF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HDL cholesterol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9810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38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0D9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0.012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D20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0.79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D41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</w:t>
            </w:r>
          </w:p>
        </w:tc>
      </w:tr>
      <w:tr w:rsidR="007E71CC" w14:paraId="3A079C13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E4A8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LDL cholesterol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C3B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23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9C61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−0.141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1BB1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0.012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836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 (nominal only)</w:t>
            </w:r>
          </w:p>
        </w:tc>
      </w:tr>
      <w:tr w:rsidR="007E71CC" w14:paraId="53548222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B4B5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Triglycerides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F23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28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9145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0.070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F60C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0.145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353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</w:t>
            </w:r>
          </w:p>
        </w:tc>
      </w:tr>
      <w:tr w:rsidR="007E71CC" w14:paraId="377073BC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40C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C-reactive protein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A1E8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7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2C5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−0.015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684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0.90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BDF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No</w:t>
            </w:r>
          </w:p>
        </w:tc>
      </w:tr>
    </w:tbl>
    <w:p w14:paraId="7014BB13" w14:textId="77777777" w:rsidR="007E71CC" w:rsidRDefault="00957831">
      <w:pPr>
        <w:spacing w:after="0" w:line="480" w:lineRule="auto"/>
      </w:pPr>
      <w:r>
        <w:rPr>
          <w:rFonts w:eastAsia="Aptos"/>
          <w:color w:val="000000"/>
        </w:rPr>
        <w:t xml:space="preserve">Primary BP traits (Bonferroni 0.05/3=0.0167) are in main </w:t>
      </w:r>
      <w:r w:rsidRPr="00CB7E0A">
        <w:rPr>
          <w:rFonts w:eastAsia="Aptos"/>
          <w:b/>
          <w:bCs/>
          <w:color w:val="000000"/>
        </w:rPr>
        <w:t>Table 1</w:t>
      </w:r>
      <w:r>
        <w:rPr>
          <w:rFonts w:eastAsia="Aptos"/>
          <w:color w:val="000000"/>
        </w:rPr>
        <w:t xml:space="preserve"> and </w:t>
      </w:r>
      <w:r w:rsidRPr="00CB7E0A">
        <w:rPr>
          <w:rFonts w:eastAsia="Aptos"/>
          <w:b/>
          <w:bCs/>
          <w:color w:val="000000"/>
        </w:rPr>
        <w:t>Figure 2B</w:t>
      </w:r>
      <w:r>
        <w:rPr>
          <w:rFonts w:eastAsia="Aptos"/>
          <w:color w:val="000000"/>
        </w:rPr>
        <w:t>.</w:t>
      </w:r>
    </w:p>
    <w:p w14:paraId="6659C88D" w14:textId="77777777" w:rsidR="007E71CC" w:rsidRDefault="00957831">
      <w:pPr>
        <w:spacing w:before="240" w:after="0" w:line="480" w:lineRule="auto"/>
      </w:pPr>
      <w:r>
        <w:rPr>
          <w:rFonts w:eastAsia="Aptos"/>
          <w:b/>
          <w:color w:val="000000"/>
        </w:rPr>
        <w:lastRenderedPageBreak/>
        <w:t>Table S4</w:t>
      </w:r>
      <w:r>
        <w:rPr>
          <w:rFonts w:eastAsia="Aptos"/>
          <w:color w:val="000000"/>
        </w:rPr>
        <w:t>. Steiger directionality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7E71CC" w14:paraId="2E94873C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1D6FC4C8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Contrast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63DCF449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Result</w:t>
            </w:r>
          </w:p>
        </w:tc>
      </w:tr>
      <w:tr w:rsidR="007E71CC" w14:paraId="421746B7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E629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DBP → WMH, all IVs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72C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direction_ok, P=1.55×10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−17</w:t>
            </w:r>
          </w:p>
        </w:tc>
      </w:tr>
      <w:tr w:rsidR="007E71CC" w14:paraId="16B1C283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BA5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 xml:space="preserve">DBP → WMH, </w:t>
            </w:r>
            <w:r>
              <w:rPr>
                <w:rFonts w:eastAsia="Aptos"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color w:val="000000"/>
                <w:sz w:val="18"/>
              </w:rPr>
              <w:t>-excl.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751D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direction_ok, P=2.10×10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−17</w:t>
            </w:r>
          </w:p>
        </w:tc>
      </w:tr>
      <w:tr w:rsidR="007E71CC" w14:paraId="0E200570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E16C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 xml:space="preserve">DBP → VaD, </w:t>
            </w:r>
            <w:r>
              <w:rPr>
                <w:rFonts w:eastAsia="Aptos"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color w:val="000000"/>
                <w:sz w:val="18"/>
              </w:rPr>
              <w:t>-excl.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7D12A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direction_ok, Fisher-z P=0.068 (borderline)</w:t>
            </w:r>
          </w:p>
        </w:tc>
      </w:tr>
      <w:tr w:rsidR="007E71CC" w14:paraId="142B2BD3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509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WMH → VaD, all IVs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4FF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direction_FAIL, P=9.10×10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−4</w:t>
            </w:r>
            <w:r>
              <w:rPr>
                <w:rFonts w:eastAsia="Aptos"/>
                <w:color w:val="000000"/>
                <w:sz w:val="18"/>
              </w:rPr>
              <w:t xml:space="preserve"> (</w:t>
            </w:r>
            <w:r>
              <w:rPr>
                <w:rFonts w:eastAsia="Aptos"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color w:val="000000"/>
                <w:sz w:val="18"/>
              </w:rPr>
              <w:t>)</w:t>
            </w:r>
          </w:p>
        </w:tc>
      </w:tr>
      <w:tr w:rsidR="007E71CC" w14:paraId="2DF34296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CF6B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 xml:space="preserve">WMH → VaD, </w:t>
            </w:r>
            <w:r>
              <w:rPr>
                <w:rFonts w:eastAsia="Aptos"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color w:val="000000"/>
                <w:sz w:val="18"/>
              </w:rPr>
              <w:t>-excl.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E6F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direction_ok, frac=1.00, P=2.00×10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−73</w:t>
            </w:r>
          </w:p>
        </w:tc>
      </w:tr>
      <w:tr w:rsidR="007E71CC" w14:paraId="5D3F0689" w14:textId="77777777" w:rsidTr="00D80415">
        <w:trPr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E387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WMH → VaD, R12 BP-indep.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8A5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direction_ok, P=4.03×10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−46</w:t>
            </w:r>
          </w:p>
        </w:tc>
      </w:tr>
    </w:tbl>
    <w:p w14:paraId="55EAB00D" w14:textId="77777777" w:rsidR="007E71CC" w:rsidRDefault="00957831">
      <w:pPr>
        <w:spacing w:before="240" w:after="0" w:line="480" w:lineRule="auto"/>
      </w:pPr>
      <w:r>
        <w:rPr>
          <w:rFonts w:eastAsia="Aptos"/>
          <w:b/>
          <w:color w:val="000000"/>
        </w:rPr>
        <w:t>Table S5</w:t>
      </w:r>
      <w:r>
        <w:rPr>
          <w:rFonts w:eastAsia="Aptos"/>
          <w:color w:val="000000"/>
        </w:rPr>
        <w:t>. Genome-wide association study datasets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9"/>
        <w:gridCol w:w="1558"/>
        <w:gridCol w:w="1558"/>
        <w:gridCol w:w="1559"/>
      </w:tblGrid>
      <w:tr w:rsidR="007E71CC" w14:paraId="080294E9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2770CD59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6"/>
              </w:rPr>
              <w:t>Role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2D82950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6"/>
              </w:rPr>
              <w:t>Phenotype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059B917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6"/>
              </w:rPr>
              <w:t>Source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C2797D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6"/>
              </w:rPr>
              <w:t>Ancestry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55F8A2EA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6"/>
              </w:rPr>
              <w:t>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E8ED15C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6"/>
              </w:rPr>
              <w:t>Notes</w:t>
            </w:r>
          </w:p>
        </w:tc>
      </w:tr>
      <w:tr w:rsidR="007E71CC" w14:paraId="56F69122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63F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Exposure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EDB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SBP, DBP, PP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D17B" w14:textId="77777777" w:rsidR="007E71CC" w:rsidRPr="00A27F05" w:rsidRDefault="00957831" w:rsidP="00D80415">
            <w:pPr>
              <w:spacing w:after="0" w:line="240" w:lineRule="auto"/>
              <w:jc w:val="center"/>
              <w:rPr>
                <w:lang w:val="nl-NL"/>
              </w:rPr>
            </w:pPr>
            <w:proofErr w:type="spellStart"/>
            <w:r w:rsidRPr="00A27F05">
              <w:rPr>
                <w:rFonts w:eastAsia="Aptos"/>
                <w:color w:val="000000"/>
                <w:sz w:val="16"/>
                <w:lang w:val="nl-NL"/>
              </w:rPr>
              <w:t>Evangelou</w:t>
            </w:r>
            <w:proofErr w:type="spellEnd"/>
            <w:r w:rsidRPr="00A27F05">
              <w:rPr>
                <w:rFonts w:eastAsia="Aptos"/>
                <w:color w:val="000000"/>
                <w:sz w:val="16"/>
                <w:lang w:val="nl-NL"/>
              </w:rPr>
              <w:t xml:space="preserve"> et al., Nat Genet 2018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334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European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EB3B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Discovery 757,601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185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Per 10 mm Hg</w:t>
            </w:r>
          </w:p>
        </w:tc>
      </w:tr>
      <w:tr w:rsidR="007E71CC" w14:paraId="2FD6029D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AE07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Outcome (EUR)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12D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WMH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79DB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GWAS Catalog GCST90472808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A7B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European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8FC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37,355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F10D8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CHARGE and UK Biobank</w:t>
            </w:r>
          </w:p>
        </w:tc>
      </w:tr>
      <w:tr w:rsidR="007E71CC" w14:paraId="58EDA678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F1A3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Outcome (EUR)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F63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VaD (two-step, R12)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E4DBC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FinnGen R12 F5_VASCDEM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F02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Finnish / European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CD4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3,624 / 475,484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FC5E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ICD-based</w:t>
            </w:r>
          </w:p>
        </w:tc>
      </w:tr>
      <w:tr w:rsidR="007E71CC" w14:paraId="280FEBDF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4168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Outcome (EUR, residual)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F74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VaD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C64A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FinnGen R13 F5_VASCDEM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F5E0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Finnish / European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68EC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4,254 / 471,080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D159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Residual-path report</w:t>
            </w:r>
          </w:p>
        </w:tc>
      </w:tr>
      <w:tr w:rsidR="007E71CC" w14:paraId="4496A57A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9EC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Exposure (JP)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0EA7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SBP, DBP, PP residuals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13E2" w14:textId="77777777" w:rsidR="007E71CC" w:rsidRPr="00A27F05" w:rsidRDefault="00957831" w:rsidP="00D80415">
            <w:pPr>
              <w:spacing w:after="0" w:line="240" w:lineRule="auto"/>
              <w:jc w:val="center"/>
              <w:rPr>
                <w:lang w:val="nl-NL"/>
              </w:rPr>
            </w:pPr>
            <w:proofErr w:type="spellStart"/>
            <w:r w:rsidRPr="00A27F05">
              <w:rPr>
                <w:rFonts w:eastAsia="Aptos"/>
                <w:color w:val="000000"/>
                <w:sz w:val="16"/>
                <w:lang w:val="nl-NL"/>
              </w:rPr>
              <w:t>BioBank</w:t>
            </w:r>
            <w:proofErr w:type="spellEnd"/>
            <w:r w:rsidRPr="00A27F05">
              <w:rPr>
                <w:rFonts w:eastAsia="Aptos"/>
                <w:color w:val="000000"/>
                <w:sz w:val="16"/>
                <w:lang w:val="nl-NL"/>
              </w:rPr>
              <w:t xml:space="preserve"> Japan; </w:t>
            </w:r>
            <w:proofErr w:type="spellStart"/>
            <w:r w:rsidRPr="00A27F05">
              <w:rPr>
                <w:rFonts w:eastAsia="Aptos"/>
                <w:color w:val="000000"/>
                <w:sz w:val="16"/>
                <w:lang w:val="nl-NL"/>
              </w:rPr>
              <w:t>Kanai</w:t>
            </w:r>
            <w:proofErr w:type="spellEnd"/>
            <w:r w:rsidRPr="00A27F05">
              <w:rPr>
                <w:rFonts w:eastAsia="Aptos"/>
                <w:color w:val="000000"/>
                <w:sz w:val="16"/>
                <w:lang w:val="nl-NL"/>
              </w:rPr>
              <w:t xml:space="preserve"> et al., Nat Genet 2018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7835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Japanese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381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SBP 136,597; DBP 136,615; PP 136,249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D6B9F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Residual SD. Never per mm Hg</w:t>
            </w:r>
          </w:p>
        </w:tc>
      </w:tr>
      <w:tr w:rsidR="007E71CC" w14:paraId="3A163EAB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16C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Outcome (JP)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D75C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WMH residual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B7D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JPSC-AD; Furuta et al., npj Genom Med 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AD2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Japanese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D3E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9,479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5978" w14:textId="77777777" w:rsidR="007E71CC" w:rsidRDefault="00F876C6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Residual SD. Not the 2026 NCGG+JPSC meta-analysis</w:t>
            </w:r>
          </w:p>
        </w:tc>
      </w:tr>
      <w:tr w:rsidR="007E71CC" w14:paraId="2C48E86B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EA1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LD (EUR)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F7CD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—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5AF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1000 Genomes Phase 3 EUR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073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European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1116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—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3F80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Clump r²&lt;0.001, 10 Mb</w:t>
            </w:r>
          </w:p>
        </w:tc>
      </w:tr>
      <w:tr w:rsidR="007E71CC" w14:paraId="2AF44CD2" w14:textId="77777777" w:rsidTr="00D80415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91F53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LD (JP)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6D72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—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9464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1000 Genomes Phase 3 JPT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A268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Japanese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26711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JPT 104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D79D" w14:textId="77777777" w:rsidR="007E71CC" w:rsidRDefault="00957831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6"/>
              </w:rPr>
              <w:t>Clump r²&lt;0.001, 10 Mb</w:t>
            </w:r>
          </w:p>
        </w:tc>
      </w:tr>
    </w:tbl>
    <w:p w14:paraId="7933E343" w14:textId="77777777" w:rsidR="00B246B1" w:rsidRPr="00F46F77" w:rsidRDefault="00000000">
      <w:pPr>
        <w:rPr>
          <w:bCs/>
        </w:rPr>
      </w:pPr>
      <w:r w:rsidRPr="00F46F77">
        <w:rPr>
          <w:rFonts w:eastAsia="Aptos"/>
          <w:bCs/>
          <w:color w:val="000000"/>
        </w:rPr>
        <w:t xml:space="preserve">Analysis code and variant-level association results are available at </w:t>
      </w:r>
      <w:hyperlink r:id="rId8">
        <w:r w:rsidRPr="00F46F77">
          <w:rPr>
            <w:rFonts w:eastAsia="Aptos"/>
            <w:bCs/>
            <w:color w:val="0563C1"/>
            <w:u w:val="single"/>
          </w:rPr>
          <w:t>https://github.com/sw4rsw4r/BP-WMH-VaD</w:t>
        </w:r>
      </w:hyperlink>
      <w:r w:rsidRPr="00F46F77">
        <w:rPr>
          <w:rFonts w:eastAsia="Aptos"/>
          <w:bCs/>
          <w:color w:val="000000"/>
        </w:rPr>
        <w:t>.</w:t>
      </w:r>
    </w:p>
    <w:p w14:paraId="56A26C69" w14:textId="77777777" w:rsidR="007E71CC" w:rsidRDefault="00957831">
      <w:pPr>
        <w:spacing w:before="240" w:after="0" w:line="480" w:lineRule="auto"/>
      </w:pPr>
      <w:r>
        <w:rPr>
          <w:rFonts w:eastAsia="Aptos"/>
          <w:b/>
          <w:color w:val="000000"/>
        </w:rPr>
        <w:t>Table S6</w:t>
      </w:r>
      <w:r>
        <w:rPr>
          <w:rFonts w:eastAsia="Aptos"/>
          <w:color w:val="000000"/>
        </w:rPr>
        <w:t xml:space="preserve">. </w:t>
      </w:r>
      <w:r w:rsidR="00897D8B">
        <w:rPr>
          <w:rFonts w:eastAsia="Aptos"/>
          <w:color w:val="000000"/>
        </w:rPr>
        <w:t>All-instrument versus APOE-excluded European BP to WMH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</w:tblGrid>
      <w:tr w:rsidR="000621F0" w14:paraId="06651A72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025E7B7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Contrast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39371CB7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IVs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12556C07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Estimate (95% CI)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  <w:vAlign w:val="center"/>
          </w:tcPr>
          <w:p w14:paraId="721E1052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00000"/>
                <w:sz w:val="18"/>
              </w:rPr>
              <w:t>P</w:t>
            </w:r>
          </w:p>
        </w:tc>
      </w:tr>
      <w:tr w:rsidR="000621F0" w14:paraId="69B8D5D4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4363E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DBP → WMH, all IVs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D684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455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F78AB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β=0.175 (0.115–0.236)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5158F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1.37×10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−8</w:t>
            </w:r>
          </w:p>
        </w:tc>
      </w:tr>
      <w:tr w:rsidR="000621F0" w14:paraId="7EBBBC38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1FC5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 xml:space="preserve">DBP → WMH, </w:t>
            </w:r>
            <w:r>
              <w:rPr>
                <w:rFonts w:eastAsia="Aptos"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color w:val="000000"/>
                <w:sz w:val="18"/>
              </w:rPr>
              <w:t>-excl.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CF24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454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543E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β=0.176 (0.115–0.236)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C942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1.40×10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−8</w:t>
            </w:r>
          </w:p>
        </w:tc>
      </w:tr>
      <w:tr w:rsidR="000621F0" w14:paraId="3635C54D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A8FB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SBP → WMH, all IVs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69BD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451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7F95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β=0.091 (0.058–0.124)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54B8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5.00×10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−8</w:t>
            </w:r>
          </w:p>
        </w:tc>
      </w:tr>
      <w:tr w:rsidR="000621F0" w14:paraId="70B4F82F" w14:textId="77777777" w:rsidTr="00D80415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E620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 xml:space="preserve">SBP → WMH, </w:t>
            </w:r>
            <w:r>
              <w:rPr>
                <w:rFonts w:eastAsia="Aptos"/>
                <w:i/>
                <w:color w:val="000000"/>
                <w:sz w:val="18"/>
              </w:rPr>
              <w:t>APOE</w:t>
            </w:r>
            <w:r>
              <w:rPr>
                <w:rFonts w:eastAsia="Aptos"/>
                <w:color w:val="000000"/>
                <w:sz w:val="18"/>
              </w:rPr>
              <w:t>-excl.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3A95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449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419E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β=0.091 (0.058–0.124)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D1BEB" w14:textId="77777777" w:rsidR="000621F0" w:rsidRDefault="000621F0" w:rsidP="00D80415">
            <w:pPr>
              <w:spacing w:after="0" w:line="240" w:lineRule="auto"/>
              <w:jc w:val="center"/>
            </w:pPr>
            <w:r>
              <w:rPr>
                <w:rFonts w:eastAsia="Aptos"/>
                <w:color w:val="000000"/>
                <w:sz w:val="18"/>
              </w:rPr>
              <w:t>5.63×10</w:t>
            </w:r>
            <w:r>
              <w:rPr>
                <w:rFonts w:eastAsia="Aptos"/>
                <w:color w:val="000000"/>
                <w:sz w:val="18"/>
                <w:vertAlign w:val="superscript"/>
              </w:rPr>
              <w:t>−8</w:t>
            </w:r>
          </w:p>
        </w:tc>
      </w:tr>
    </w:tbl>
    <w:p w14:paraId="69A21FFA" w14:textId="77777777" w:rsidR="007E71CC" w:rsidRDefault="00683E6A">
      <w:pPr>
        <w:spacing w:after="0" w:line="480" w:lineRule="auto"/>
      </w:pPr>
      <w:r>
        <w:rPr>
          <w:rFonts w:eastAsia="Aptos"/>
          <w:color w:val="000000"/>
        </w:rPr>
        <w:t xml:space="preserve">Units are WMH SD per 10 mm Hg. Primary estimator: multiplicative random-effects IVW. b-step </w:t>
      </w:r>
      <w:proofErr w:type="gramStart"/>
      <w:r>
        <w:rPr>
          <w:rFonts w:eastAsia="Aptos"/>
          <w:color w:val="000000"/>
        </w:rPr>
        <w:t>mean</w:t>
      </w:r>
      <w:proofErr w:type="gramEnd"/>
      <w:r>
        <w:rPr>
          <w:rFonts w:eastAsia="Aptos"/>
          <w:color w:val="000000"/>
        </w:rPr>
        <w:t xml:space="preserve"> F=59.1, minimum F=32.7. The Sobel standard error sets Cov(</w:t>
      </w:r>
      <w:proofErr w:type="spellStart"/>
      <w:proofErr w:type="gramStart"/>
      <w:r>
        <w:rPr>
          <w:rFonts w:eastAsia="Aptos"/>
          <w:color w:val="000000"/>
        </w:rPr>
        <w:t>a,b</w:t>
      </w:r>
      <w:proofErr w:type="spellEnd"/>
      <w:proofErr w:type="gramEnd"/>
      <w:r>
        <w:rPr>
          <w:rFonts w:eastAsia="Aptos"/>
          <w:color w:val="000000"/>
        </w:rPr>
        <w:t xml:space="preserve">)=0. WMH to </w:t>
      </w:r>
      <w:proofErr w:type="spellStart"/>
      <w:r>
        <w:rPr>
          <w:rFonts w:eastAsia="Aptos"/>
          <w:color w:val="000000"/>
        </w:rPr>
        <w:t>VaD</w:t>
      </w:r>
      <w:proofErr w:type="spellEnd"/>
      <w:r>
        <w:rPr>
          <w:rFonts w:eastAsia="Aptos"/>
          <w:color w:val="000000"/>
        </w:rPr>
        <w:t xml:space="preserve"> with all 17 instruments is not the primary b step (OR 2.730, 0.938–7.945; </w:t>
      </w:r>
      <w:proofErr w:type="spellStart"/>
      <w:r>
        <w:rPr>
          <w:rFonts w:eastAsia="Aptos"/>
          <w:color w:val="000000"/>
        </w:rPr>
        <w:t>Qp</w:t>
      </w:r>
      <w:proofErr w:type="spellEnd"/>
      <w:r>
        <w:rPr>
          <w:rFonts w:eastAsia="Aptos"/>
          <w:color w:val="000000"/>
        </w:rPr>
        <w:t>=3.73×10</w:t>
      </w:r>
      <w:r w:rsidRPr="00683E6A">
        <w:rPr>
          <w:rFonts w:eastAsia="Aptos"/>
          <w:color w:val="000000"/>
          <w:vertAlign w:val="superscript"/>
        </w:rPr>
        <w:t>−57</w:t>
      </w:r>
      <w:r>
        <w:rPr>
          <w:rFonts w:eastAsia="Aptos"/>
          <w:color w:val="000000"/>
        </w:rPr>
        <w:t>).</w:t>
      </w:r>
    </w:p>
    <w:p w14:paraId="0BB1B23C" w14:textId="77777777" w:rsidR="007E71CC" w:rsidRDefault="00957831">
      <w:pPr>
        <w:spacing w:before="24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6676AB89" wp14:editId="719F8253">
            <wp:extent cx="5486400" cy="26959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7_residual_WMH_Va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574D" w14:textId="77777777" w:rsidR="007E71CC" w:rsidRDefault="00957831">
      <w:pPr>
        <w:spacing w:before="120" w:after="0" w:line="480" w:lineRule="auto"/>
      </w:pPr>
      <w:r>
        <w:rPr>
          <w:rFonts w:eastAsia="Aptos"/>
          <w:b/>
          <w:color w:val="000000"/>
        </w:rPr>
        <w:t>Figure S1</w:t>
      </w:r>
      <w:r>
        <w:rPr>
          <w:rFonts w:eastAsia="Aptos"/>
          <w:color w:val="000000"/>
        </w:rPr>
        <w:t xml:space="preserve">. Residual WMH to VaD (FinnGen R13). </w:t>
      </w:r>
      <w:r>
        <w:rPr>
          <w:rFonts w:eastAsia="Aptos"/>
          <w:i/>
          <w:color w:val="000000"/>
        </w:rPr>
        <w:t>APOE</w:t>
      </w:r>
      <w:r>
        <w:rPr>
          <w:rFonts w:eastAsia="Aptos"/>
          <w:color w:val="000000"/>
        </w:rPr>
        <w:t xml:space="preserve">-excluded WMH instruments on VaD (odds ratio per WMH SD). </w:t>
      </w:r>
      <w:r w:rsidR="004F4AF6">
        <w:rPr>
          <w:rFonts w:eastAsia="Aptos"/>
          <w:color w:val="000000"/>
        </w:rPr>
        <w:t>Unrestricted set, 16 instruments. BP-independent set, 10 instruments after dropping</w:t>
      </w:r>
      <w:r>
        <w:rPr>
          <w:rFonts w:eastAsia="Aptos"/>
          <w:color w:val="000000"/>
        </w:rPr>
        <w:t xml:space="preserve"> SBP or DBP genome-wide instruments and 17q21.31. Filled square, inverse-variance weighted. Filled circle, weighted median. Open triangle, MR-Egger. Arrowheads mark truncated intervals.</w:t>
      </w:r>
    </w:p>
    <w:p w14:paraId="569504F4" w14:textId="77777777" w:rsidR="007E71CC" w:rsidRDefault="007E71CC" w:rsidP="00A27F05">
      <w:pPr>
        <w:spacing w:after="0" w:line="480" w:lineRule="auto"/>
      </w:pPr>
    </w:p>
    <w:sectPr w:rsidR="007E71C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C67D6" w14:textId="77777777" w:rsidR="00B518A1" w:rsidRDefault="00B518A1" w:rsidP="00DE4515">
      <w:pPr>
        <w:spacing w:after="0" w:line="240" w:lineRule="auto"/>
      </w:pPr>
      <w:r>
        <w:separator/>
      </w:r>
    </w:p>
  </w:endnote>
  <w:endnote w:type="continuationSeparator" w:id="0">
    <w:p w14:paraId="7EA8EB95" w14:textId="77777777" w:rsidR="00B518A1" w:rsidRDefault="00B518A1" w:rsidP="00DE4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8AA4F" w14:textId="77777777" w:rsidR="00B518A1" w:rsidRDefault="00B518A1" w:rsidP="00DE4515">
      <w:pPr>
        <w:spacing w:after="0" w:line="240" w:lineRule="auto"/>
      </w:pPr>
      <w:r>
        <w:separator/>
      </w:r>
    </w:p>
  </w:footnote>
  <w:footnote w:type="continuationSeparator" w:id="0">
    <w:p w14:paraId="5159E8B6" w14:textId="77777777" w:rsidR="00B518A1" w:rsidRDefault="00B518A1" w:rsidP="00DE4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055591">
    <w:abstractNumId w:val="8"/>
  </w:num>
  <w:num w:numId="2" w16cid:durableId="1197474901">
    <w:abstractNumId w:val="6"/>
  </w:num>
  <w:num w:numId="3" w16cid:durableId="827861746">
    <w:abstractNumId w:val="5"/>
  </w:num>
  <w:num w:numId="4" w16cid:durableId="1724136732">
    <w:abstractNumId w:val="4"/>
  </w:num>
  <w:num w:numId="5" w16cid:durableId="1619214445">
    <w:abstractNumId w:val="7"/>
  </w:num>
  <w:num w:numId="6" w16cid:durableId="1343780532">
    <w:abstractNumId w:val="3"/>
  </w:num>
  <w:num w:numId="7" w16cid:durableId="769660779">
    <w:abstractNumId w:val="2"/>
  </w:num>
  <w:num w:numId="8" w16cid:durableId="1855073602">
    <w:abstractNumId w:val="1"/>
  </w:num>
  <w:num w:numId="9" w16cid:durableId="26747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1F0"/>
    <w:rsid w:val="000C22AA"/>
    <w:rsid w:val="0015074B"/>
    <w:rsid w:val="0029639D"/>
    <w:rsid w:val="00326F90"/>
    <w:rsid w:val="00406207"/>
    <w:rsid w:val="00452714"/>
    <w:rsid w:val="004B14F5"/>
    <w:rsid w:val="004F4AF6"/>
    <w:rsid w:val="00563544"/>
    <w:rsid w:val="005F1EF6"/>
    <w:rsid w:val="006616B9"/>
    <w:rsid w:val="00683E6A"/>
    <w:rsid w:val="007E11E2"/>
    <w:rsid w:val="007E71CC"/>
    <w:rsid w:val="007F3F14"/>
    <w:rsid w:val="00843342"/>
    <w:rsid w:val="00897D8B"/>
    <w:rsid w:val="00957831"/>
    <w:rsid w:val="00970978"/>
    <w:rsid w:val="00A27F05"/>
    <w:rsid w:val="00AA1D8D"/>
    <w:rsid w:val="00B246B1"/>
    <w:rsid w:val="00B47730"/>
    <w:rsid w:val="00B518A1"/>
    <w:rsid w:val="00C3259B"/>
    <w:rsid w:val="00CB0664"/>
    <w:rsid w:val="00CB7E0A"/>
    <w:rsid w:val="00D20E3B"/>
    <w:rsid w:val="00D80415"/>
    <w:rsid w:val="00DE4515"/>
    <w:rsid w:val="00F46F77"/>
    <w:rsid w:val="00F876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287DB"/>
  <w14:defaultImageDpi w14:val="300"/>
  <w15:docId w15:val="{89B9DBEF-4402-4E03-83A3-1271B9B6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sw4rsw4r/BP-WMH-V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Seongwon Hwang</cp:lastModifiedBy>
  <cp:revision>5</cp:revision>
  <dcterms:created xsi:type="dcterms:W3CDTF">2026-09-22T22:17:00Z</dcterms:created>
  <dcterms:modified xsi:type="dcterms:W3CDTF">2026-09-30T20:44:00Z</dcterms:modified>
  <cp:category/>
</cp:coreProperties>
</file>