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81" w:rsidRDefault="00C53328" w:rsidP="00C30D81">
      <w:pPr>
        <w:keepNext/>
        <w:jc w:val="center"/>
      </w:pPr>
      <w:r w:rsidRPr="00C53328">
        <w:rPr>
          <w:noProof/>
          <w:lang w:val="uk-UA" w:eastAsia="uk-UA"/>
        </w:rPr>
        <w:drawing>
          <wp:inline distT="0" distB="0" distL="0" distR="0">
            <wp:extent cx="4150581" cy="5086209"/>
            <wp:effectExtent l="0" t="0" r="2540" b="635"/>
            <wp:docPr id="1" name="Рисунок 1" descr="C:\WORK\! My Sciense\Project_UA_Cherry_ID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ORK\! My Sciense\Project_UA_Cherry_ID\Figure 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039" cy="508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D2" w:rsidRDefault="00C30D81" w:rsidP="00C30D81">
      <w:r w:rsidRPr="00C30D81">
        <w:rPr>
          <w:b/>
        </w:rPr>
        <w:t>Figure S</w:t>
      </w:r>
      <w:r w:rsidRPr="00C30D81">
        <w:rPr>
          <w:b/>
        </w:rPr>
        <w:fldChar w:fldCharType="begin"/>
      </w:r>
      <w:r w:rsidRPr="00C30D81">
        <w:rPr>
          <w:b/>
        </w:rPr>
        <w:instrText xml:space="preserve"> SEQ Figure_S \* ARABIC </w:instrText>
      </w:r>
      <w:r w:rsidRPr="00C30D81">
        <w:rPr>
          <w:b/>
        </w:rPr>
        <w:fldChar w:fldCharType="separate"/>
      </w:r>
      <w:r w:rsidR="005B0E04">
        <w:rPr>
          <w:b/>
          <w:noProof/>
        </w:rPr>
        <w:t>1</w:t>
      </w:r>
      <w:r w:rsidRPr="00C30D81">
        <w:rPr>
          <w:b/>
        </w:rPr>
        <w:fldChar w:fldCharType="end"/>
      </w:r>
      <w:r>
        <w:rPr>
          <w:lang w:val="en-US"/>
        </w:rPr>
        <w:t xml:space="preserve">. </w:t>
      </w:r>
      <w:r w:rsidR="00D75206">
        <w:t>The selection of the number of clusters was based on 18 neutral SSR loci in 90 clone-corrected sweet cherry accessions. (</w:t>
      </w:r>
      <w:r w:rsidR="00D75206" w:rsidRPr="00D75206">
        <w:rPr>
          <w:b/>
        </w:rPr>
        <w:t>A</w:t>
      </w:r>
      <w:r w:rsidR="00D75206">
        <w:t xml:space="preserve">) The Bayesian Information Criterion (BIC) for </w:t>
      </w:r>
      <w:r w:rsidR="00D75206" w:rsidRPr="00D75206">
        <w:rPr>
          <w:i/>
        </w:rPr>
        <w:t>K</w:t>
      </w:r>
      <w:r w:rsidR="00D75206">
        <w:rPr>
          <w:lang w:val="en-US"/>
        </w:rPr>
        <w:t> </w:t>
      </w:r>
      <w:r w:rsidR="00D75206">
        <w:t xml:space="preserve">= 1–10 was obtained from </w:t>
      </w:r>
      <w:r w:rsidR="00D75206" w:rsidRPr="00573366">
        <w:rPr>
          <w:i/>
        </w:rPr>
        <w:t>find.clusters</w:t>
      </w:r>
      <w:r w:rsidR="00D75206">
        <w:t xml:space="preserve"> (mean ± SE over 1000 replicates); the minimum at </w:t>
      </w:r>
      <w:r w:rsidR="00D75206" w:rsidRPr="00D75206">
        <w:rPr>
          <w:i/>
        </w:rPr>
        <w:t>K</w:t>
      </w:r>
      <w:r w:rsidR="00D75206">
        <w:t xml:space="preserve"> = 3 (BIC = 146.84) was retained for subsequent Discriminant Analysis of Principal Components (DAPC). (</w:t>
      </w:r>
      <w:r w:rsidR="00D75206" w:rsidRPr="00D75206">
        <w:rPr>
          <w:b/>
        </w:rPr>
        <w:t>B</w:t>
      </w:r>
      <w:r w:rsidR="00D75206">
        <w:t>) The Evanno Δ</w:t>
      </w:r>
      <w:r w:rsidR="00D75206" w:rsidRPr="00D75206">
        <w:rPr>
          <w:i/>
        </w:rPr>
        <w:t>K</w:t>
      </w:r>
      <w:r w:rsidR="00D75206">
        <w:t xml:space="preserve"> for the STRUCTURE analyses (</w:t>
      </w:r>
      <w:r w:rsidR="00D75206" w:rsidRPr="00D75206">
        <w:rPr>
          <w:i/>
        </w:rPr>
        <w:t>K</w:t>
      </w:r>
      <w:r w:rsidR="00D75206">
        <w:t xml:space="preserve"> = 1–11, with 20 replicates per </w:t>
      </w:r>
      <w:r w:rsidR="00D75206" w:rsidRPr="00D75206">
        <w:rPr>
          <w:i/>
        </w:rPr>
        <w:t>K</w:t>
      </w:r>
      <w:r w:rsidR="00D75206">
        <w:t>) is displayed on a logarithmic scale. The Δ</w:t>
      </w:r>
      <w:r w:rsidR="00D75206" w:rsidRPr="00D75206">
        <w:rPr>
          <w:i/>
        </w:rPr>
        <w:t>K</w:t>
      </w:r>
      <w:r w:rsidR="00D75206">
        <w:t xml:space="preserve"> value peaked sharply at </w:t>
      </w:r>
      <w:r w:rsidR="00D75206" w:rsidRPr="00D75206">
        <w:rPr>
          <w:i/>
        </w:rPr>
        <w:t>K</w:t>
      </w:r>
      <w:r w:rsidR="00D75206">
        <w:t xml:space="preserve"> = 2 (236.87). Secondary peaks at </w:t>
      </w:r>
      <w:r w:rsidR="00D75206" w:rsidRPr="00D75206">
        <w:rPr>
          <w:i/>
        </w:rPr>
        <w:t>K</w:t>
      </w:r>
      <w:r w:rsidR="00D75206">
        <w:t xml:space="preserve"> = 7 (31.79) and </w:t>
      </w:r>
      <w:r w:rsidR="00D75206" w:rsidRPr="00D75206">
        <w:rPr>
          <w:i/>
        </w:rPr>
        <w:t>K</w:t>
      </w:r>
      <w:r w:rsidR="00D75206">
        <w:t xml:space="preserve"> = 4 (19.87) are also indicated; however, both are approximately an order of magnitude lower and were not </w:t>
      </w:r>
      <w:r w:rsidR="00573366">
        <w:t>interpreted further</w:t>
      </w:r>
      <w:r w:rsidR="00D75206">
        <w:t>. It should be noted that Δ</w:t>
      </w:r>
      <w:r w:rsidR="00D75206" w:rsidRPr="00D75206">
        <w:rPr>
          <w:i/>
        </w:rPr>
        <w:t>K</w:t>
      </w:r>
      <w:r w:rsidR="00D75206">
        <w:t xml:space="preserve"> is defined solely for interior values of </w:t>
      </w:r>
      <w:r w:rsidR="00D75206" w:rsidRPr="00D75206">
        <w:rPr>
          <w:i/>
        </w:rPr>
        <w:t>K</w:t>
      </w:r>
      <w:r w:rsidR="00D75206">
        <w:t xml:space="preserve"> and, as such, is shown for </w:t>
      </w:r>
      <w:r w:rsidR="00D75206" w:rsidRPr="00D75206">
        <w:rPr>
          <w:i/>
        </w:rPr>
        <w:t>K</w:t>
      </w:r>
      <w:r w:rsidR="00D75206">
        <w:t xml:space="preserve"> = 2–10.</w:t>
      </w:r>
    </w:p>
    <w:p w:rsidR="005B0E04" w:rsidRDefault="005B0E04">
      <w:pPr>
        <w:jc w:val="left"/>
        <w:rPr>
          <w:lang w:val="en-GB"/>
        </w:rPr>
      </w:pPr>
      <w:r>
        <w:rPr>
          <w:lang w:val="en-GB"/>
        </w:rPr>
        <w:br w:type="page"/>
      </w:r>
    </w:p>
    <w:p w:rsidR="005B0E04" w:rsidRDefault="005B0E04" w:rsidP="005B0E04">
      <w:pPr>
        <w:keepNext/>
      </w:pPr>
      <w:r w:rsidRPr="005B0E04">
        <w:rPr>
          <w:noProof/>
          <w:lang w:val="uk-UA" w:eastAsia="uk-UA"/>
        </w:rPr>
        <w:lastRenderedPageBreak/>
        <w:drawing>
          <wp:inline distT="0" distB="0" distL="0" distR="0">
            <wp:extent cx="5760720" cy="3405846"/>
            <wp:effectExtent l="0" t="0" r="0" b="4445"/>
            <wp:docPr id="2" name="Рисунок 2" descr="C:\WORK\! My Sciense\Project_UA_Cherry_ID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ORK\! My Sciense\Project_UA_Cherry_ID\Figure 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E04" w:rsidRDefault="005B0E04" w:rsidP="005B0E04">
      <w:r w:rsidRPr="005B0E04">
        <w:rPr>
          <w:b/>
        </w:rPr>
        <w:t>Figure S</w:t>
      </w:r>
      <w:r w:rsidRPr="005B0E04">
        <w:rPr>
          <w:b/>
        </w:rPr>
        <w:fldChar w:fldCharType="begin"/>
      </w:r>
      <w:r w:rsidRPr="005B0E04">
        <w:rPr>
          <w:b/>
        </w:rPr>
        <w:instrText xml:space="preserve"> SEQ Figure_S \* ARABIC </w:instrText>
      </w:r>
      <w:r w:rsidRPr="005B0E04">
        <w:rPr>
          <w:b/>
        </w:rPr>
        <w:fldChar w:fldCharType="separate"/>
      </w:r>
      <w:r w:rsidRPr="005B0E04">
        <w:rPr>
          <w:b/>
          <w:noProof/>
        </w:rPr>
        <w:t>2</w:t>
      </w:r>
      <w:r w:rsidRPr="005B0E04">
        <w:rPr>
          <w:b/>
        </w:rPr>
        <w:fldChar w:fldCharType="end"/>
      </w:r>
      <w:r>
        <w:rPr>
          <w:lang w:val="en-US"/>
        </w:rPr>
        <w:t xml:space="preserve">. </w:t>
      </w:r>
      <w:r>
        <w:t xml:space="preserve">STRUCTURE membership coefficients at higher </w:t>
      </w:r>
      <w:r w:rsidRPr="005B0E04">
        <w:rPr>
          <w:i/>
        </w:rPr>
        <w:t>K</w:t>
      </w:r>
      <w:r>
        <w:t xml:space="preserve"> for 90 clone-corrected sweet cherry accessions, based on 18 neutral SSR loci. (</w:t>
      </w:r>
      <w:r w:rsidRPr="005B0E04">
        <w:rPr>
          <w:b/>
        </w:rPr>
        <w:t>A</w:t>
      </w:r>
      <w:r>
        <w:t xml:space="preserve">) </w:t>
      </w:r>
      <w:r w:rsidRPr="005B0E04">
        <w:rPr>
          <w:i/>
        </w:rPr>
        <w:t>K</w:t>
      </w:r>
      <w:r>
        <w:t xml:space="preserve"> = 4; (</w:t>
      </w:r>
      <w:r w:rsidRPr="005B0E04">
        <w:rPr>
          <w:b/>
        </w:rPr>
        <w:t>B</w:t>
      </w:r>
      <w:r>
        <w:t xml:space="preserve">) </w:t>
      </w:r>
      <w:r w:rsidRPr="005B0E04">
        <w:rPr>
          <w:i/>
        </w:rPr>
        <w:t>K</w:t>
      </w:r>
      <w:r>
        <w:t xml:space="preserve"> = 7. Bars display CLUMPP-averaged ancestry proportions over 20 replicate runs; each vertical bar represents a single accession, segmented into its membership coefficients. Cluster numbering and colors are arbitrary and independent between panels and from </w:t>
      </w:r>
      <w:r w:rsidRPr="005B0E04">
        <w:rPr>
          <w:b/>
        </w:rPr>
        <w:t>Fig</w:t>
      </w:r>
      <w:r w:rsidRPr="005B0E04">
        <w:rPr>
          <w:b/>
          <w:lang w:val="en-US"/>
        </w:rPr>
        <w:t>ure</w:t>
      </w:r>
      <w:r w:rsidRPr="005B0E04">
        <w:rPr>
          <w:b/>
        </w:rPr>
        <w:t xml:space="preserve"> </w:t>
      </w:r>
      <w:r w:rsidR="00A453A2">
        <w:rPr>
          <w:b/>
          <w:lang w:val="en-US"/>
        </w:rPr>
        <w:t>2</w:t>
      </w:r>
      <w:r>
        <w:t xml:space="preserve">. Accessions are presented in the same sequence as in </w:t>
      </w:r>
      <w:r w:rsidRPr="005B0E04">
        <w:rPr>
          <w:b/>
        </w:rPr>
        <w:t>Fig</w:t>
      </w:r>
      <w:r w:rsidRPr="005B0E04">
        <w:rPr>
          <w:b/>
          <w:lang w:val="en-US"/>
        </w:rPr>
        <w:t>ure</w:t>
      </w:r>
      <w:r w:rsidRPr="005B0E04">
        <w:rPr>
          <w:b/>
        </w:rPr>
        <w:t xml:space="preserve"> </w:t>
      </w:r>
      <w:r w:rsidR="00A453A2">
        <w:rPr>
          <w:b/>
          <w:lang w:val="en-US"/>
        </w:rPr>
        <w:t>2</w:t>
      </w:r>
      <w:r>
        <w:t xml:space="preserve">, organized by germplasm status (Modern cultivars; Early selection cultivars &amp; Landraces; Wild) and, within each status, by breeding origin (Ukrainian / non-Ukrainian), then sorted according to DAPC membership; these categories were not provided as prior information. At a membership threshold of Q ≥ 0.80, only 31 of 90 accessions were assignable at </w:t>
      </w:r>
      <w:r w:rsidRPr="005B0E04">
        <w:rPr>
          <w:i/>
        </w:rPr>
        <w:t>K</w:t>
      </w:r>
      <w:r>
        <w:t xml:space="preserve"> = 4, and 14 of 90 at </w:t>
      </w:r>
      <w:r w:rsidRPr="005B0E04">
        <w:rPr>
          <w:i/>
        </w:rPr>
        <w:t>K</w:t>
      </w:r>
      <w:r>
        <w:t xml:space="preserve"> = 7, compared to 82 of 90 at </w:t>
      </w:r>
      <w:r w:rsidRPr="005B0E04">
        <w:rPr>
          <w:i/>
        </w:rPr>
        <w:t>K</w:t>
      </w:r>
      <w:r>
        <w:t xml:space="preserve"> = 2 (</w:t>
      </w:r>
      <w:r w:rsidRPr="005B0E04">
        <w:rPr>
          <w:b/>
        </w:rPr>
        <w:t>Fig</w:t>
      </w:r>
      <w:r w:rsidRPr="005B0E04">
        <w:rPr>
          <w:b/>
          <w:lang w:val="en-US"/>
        </w:rPr>
        <w:t>ure</w:t>
      </w:r>
      <w:r w:rsidRPr="005B0E04">
        <w:rPr>
          <w:b/>
        </w:rPr>
        <w:t xml:space="preserve"> </w:t>
      </w:r>
      <w:r w:rsidR="00A453A2">
        <w:rPr>
          <w:b/>
          <w:lang w:val="en-US"/>
        </w:rPr>
        <w:t>2</w:t>
      </w:r>
      <w:bookmarkStart w:id="0" w:name="_GoBack"/>
      <w:bookmarkEnd w:id="0"/>
      <w:r>
        <w:t xml:space="preserve">B). The wild and introduced accessions </w:t>
      </w:r>
      <w:r w:rsidR="00DF2CA7">
        <w:t xml:space="preserve">remained the sole coherent group </w:t>
      </w:r>
      <w:r>
        <w:t xml:space="preserve">as </w:t>
      </w:r>
      <w:r w:rsidRPr="00DF2CA7">
        <w:rPr>
          <w:i/>
        </w:rPr>
        <w:t>K</w:t>
      </w:r>
      <w:r>
        <w:t xml:space="preserve"> increased; the Ukrainian-bred material became progressively admixed, consistent with ongoing shared ancestry rather than further hierarchical subdivision.</w:t>
      </w:r>
    </w:p>
    <w:p w:rsidR="005B0E04" w:rsidRPr="005B0E04" w:rsidRDefault="005B0E04" w:rsidP="005B0E04">
      <w:pPr>
        <w:rPr>
          <w:lang w:val="en-US"/>
        </w:rPr>
      </w:pPr>
    </w:p>
    <w:sectPr w:rsidR="005B0E04" w:rsidRPr="005B0E0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1D"/>
    <w:rsid w:val="0026091D"/>
    <w:rsid w:val="002777A7"/>
    <w:rsid w:val="00334117"/>
    <w:rsid w:val="00362288"/>
    <w:rsid w:val="003D3B12"/>
    <w:rsid w:val="00573366"/>
    <w:rsid w:val="005B0E04"/>
    <w:rsid w:val="009C2A0D"/>
    <w:rsid w:val="00A453A2"/>
    <w:rsid w:val="00C30D81"/>
    <w:rsid w:val="00C53328"/>
    <w:rsid w:val="00D75206"/>
    <w:rsid w:val="00D8011F"/>
    <w:rsid w:val="00DF2CA7"/>
    <w:rsid w:val="00EE7F87"/>
    <w:rsid w:val="00F259D2"/>
    <w:rsid w:val="00F9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DEF8E"/>
  <w15:chartTrackingRefBased/>
  <w15:docId w15:val="{3AC08B11-FC92-4002-B4A0-FEE92599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206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3622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2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caption"/>
    <w:basedOn w:val="a"/>
    <w:next w:val="a"/>
    <w:uiPriority w:val="35"/>
    <w:unhideWhenUsed/>
    <w:qFormat/>
    <w:rsid w:val="00C30D8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Newparagraph">
    <w:name w:val="New paragraph"/>
    <w:basedOn w:val="a"/>
    <w:link w:val="Newparagraph0"/>
    <w:qFormat/>
    <w:rsid w:val="003D3B12"/>
    <w:pPr>
      <w:spacing w:after="0" w:line="480" w:lineRule="auto"/>
      <w:ind w:firstLine="720"/>
    </w:pPr>
    <w:rPr>
      <w:rFonts w:eastAsia="Times New Roman" w:cs="Times New Roman"/>
      <w:szCs w:val="24"/>
      <w:lang w:val="en-GB" w:eastAsia="en-GB"/>
    </w:rPr>
  </w:style>
  <w:style w:type="character" w:customStyle="1" w:styleId="Newparagraph0">
    <w:name w:val="New paragraph Знак"/>
    <w:basedOn w:val="a0"/>
    <w:link w:val="Newparagraph"/>
    <w:rsid w:val="003D3B1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4">
    <w:name w:val="Emphasis"/>
    <w:basedOn w:val="a0"/>
    <w:uiPriority w:val="20"/>
    <w:qFormat/>
    <w:rsid w:val="005B0E04"/>
    <w:rPr>
      <w:i/>
      <w:iCs/>
    </w:rPr>
  </w:style>
  <w:style w:type="character" w:styleId="a5">
    <w:name w:val="Strong"/>
    <w:basedOn w:val="a0"/>
    <w:uiPriority w:val="22"/>
    <w:qFormat/>
    <w:rsid w:val="005B0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1274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Ivanovych Ya.</dc:creator>
  <cp:keywords/>
  <dc:description/>
  <cp:lastModifiedBy>Ivanovych Ya.</cp:lastModifiedBy>
  <cp:revision>9</cp:revision>
  <dcterms:created xsi:type="dcterms:W3CDTF">2026-07-31T10:25:00Z</dcterms:created>
  <dcterms:modified xsi:type="dcterms:W3CDTF">2026-08-01T20:21:00Z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b2b1a216-a8d8-4153-a993-c44ae687d806</vt:lpwstr>
  </property>
</Properties>
</file>