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7582CEBD">
      <w:pPr>
        <w:pStyle w:val="style0"/>
        <w:jc w:val="center"/>
        <w:rPr/>
      </w:pPr>
      <w:r>
        <w:rPr>
          <w:b/>
          <w:sz w:val="21"/>
        </w:rPr>
        <w:t>CARE CHECKLIST</w:t>
      </w:r>
      <w:r>
        <w:rPr>
          <w:b/>
          <w:sz w:val="21"/>
        </w:rPr>
        <w:br/>
      </w:r>
      <w:r>
        <w:rPr>
          <w:b/>
          <w:sz w:val="21"/>
        </w:rPr>
        <w:t>Revision Total Hip Arthroplasty With Dual Mobility Cup for Neglected Non-Traumatic Dislocation Following Conversion Long Stem THA After Failed Intertrochanteric Fracture Fixation: A Case Report</w:t>
      </w:r>
    </w:p>
    <w:tbl>
      <w:tblPr>
        <w:tblStyle w:val="style154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10008"/>
        <w:gridCol w:w="2808"/>
      </w:tblGrid>
      <w:tr w14:paraId="E4407A5E">
        <w:trPr>
          <w:jc w:val="center"/>
        </w:trPr>
        <w:tc>
          <w:tcPr>
            <w:tcW w:w="2376" w:type="dxa"/>
            <w:tcBorders/>
          </w:tcPr>
          <w:p w14:paraId="3170A8E8">
            <w:pPr>
              <w:pStyle w:val="style0"/>
              <w:jc w:val="center"/>
              <w:rPr/>
            </w:pPr>
            <w:r>
              <w:rPr>
                <w:b/>
                <w:sz w:val="16"/>
              </w:rPr>
              <w:t>CARE checklist item</w:t>
            </w:r>
          </w:p>
        </w:tc>
        <w:tc>
          <w:tcPr>
            <w:tcW w:w="10008" w:type="dxa"/>
            <w:tcBorders/>
          </w:tcPr>
          <w:p w14:paraId="19A10332">
            <w:pPr>
              <w:pStyle w:val="style0"/>
              <w:jc w:val="center"/>
              <w:rPr/>
            </w:pPr>
            <w:r>
              <w:rPr>
                <w:b/>
                <w:sz w:val="16"/>
              </w:rPr>
              <w:t>Details from manuscript</w:t>
            </w:r>
          </w:p>
        </w:tc>
        <w:tc>
          <w:tcPr>
            <w:tcW w:w="2808" w:type="dxa"/>
            <w:tcBorders/>
          </w:tcPr>
          <w:p w14:paraId="74844D8F">
            <w:pPr>
              <w:pStyle w:val="style0"/>
              <w:jc w:val="center"/>
              <w:rPr/>
            </w:pPr>
            <w:r>
              <w:rPr>
                <w:b/>
                <w:sz w:val="16"/>
              </w:rPr>
              <w:t>Manuscript location</w:t>
            </w:r>
          </w:p>
        </w:tc>
      </w:tr>
      <w:tr w14:paraId="81433082">
        <w:tblPrEx/>
        <w:trPr>
          <w:jc w:val="center"/>
        </w:trPr>
        <w:tc>
          <w:tcPr>
            <w:tcW w:w="2376" w:type="dxa"/>
            <w:tcBorders/>
          </w:tcPr>
          <w:p w14:paraId="2D95C128">
            <w:pPr>
              <w:pStyle w:val="style0"/>
              <w:rPr/>
            </w:pPr>
            <w:r>
              <w:rPr>
                <w:b/>
                <w:sz w:val="14"/>
              </w:rPr>
              <w:t>1. Title</w:t>
            </w:r>
          </w:p>
        </w:tc>
        <w:tc>
          <w:tcPr>
            <w:tcW w:w="10008" w:type="dxa"/>
            <w:tcBorders/>
          </w:tcPr>
          <w:p w14:paraId="7E76FFBA">
            <w:pPr>
              <w:pStyle w:val="style0"/>
              <w:rPr/>
            </w:pPr>
            <w:r>
              <w:rPr>
                <w:sz w:val="14"/>
              </w:rPr>
              <w:t>Full manuscript title.</w:t>
            </w:r>
          </w:p>
        </w:tc>
        <w:tc>
          <w:tcPr>
            <w:tcW w:w="2808" w:type="dxa"/>
            <w:tcBorders/>
          </w:tcPr>
          <w:p w14:paraId="4BD7CD04">
            <w:pPr>
              <w:pStyle w:val="style0"/>
              <w:rPr/>
            </w:pPr>
            <w:r>
              <w:rPr>
                <w:sz w:val="14"/>
              </w:rPr>
              <w:t>Lines 1–1</w:t>
            </w:r>
          </w:p>
        </w:tc>
      </w:tr>
      <w:tr w14:paraId="2E16312F">
        <w:tblPrEx/>
        <w:trPr>
          <w:jc w:val="center"/>
        </w:trPr>
        <w:tc>
          <w:tcPr>
            <w:tcW w:w="2376" w:type="dxa"/>
            <w:tcBorders/>
          </w:tcPr>
          <w:p w14:paraId="C0A666E4">
            <w:pPr>
              <w:pStyle w:val="style0"/>
              <w:rPr/>
            </w:pPr>
            <w:r>
              <w:rPr>
                <w:b/>
                <w:sz w:val="14"/>
              </w:rPr>
              <w:t>2. Key words</w:t>
            </w:r>
          </w:p>
        </w:tc>
        <w:tc>
          <w:tcPr>
            <w:tcW w:w="10008" w:type="dxa"/>
            <w:tcBorders/>
          </w:tcPr>
          <w:p w14:paraId="E31C93F3">
            <w:pPr>
              <w:pStyle w:val="style0"/>
              <w:rPr/>
            </w:pPr>
            <w:r>
              <w:rPr>
                <w:sz w:val="14"/>
              </w:rPr>
              <w:t>Revision total hip arthroplasty; Dual mobility cup; Extended trochanteric osteotomy; Case Report; Failed intertrochanteric fracture fixation.</w:t>
            </w:r>
          </w:p>
        </w:tc>
        <w:tc>
          <w:tcPr>
            <w:tcW w:w="2808" w:type="dxa"/>
            <w:tcBorders/>
          </w:tcPr>
          <w:p w14:paraId="45A65E6D">
            <w:pPr>
              <w:pStyle w:val="style0"/>
              <w:rPr/>
            </w:pPr>
            <w:r>
              <w:rPr>
                <w:sz w:val="14"/>
              </w:rPr>
              <w:t>Lines 405–407</w:t>
            </w:r>
          </w:p>
        </w:tc>
      </w:tr>
      <w:tr w14:paraId="9F500222">
        <w:tblPrEx/>
        <w:trPr>
          <w:jc w:val="center"/>
        </w:trPr>
        <w:tc>
          <w:tcPr>
            <w:tcW w:w="2376" w:type="dxa"/>
            <w:tcBorders/>
          </w:tcPr>
          <w:p w14:paraId="B8E579DD">
            <w:pPr>
              <w:pStyle w:val="style0"/>
              <w:rPr/>
            </w:pPr>
            <w:r>
              <w:rPr>
                <w:b/>
                <w:sz w:val="14"/>
              </w:rPr>
              <w:t>3. Abstract</w:t>
            </w:r>
          </w:p>
        </w:tc>
        <w:tc>
          <w:tcPr>
            <w:tcW w:w="10008" w:type="dxa"/>
            <w:tcBorders/>
          </w:tcPr>
          <w:p w14:paraId="EEBDFBF4">
            <w:pPr>
              <w:pStyle w:val="style0"/>
              <w:rPr/>
            </w:pPr>
            <w:r>
              <w:rPr>
                <w:sz w:val="14"/>
              </w:rPr>
              <w:t>Background, Case presentation and Conclusion are presented in the abstract.</w:t>
            </w:r>
          </w:p>
        </w:tc>
        <w:tc>
          <w:tcPr>
            <w:tcW w:w="2808" w:type="dxa"/>
            <w:tcBorders/>
          </w:tcPr>
          <w:p w14:paraId="0C999809">
            <w:pPr>
              <w:pStyle w:val="style0"/>
              <w:rPr/>
            </w:pPr>
            <w:r>
              <w:rPr>
                <w:sz w:val="14"/>
              </w:rPr>
              <w:t>Lines 23–79</w:t>
            </w:r>
          </w:p>
        </w:tc>
      </w:tr>
      <w:tr w14:paraId="FB7F49C2">
        <w:tblPrEx/>
        <w:trPr>
          <w:jc w:val="center"/>
        </w:trPr>
        <w:tc>
          <w:tcPr>
            <w:tcW w:w="2376" w:type="dxa"/>
            <w:tcBorders/>
          </w:tcPr>
          <w:p w14:paraId="5B25B07B">
            <w:pPr>
              <w:pStyle w:val="style0"/>
              <w:rPr/>
            </w:pPr>
            <w:r>
              <w:rPr>
                <w:b/>
                <w:sz w:val="14"/>
              </w:rPr>
              <w:t>4. Introduction</w:t>
            </w:r>
          </w:p>
        </w:tc>
        <w:tc>
          <w:tcPr>
            <w:tcW w:w="10008" w:type="dxa"/>
            <w:tcBorders/>
          </w:tcPr>
          <w:p w14:paraId="07C1FA0B">
            <w:pPr>
              <w:pStyle w:val="style0"/>
              <w:rPr/>
            </w:pPr>
            <w:r>
              <w:rPr>
                <w:sz w:val="14"/>
              </w:rPr>
              <w:t>Background on conversion THA after failed proximal femoral fracture fixation, instability and dual-mobility constructs.</w:t>
            </w:r>
          </w:p>
        </w:tc>
        <w:tc>
          <w:tcPr>
            <w:tcW w:w="2808" w:type="dxa"/>
            <w:tcBorders/>
          </w:tcPr>
          <w:p w14:paraId="85199C3E">
            <w:pPr>
              <w:pStyle w:val="style0"/>
              <w:rPr/>
            </w:pPr>
            <w:r>
              <w:rPr>
                <w:sz w:val="14"/>
              </w:rPr>
              <w:t>Lines 80–89</w:t>
            </w:r>
          </w:p>
        </w:tc>
      </w:tr>
      <w:tr w14:paraId="CD5054B2">
        <w:tblPrEx/>
        <w:trPr>
          <w:jc w:val="center"/>
        </w:trPr>
        <w:tc>
          <w:tcPr>
            <w:tcW w:w="2376" w:type="dxa"/>
            <w:tcBorders/>
          </w:tcPr>
          <w:p w14:paraId="BB85818F">
            <w:pPr>
              <w:pStyle w:val="style0"/>
              <w:rPr/>
            </w:pPr>
            <w:r>
              <w:rPr>
                <w:b/>
                <w:sz w:val="14"/>
              </w:rPr>
              <w:t>5. Patient information – Demographics</w:t>
            </w:r>
          </w:p>
        </w:tc>
        <w:tc>
          <w:tcPr>
            <w:tcW w:w="10008" w:type="dxa"/>
            <w:tcBorders/>
          </w:tcPr>
          <w:p w14:paraId="11F8E7C0">
            <w:pPr>
              <w:pStyle w:val="style0"/>
              <w:rPr/>
            </w:pPr>
            <w:r>
              <w:rPr>
                <w:sz w:val="14"/>
              </w:rPr>
              <w:t>62-year-old South Asian female.</w:t>
            </w:r>
          </w:p>
        </w:tc>
        <w:tc>
          <w:tcPr>
            <w:tcW w:w="2808" w:type="dxa"/>
            <w:tcBorders/>
          </w:tcPr>
          <w:p w14:paraId="6C9C7B7F">
            <w:pPr>
              <w:pStyle w:val="style0"/>
              <w:rPr/>
            </w:pPr>
            <w:r>
              <w:rPr>
                <w:sz w:val="14"/>
              </w:rPr>
              <w:t>Lines 90–92</w:t>
            </w:r>
          </w:p>
        </w:tc>
      </w:tr>
      <w:tr w14:paraId="D86D9472">
        <w:tblPrEx/>
        <w:trPr>
          <w:jc w:val="center"/>
        </w:trPr>
        <w:tc>
          <w:tcPr>
            <w:tcW w:w="2376" w:type="dxa"/>
            <w:tcBorders/>
          </w:tcPr>
          <w:p w14:paraId="67FB2AA9">
            <w:pPr>
              <w:pStyle w:val="style0"/>
              <w:rPr/>
            </w:pPr>
            <w:r>
              <w:rPr>
                <w:b/>
                <w:sz w:val="14"/>
              </w:rPr>
              <w:t>6. Patient information – Main symptoms / complaints</w:t>
            </w:r>
          </w:p>
        </w:tc>
        <w:tc>
          <w:tcPr>
            <w:tcW w:w="10008" w:type="dxa"/>
            <w:tcBorders/>
          </w:tcPr>
          <w:p w14:paraId="552B58C9">
            <w:pPr>
              <w:pStyle w:val="style0"/>
              <w:rPr/>
            </w:pPr>
            <w:r>
              <w:rPr>
                <w:sz w:val="14"/>
              </w:rPr>
              <w:t>Chronic pain, inability to walk, persistent pain, functional limitation and inability to bear weight after neglected non-traumatic prosthetic dislocation.</w:t>
            </w:r>
          </w:p>
        </w:tc>
        <w:tc>
          <w:tcPr>
            <w:tcW w:w="2808" w:type="dxa"/>
            <w:tcBorders/>
          </w:tcPr>
          <w:p w14:paraId="18A62CBD">
            <w:pPr>
              <w:pStyle w:val="style0"/>
              <w:rPr/>
            </w:pPr>
            <w:r>
              <w:rPr>
                <w:sz w:val="14"/>
              </w:rPr>
              <w:t>Lines 90–110</w:t>
            </w:r>
          </w:p>
        </w:tc>
      </w:tr>
      <w:tr w14:paraId="671976F2">
        <w:tblPrEx/>
        <w:trPr>
          <w:jc w:val="center"/>
        </w:trPr>
        <w:tc>
          <w:tcPr>
            <w:tcW w:w="2376" w:type="dxa"/>
            <w:tcBorders/>
          </w:tcPr>
          <w:p w14:paraId="F3609493">
            <w:pPr>
              <w:pStyle w:val="style0"/>
              <w:rPr/>
            </w:pPr>
            <w:r>
              <w:rPr>
                <w:b/>
                <w:sz w:val="14"/>
              </w:rPr>
              <w:t>7. Patient information – Medical / family / psychosocial history</w:t>
            </w:r>
          </w:p>
        </w:tc>
        <w:tc>
          <w:tcPr>
            <w:tcW w:w="10008" w:type="dxa"/>
            <w:tcBorders/>
          </w:tcPr>
          <w:p w14:paraId="B078E6F5">
            <w:pPr>
              <w:pStyle w:val="style0"/>
              <w:rPr/>
            </w:pPr>
            <w:r>
              <w:rPr>
                <w:sz w:val="14"/>
              </w:rPr>
              <w:t>Systemic hypertension and type 2 diabetes mellitus for 15 years; congenital left-sided foot drop. Family/psychosocial history not reported.</w:t>
            </w:r>
          </w:p>
        </w:tc>
        <w:tc>
          <w:tcPr>
            <w:tcW w:w="2808" w:type="dxa"/>
            <w:tcBorders/>
          </w:tcPr>
          <w:p w14:paraId="A40BC881">
            <w:pPr>
              <w:pStyle w:val="style0"/>
              <w:rPr/>
            </w:pPr>
            <w:r>
              <w:rPr>
                <w:sz w:val="14"/>
              </w:rPr>
              <w:t>Lines 111–114</w:t>
            </w:r>
          </w:p>
        </w:tc>
      </w:tr>
      <w:tr w14:paraId="6365EF43">
        <w:tblPrEx/>
        <w:trPr>
          <w:jc w:val="center"/>
        </w:trPr>
        <w:tc>
          <w:tcPr>
            <w:tcW w:w="2376" w:type="dxa"/>
            <w:tcBorders/>
          </w:tcPr>
          <w:p w14:paraId="CCF4DB89">
            <w:pPr>
              <w:pStyle w:val="style0"/>
              <w:rPr/>
            </w:pPr>
            <w:r>
              <w:rPr>
                <w:b/>
                <w:sz w:val="14"/>
              </w:rPr>
              <w:t>8. Patient information – Previous interventions</w:t>
            </w:r>
          </w:p>
        </w:tc>
        <w:tc>
          <w:tcPr>
            <w:tcW w:w="10008" w:type="dxa"/>
            <w:tcBorders/>
          </w:tcPr>
          <w:p w14:paraId="FCCBF39C">
            <w:pPr>
              <w:pStyle w:val="style0"/>
              <w:rPr/>
            </w:pPr>
            <w:r>
              <w:rPr>
                <w:sz w:val="14"/>
              </w:rPr>
              <w:t>ORIF with angle blade plate on 29/03/2025; conversion to uncemented long-stem THA on 01/07/2025; failed closed reduction under anaesthesia on 17/07/2025.</w:t>
            </w:r>
          </w:p>
        </w:tc>
        <w:tc>
          <w:tcPr>
            <w:tcW w:w="2808" w:type="dxa"/>
            <w:tcBorders/>
          </w:tcPr>
          <w:p w14:paraId="DE32CFC4">
            <w:pPr>
              <w:pStyle w:val="style0"/>
              <w:rPr/>
            </w:pPr>
            <w:r>
              <w:rPr>
                <w:sz w:val="14"/>
              </w:rPr>
              <w:t>Lines 93–110; 403–404</w:t>
            </w:r>
          </w:p>
        </w:tc>
      </w:tr>
      <w:tr w14:paraId="8FF2168C">
        <w:tblPrEx/>
        <w:trPr>
          <w:jc w:val="center"/>
        </w:trPr>
        <w:tc>
          <w:tcPr>
            <w:tcW w:w="2376" w:type="dxa"/>
            <w:tcBorders/>
          </w:tcPr>
          <w:p w14:paraId="003EC9EA">
            <w:pPr>
              <w:pStyle w:val="style0"/>
              <w:rPr/>
            </w:pPr>
            <w:r>
              <w:rPr>
                <w:b/>
                <w:sz w:val="14"/>
              </w:rPr>
              <w:t>9. Clinical findings</w:t>
            </w:r>
          </w:p>
        </w:tc>
        <w:tc>
          <w:tcPr>
            <w:tcW w:w="10008" w:type="dxa"/>
            <w:tcBorders/>
          </w:tcPr>
          <w:p w14:paraId="419DE3DD">
            <w:pPr>
              <w:pStyle w:val="style0"/>
              <w:rPr/>
            </w:pPr>
            <w:r>
              <w:rPr>
                <w:sz w:val="14"/>
              </w:rPr>
              <w:t>Healthy scar, approximately 2 cm shortening, anterior tenderness, restricted ROM, pre-existing foot drop and intact distal circulation.</w:t>
            </w:r>
          </w:p>
        </w:tc>
        <w:tc>
          <w:tcPr>
            <w:tcW w:w="2808" w:type="dxa"/>
            <w:tcBorders/>
          </w:tcPr>
          <w:p w14:paraId="F78614F6">
            <w:pPr>
              <w:pStyle w:val="style0"/>
              <w:rPr/>
            </w:pPr>
            <w:r>
              <w:rPr>
                <w:sz w:val="14"/>
              </w:rPr>
              <w:t>Lines 115–126</w:t>
            </w:r>
          </w:p>
        </w:tc>
      </w:tr>
      <w:tr w14:paraId="03DC5885">
        <w:tblPrEx/>
        <w:trPr>
          <w:jc w:val="center"/>
        </w:trPr>
        <w:tc>
          <w:tcPr>
            <w:tcW w:w="2376" w:type="dxa"/>
            <w:tcBorders/>
          </w:tcPr>
          <w:p w14:paraId="D59B0DE0">
            <w:pPr>
              <w:pStyle w:val="style0"/>
              <w:rPr/>
            </w:pPr>
            <w:r>
              <w:rPr>
                <w:b/>
                <w:sz w:val="14"/>
              </w:rPr>
              <w:t>10. Diagnostic assessment – Methods</w:t>
            </w:r>
          </w:p>
        </w:tc>
        <w:tc>
          <w:tcPr>
            <w:tcW w:w="10008" w:type="dxa"/>
            <w:tcBorders/>
          </w:tcPr>
          <w:p w14:paraId="9FC7CAF8">
            <w:pPr>
              <w:pStyle w:val="style0"/>
              <w:rPr/>
            </w:pPr>
            <w:r>
              <w:rPr>
                <w:sz w:val="14"/>
              </w:rPr>
              <w:t>Radiographs and CT demonstrated the dislocated THA; 3D CT showed fibrosis and pseudo-acetabulum formation.</w:t>
            </w:r>
          </w:p>
        </w:tc>
        <w:tc>
          <w:tcPr>
            <w:tcW w:w="2808" w:type="dxa"/>
            <w:tcBorders/>
          </w:tcPr>
          <w:p w14:paraId="7067D51F">
            <w:pPr>
              <w:pStyle w:val="style0"/>
              <w:rPr/>
            </w:pPr>
            <w:r>
              <w:rPr>
                <w:sz w:val="14"/>
              </w:rPr>
              <w:t>Lines 127–151</w:t>
            </w:r>
          </w:p>
        </w:tc>
      </w:tr>
      <w:tr w14:paraId="E2E2D6C5">
        <w:tblPrEx/>
        <w:trPr>
          <w:jc w:val="center"/>
        </w:trPr>
        <w:tc>
          <w:tcPr>
            <w:tcW w:w="2376" w:type="dxa"/>
            <w:tcBorders/>
          </w:tcPr>
          <w:p w14:paraId="C96FA0F1">
            <w:pPr>
              <w:pStyle w:val="style0"/>
              <w:rPr/>
            </w:pPr>
            <w:r>
              <w:rPr>
                <w:b/>
                <w:sz w:val="14"/>
              </w:rPr>
              <w:t>11. Diagnostic assessment – Challenges</w:t>
            </w:r>
          </w:p>
        </w:tc>
        <w:tc>
          <w:tcPr>
            <w:tcW w:w="10008" w:type="dxa"/>
            <w:tcBorders/>
          </w:tcPr>
          <w:p w14:paraId="E28E2A5F">
            <w:pPr>
              <w:pStyle w:val="style0"/>
              <w:rPr/>
            </w:pPr>
            <w:r>
              <w:rPr>
                <w:sz w:val="14"/>
              </w:rPr>
              <w:t>Long-standing neglected dislocation with dense fibrosis, pseudo-acetabulum, altered anatomy and difficult femoral stem removal.</w:t>
            </w:r>
          </w:p>
        </w:tc>
        <w:tc>
          <w:tcPr>
            <w:tcW w:w="2808" w:type="dxa"/>
            <w:tcBorders/>
          </w:tcPr>
          <w:p w14:paraId="E78FC857">
            <w:pPr>
              <w:pStyle w:val="style0"/>
              <w:rPr/>
            </w:pPr>
            <w:r>
              <w:rPr>
                <w:sz w:val="14"/>
              </w:rPr>
              <w:t>Lines 181–214</w:t>
            </w:r>
          </w:p>
        </w:tc>
      </w:tr>
      <w:tr w14:paraId="13DF9DFE">
        <w:tblPrEx/>
        <w:trPr>
          <w:jc w:val="center"/>
        </w:trPr>
        <w:tc>
          <w:tcPr>
            <w:tcW w:w="2376" w:type="dxa"/>
            <w:tcBorders/>
          </w:tcPr>
          <w:p w14:paraId="3C87F502">
            <w:pPr>
              <w:pStyle w:val="style0"/>
              <w:rPr/>
            </w:pPr>
            <w:r>
              <w:rPr>
                <w:b/>
                <w:sz w:val="14"/>
              </w:rPr>
              <w:t>12. Diagnostic assessment – Differential diagnosis</w:t>
            </w:r>
          </w:p>
        </w:tc>
        <w:tc>
          <w:tcPr>
            <w:tcW w:w="10008" w:type="dxa"/>
            <w:tcBorders/>
          </w:tcPr>
          <w:p w14:paraId="1493F265">
            <w:pPr>
              <w:pStyle w:val="style0"/>
              <w:rPr/>
            </w:pPr>
            <w:r>
              <w:rPr>
                <w:sz w:val="14"/>
              </w:rPr>
              <w:t xml:space="preserve">No explicit differential diagnosis </w:t>
            </w:r>
            <w:r>
              <w:rPr>
                <w:sz w:val="14"/>
                <w:lang w:val="en-US"/>
              </w:rPr>
              <w:t>present</w:t>
            </w:r>
          </w:p>
        </w:tc>
        <w:tc>
          <w:tcPr>
            <w:tcW w:w="2808" w:type="dxa"/>
            <w:tcBorders/>
          </w:tcPr>
          <w:p w14:paraId="8BF374BB">
            <w:pPr>
              <w:pStyle w:val="style0"/>
              <w:rPr/>
            </w:pPr>
            <w:r>
              <w:rPr>
                <w:sz w:val="14"/>
              </w:rPr>
              <w:t xml:space="preserve">Not </w:t>
            </w:r>
            <w:r>
              <w:rPr>
                <w:sz w:val="14"/>
                <w:lang w:val="en-US"/>
              </w:rPr>
              <w:t>applicable</w:t>
            </w:r>
          </w:p>
        </w:tc>
      </w:tr>
      <w:tr w14:paraId="18C34237">
        <w:tblPrEx/>
        <w:trPr>
          <w:jc w:val="center"/>
        </w:trPr>
        <w:tc>
          <w:tcPr>
            <w:tcW w:w="2376" w:type="dxa"/>
            <w:tcBorders/>
          </w:tcPr>
          <w:p w14:paraId="B554A594">
            <w:pPr>
              <w:pStyle w:val="style0"/>
              <w:rPr/>
            </w:pPr>
            <w:r>
              <w:rPr>
                <w:b/>
                <w:sz w:val="14"/>
              </w:rPr>
              <w:t>13. Diagnostic assessment – Prognostic factors</w:t>
            </w:r>
          </w:p>
        </w:tc>
        <w:tc>
          <w:tcPr>
            <w:tcW w:w="10008" w:type="dxa"/>
            <w:tcBorders/>
          </w:tcPr>
          <w:p w14:paraId="0577A3BE">
            <w:pPr>
              <w:pStyle w:val="style0"/>
              <w:rPr/>
            </w:pPr>
            <w:r>
              <w:rPr>
                <w:sz w:val="14"/>
              </w:rPr>
              <w:t>Previous failed fixation, conversion arthroplasty, altered proximal femoral anatomy, fibrosis/pseudo-acetabulum and congenital foot drop are discussed as contributing factors.</w:t>
            </w:r>
          </w:p>
        </w:tc>
        <w:tc>
          <w:tcPr>
            <w:tcW w:w="2808" w:type="dxa"/>
            <w:tcBorders/>
          </w:tcPr>
          <w:p w14:paraId="0805D786">
            <w:pPr>
              <w:pStyle w:val="style0"/>
              <w:rPr/>
            </w:pPr>
            <w:r>
              <w:rPr>
                <w:sz w:val="14"/>
              </w:rPr>
              <w:t>Lines 316–337</w:t>
            </w:r>
          </w:p>
        </w:tc>
      </w:tr>
      <w:tr w14:paraId="545D2BE1">
        <w:tblPrEx/>
        <w:trPr>
          <w:jc w:val="center"/>
        </w:trPr>
        <w:tc>
          <w:tcPr>
            <w:tcW w:w="2376" w:type="dxa"/>
            <w:tcBorders/>
          </w:tcPr>
          <w:p w14:paraId="69DE704C">
            <w:pPr>
              <w:pStyle w:val="style0"/>
              <w:rPr/>
            </w:pPr>
            <w:r>
              <w:rPr>
                <w:b/>
                <w:sz w:val="14"/>
              </w:rPr>
              <w:t>14. Therapeutic intervention</w:t>
            </w:r>
          </w:p>
        </w:tc>
        <w:tc>
          <w:tcPr>
            <w:tcW w:w="10008" w:type="dxa"/>
            <w:tcBorders/>
          </w:tcPr>
          <w:p w14:paraId="72E50F58">
            <w:pPr>
              <w:pStyle w:val="style0"/>
              <w:rPr/>
            </w:pPr>
            <w:r>
              <w:rPr>
                <w:sz w:val="14"/>
              </w:rPr>
              <w:t>Revision THA using ETO, uncemented long diaphyseal-fitting revision stem, cemented dual-mobility cup and cerclage wiring.</w:t>
            </w:r>
          </w:p>
        </w:tc>
        <w:tc>
          <w:tcPr>
            <w:tcW w:w="2808" w:type="dxa"/>
            <w:tcBorders/>
          </w:tcPr>
          <w:p w14:paraId="14A1C686">
            <w:pPr>
              <w:pStyle w:val="style0"/>
              <w:rPr/>
            </w:pPr>
            <w:r>
              <w:rPr>
                <w:sz w:val="14"/>
              </w:rPr>
              <w:t>Lines 155–248</w:t>
            </w:r>
          </w:p>
        </w:tc>
      </w:tr>
      <w:tr w14:paraId="52842707">
        <w:tblPrEx/>
        <w:trPr>
          <w:jc w:val="center"/>
        </w:trPr>
        <w:tc>
          <w:tcPr>
            <w:tcW w:w="2376" w:type="dxa"/>
            <w:tcBorders/>
          </w:tcPr>
          <w:p w14:paraId="89D7B0BD">
            <w:pPr>
              <w:pStyle w:val="style0"/>
              <w:rPr/>
            </w:pPr>
            <w:r>
              <w:rPr>
                <w:b/>
                <w:sz w:val="14"/>
              </w:rPr>
              <w:t>15. Intervention details</w:t>
            </w:r>
          </w:p>
        </w:tc>
        <w:tc>
          <w:tcPr>
            <w:tcW w:w="10008" w:type="dxa"/>
            <w:tcBorders/>
          </w:tcPr>
          <w:p w14:paraId="9F9B5C56">
            <w:pPr>
              <w:pStyle w:val="style0"/>
              <w:rPr/>
            </w:pPr>
            <w:r>
              <w:rPr>
                <w:sz w:val="14"/>
              </w:rPr>
              <w:t>48-mm cemented DM cup; 48-mm (28-mm) liner; 28-mm (+1.5-mm) head; 13.5 × 275 mm revision stem; 40 g cement; combined spinal/epidural anaesthesia; postoperative protocol.</w:t>
            </w:r>
          </w:p>
        </w:tc>
        <w:tc>
          <w:tcPr>
            <w:tcW w:w="2808" w:type="dxa"/>
            <w:tcBorders/>
          </w:tcPr>
          <w:p w14:paraId="5A2A052C">
            <w:pPr>
              <w:pStyle w:val="style0"/>
              <w:rPr/>
            </w:pPr>
            <w:r>
              <w:rPr>
                <w:sz w:val="14"/>
              </w:rPr>
              <w:t>Lines 155–175; 215–293</w:t>
            </w:r>
          </w:p>
        </w:tc>
      </w:tr>
      <w:tr w14:paraId="F78DA612">
        <w:tblPrEx/>
        <w:trPr>
          <w:jc w:val="center"/>
        </w:trPr>
        <w:tc>
          <w:tcPr>
            <w:tcW w:w="2376" w:type="dxa"/>
            <w:tcBorders/>
          </w:tcPr>
          <w:p w14:paraId="6970B7D1">
            <w:pPr>
              <w:pStyle w:val="style0"/>
              <w:rPr/>
            </w:pPr>
            <w:r>
              <w:rPr>
                <w:b/>
                <w:sz w:val="14"/>
              </w:rPr>
              <w:t>16. Changes in intervention</w:t>
            </w:r>
          </w:p>
        </w:tc>
        <w:tc>
          <w:tcPr>
            <w:tcW w:w="10008" w:type="dxa"/>
            <w:tcBorders/>
          </w:tcPr>
          <w:p w14:paraId="5D72D7EB">
            <w:pPr>
              <w:pStyle w:val="style0"/>
              <w:rPr/>
            </w:pPr>
            <w:r>
              <w:rPr>
                <w:sz w:val="14"/>
              </w:rPr>
              <w:t>No intraoperative change to the planned reconstruction is reported; procedure was uneventful.</w:t>
            </w:r>
          </w:p>
        </w:tc>
        <w:tc>
          <w:tcPr>
            <w:tcW w:w="2808" w:type="dxa"/>
            <w:tcBorders/>
          </w:tcPr>
          <w:p w14:paraId="187D015B">
            <w:pPr>
              <w:pStyle w:val="style0"/>
              <w:rPr/>
            </w:pPr>
            <w:r>
              <w:rPr>
                <w:sz w:val="14"/>
              </w:rPr>
              <w:t>Lines 249–270</w:t>
            </w:r>
          </w:p>
        </w:tc>
      </w:tr>
      <w:tr w14:paraId="2FA531A7">
        <w:tblPrEx/>
        <w:trPr>
          <w:jc w:val="center"/>
        </w:trPr>
        <w:tc>
          <w:tcPr>
            <w:tcW w:w="2376" w:type="dxa"/>
            <w:tcBorders/>
          </w:tcPr>
          <w:p w14:paraId="90A4FDDA">
            <w:pPr>
              <w:pStyle w:val="style0"/>
              <w:rPr/>
            </w:pPr>
            <w:r>
              <w:rPr>
                <w:b/>
                <w:sz w:val="14"/>
              </w:rPr>
              <w:t>17. Follow-up and outcomes</w:t>
            </w:r>
          </w:p>
        </w:tc>
        <w:tc>
          <w:tcPr>
            <w:tcW w:w="10008" w:type="dxa"/>
            <w:tcBorders/>
          </w:tcPr>
          <w:p w14:paraId="6BC321BC">
            <w:pPr>
              <w:pStyle w:val="style0"/>
              <w:rPr/>
            </w:pPr>
            <w:r>
              <w:rPr>
                <w:sz w:val="14"/>
              </w:rPr>
              <w:t>Postoperative radiographs, physiotherapy, POD2 full-weight-bearing mobilisation with walker, 2-month follow-up radiograph, pain relief and full weight-bearing.</w:t>
            </w:r>
          </w:p>
        </w:tc>
        <w:tc>
          <w:tcPr>
            <w:tcW w:w="2808" w:type="dxa"/>
            <w:tcBorders/>
          </w:tcPr>
          <w:p w14:paraId="86CF6E27">
            <w:pPr>
              <w:pStyle w:val="style0"/>
              <w:rPr/>
            </w:pPr>
            <w:r>
              <w:rPr>
                <w:sz w:val="14"/>
              </w:rPr>
              <w:t>Lines 271–293; 359–382; 410–420</w:t>
            </w:r>
          </w:p>
        </w:tc>
      </w:tr>
      <w:tr w14:paraId="9DF2E18C">
        <w:tblPrEx/>
        <w:trPr>
          <w:jc w:val="center"/>
        </w:trPr>
        <w:tc>
          <w:tcPr>
            <w:tcW w:w="2376" w:type="dxa"/>
            <w:tcBorders/>
          </w:tcPr>
          <w:p w14:paraId="182013DC">
            <w:pPr>
              <w:pStyle w:val="style0"/>
              <w:rPr/>
            </w:pPr>
            <w:r>
              <w:rPr>
                <w:b/>
                <w:sz w:val="14"/>
              </w:rPr>
              <w:t>18. Adverse / unanticipated events</w:t>
            </w:r>
          </w:p>
        </w:tc>
        <w:tc>
          <w:tcPr>
            <w:tcW w:w="10008" w:type="dxa"/>
            <w:tcBorders/>
          </w:tcPr>
          <w:p w14:paraId="28AD3194">
            <w:pPr>
              <w:pStyle w:val="style0"/>
              <w:rPr/>
            </w:pPr>
            <w:r>
              <w:rPr>
                <w:sz w:val="14"/>
              </w:rPr>
              <w:t>No other postoperative complications reported.</w:t>
            </w:r>
          </w:p>
        </w:tc>
        <w:tc>
          <w:tcPr>
            <w:tcW w:w="2808" w:type="dxa"/>
            <w:tcBorders/>
          </w:tcPr>
          <w:p w14:paraId="E24482D5">
            <w:pPr>
              <w:pStyle w:val="style0"/>
              <w:rPr/>
            </w:pPr>
            <w:r>
              <w:rPr>
                <w:sz w:val="14"/>
              </w:rPr>
              <w:t>Lines 249–270; 410–420</w:t>
            </w:r>
          </w:p>
        </w:tc>
      </w:tr>
      <w:tr w14:paraId="46073F1C">
        <w:tblPrEx/>
        <w:trPr>
          <w:jc w:val="center"/>
        </w:trPr>
        <w:tc>
          <w:tcPr>
            <w:tcW w:w="2376" w:type="dxa"/>
            <w:tcBorders/>
          </w:tcPr>
          <w:p w14:paraId="B59F3E1E">
            <w:pPr>
              <w:pStyle w:val="style0"/>
              <w:rPr/>
            </w:pPr>
            <w:r>
              <w:rPr>
                <w:b/>
                <w:sz w:val="14"/>
              </w:rPr>
              <w:t>19. Patient perspective</w:t>
            </w:r>
          </w:p>
        </w:tc>
        <w:tc>
          <w:tcPr>
            <w:tcW w:w="10008" w:type="dxa"/>
            <w:tcBorders/>
          </w:tcPr>
          <w:p w14:paraId="6D2F7278">
            <w:pPr>
              <w:pStyle w:val="style0"/>
              <w:rPr/>
            </w:pPr>
            <w:r>
              <w:rPr>
                <w:sz w:val="14"/>
              </w:rPr>
              <w:t>Significant pain relief and ability to perform full-weight-bearing mobilisation; no other postoperative complications.</w:t>
            </w:r>
          </w:p>
        </w:tc>
        <w:tc>
          <w:tcPr>
            <w:tcW w:w="2808" w:type="dxa"/>
            <w:tcBorders/>
          </w:tcPr>
          <w:p w14:paraId="B42D1064">
            <w:pPr>
              <w:pStyle w:val="style0"/>
              <w:rPr/>
            </w:pPr>
            <w:r>
              <w:rPr>
                <w:sz w:val="14"/>
              </w:rPr>
              <w:t>Lines 410–420</w:t>
            </w:r>
          </w:p>
        </w:tc>
      </w:tr>
      <w:tr w14:paraId="1D36E87D">
        <w:tblPrEx/>
        <w:trPr>
          <w:jc w:val="center"/>
        </w:trPr>
        <w:tc>
          <w:tcPr>
            <w:tcW w:w="2376" w:type="dxa"/>
            <w:tcBorders/>
          </w:tcPr>
          <w:p w14:paraId="3BA53668">
            <w:pPr>
              <w:pStyle w:val="style0"/>
              <w:rPr/>
            </w:pPr>
            <w:r>
              <w:rPr>
                <w:b/>
                <w:sz w:val="14"/>
              </w:rPr>
              <w:t>20. Informed consent</w:t>
            </w:r>
          </w:p>
        </w:tc>
        <w:tc>
          <w:tcPr>
            <w:tcW w:w="10008" w:type="dxa"/>
            <w:tcBorders/>
          </w:tcPr>
          <w:p w14:paraId="4BA73CA3">
            <w:pPr>
              <w:pStyle w:val="style0"/>
              <w:rPr/>
            </w:pPr>
            <w:r>
              <w:rPr>
                <w:sz w:val="14"/>
              </w:rPr>
              <w:t>Informed consent for the operative procedure and publication; written consent available for Editor-in-Chief review; consent to publish obtained.</w:t>
            </w:r>
          </w:p>
        </w:tc>
        <w:tc>
          <w:tcPr>
            <w:tcW w:w="2808" w:type="dxa"/>
            <w:tcBorders/>
          </w:tcPr>
          <w:p w14:paraId="95F43333">
            <w:pPr>
              <w:pStyle w:val="style0"/>
              <w:rPr/>
            </w:pPr>
            <w:r>
              <w:rPr>
                <w:sz w:val="14"/>
              </w:rPr>
              <w:t>Lines 425–430</w:t>
            </w:r>
          </w:p>
        </w:tc>
      </w:tr>
      <w:tr w14:paraId="9E1B7119">
        <w:tblPrEx/>
        <w:trPr>
          <w:jc w:val="center"/>
        </w:trPr>
        <w:tc>
          <w:tcPr>
            <w:tcW w:w="2376" w:type="dxa"/>
            <w:tcBorders/>
          </w:tcPr>
          <w:p w14:paraId="D0BE72F9">
            <w:pPr>
              <w:pStyle w:val="style0"/>
              <w:rPr/>
            </w:pPr>
            <w:r>
              <w:rPr>
                <w:b/>
                <w:sz w:val="14"/>
              </w:rPr>
              <w:t>21. Discussion – Strengths / limitations</w:t>
            </w:r>
          </w:p>
        </w:tc>
        <w:tc>
          <w:tcPr>
            <w:tcW w:w="10008" w:type="dxa"/>
            <w:tcBorders/>
          </w:tcPr>
          <w:p w14:paraId="2621CC0C">
            <w:pPr>
              <w:pStyle w:val="style0"/>
              <w:rPr/>
            </w:pPr>
            <w:r>
              <w:rPr>
                <w:sz w:val="14"/>
              </w:rPr>
              <w:t>Single-case limitation; cannot establish superiority of dual mobility; long-term clinical and radiological follow-up required.</w:t>
            </w:r>
          </w:p>
        </w:tc>
        <w:tc>
          <w:tcPr>
            <w:tcW w:w="2808" w:type="dxa"/>
            <w:tcBorders/>
          </w:tcPr>
          <w:p w14:paraId="562385EC">
            <w:pPr>
              <w:pStyle w:val="style0"/>
              <w:rPr/>
            </w:pPr>
            <w:r>
              <w:rPr>
                <w:sz w:val="14"/>
              </w:rPr>
              <w:t>Lines 338–358</w:t>
            </w:r>
          </w:p>
        </w:tc>
      </w:tr>
      <w:tr w14:paraId="48C6D030">
        <w:tblPrEx/>
        <w:trPr>
          <w:jc w:val="center"/>
        </w:trPr>
        <w:tc>
          <w:tcPr>
            <w:tcW w:w="2376" w:type="dxa"/>
            <w:tcBorders/>
          </w:tcPr>
          <w:p w14:paraId="47D2F2F1">
            <w:pPr>
              <w:pStyle w:val="style0"/>
              <w:rPr/>
            </w:pPr>
            <w:r>
              <w:rPr>
                <w:b/>
                <w:sz w:val="14"/>
              </w:rPr>
              <w:t>22. Discussion – Literature</w:t>
            </w:r>
          </w:p>
        </w:tc>
        <w:tc>
          <w:tcPr>
            <w:tcW w:w="10008" w:type="dxa"/>
            <w:tcBorders/>
          </w:tcPr>
          <w:p w14:paraId="AB125A67">
            <w:pPr>
              <w:pStyle w:val="style0"/>
              <w:rPr/>
            </w:pPr>
            <w:r>
              <w:rPr>
                <w:sz w:val="14"/>
              </w:rPr>
              <w:t>Discussion of instability, risk factors, dual mobility and ETO, supported by cited literature.</w:t>
            </w:r>
          </w:p>
        </w:tc>
        <w:tc>
          <w:tcPr>
            <w:tcW w:w="2808" w:type="dxa"/>
            <w:tcBorders/>
          </w:tcPr>
          <w:p w14:paraId="1F78C25C">
            <w:pPr>
              <w:pStyle w:val="style0"/>
              <w:rPr/>
            </w:pPr>
            <w:r>
              <w:rPr>
                <w:sz w:val="14"/>
              </w:rPr>
              <w:t>Lines 294–358; references 448–484</w:t>
            </w:r>
          </w:p>
        </w:tc>
      </w:tr>
      <w:tr w14:paraId="C8CBB1A3">
        <w:tblPrEx/>
        <w:trPr>
          <w:jc w:val="center"/>
        </w:trPr>
        <w:tc>
          <w:tcPr>
            <w:tcW w:w="2376" w:type="dxa"/>
            <w:tcBorders/>
          </w:tcPr>
          <w:p w14:paraId="8A830717">
            <w:pPr>
              <w:pStyle w:val="style0"/>
              <w:rPr/>
            </w:pPr>
            <w:r>
              <w:rPr>
                <w:b/>
                <w:sz w:val="14"/>
              </w:rPr>
              <w:t>23. Conclusion</w:t>
            </w:r>
          </w:p>
        </w:tc>
        <w:tc>
          <w:tcPr>
            <w:tcW w:w="10008" w:type="dxa"/>
            <w:tcBorders/>
          </w:tcPr>
          <w:p w14:paraId="B5B580BA">
            <w:pPr>
              <w:pStyle w:val="style0"/>
              <w:rPr/>
            </w:pPr>
            <w:r>
              <w:rPr>
                <w:sz w:val="14"/>
              </w:rPr>
              <w:t>Revision THA with uncemented long revision stem and cemented dual-mobility component presented as a treatment option for chronic instability.</w:t>
            </w:r>
          </w:p>
        </w:tc>
        <w:tc>
          <w:tcPr>
            <w:tcW w:w="2808" w:type="dxa"/>
            <w:tcBorders/>
          </w:tcPr>
          <w:p w14:paraId="9021D487">
            <w:pPr>
              <w:pStyle w:val="style0"/>
              <w:rPr/>
            </w:pPr>
            <w:r>
              <w:rPr>
                <w:sz w:val="14"/>
              </w:rPr>
              <w:t>Lines 383–394</w:t>
            </w:r>
          </w:p>
        </w:tc>
      </w:tr>
      <w:tr w14:paraId="F3D5107E">
        <w:tblPrEx/>
        <w:trPr>
          <w:jc w:val="center"/>
        </w:trPr>
        <w:tc>
          <w:tcPr>
            <w:tcW w:w="2376" w:type="dxa"/>
            <w:tcBorders/>
          </w:tcPr>
          <w:p w14:paraId="F1BEF51F">
            <w:pPr>
              <w:pStyle w:val="style0"/>
              <w:rPr/>
            </w:pPr>
            <w:r>
              <w:rPr>
                <w:b/>
                <w:sz w:val="14"/>
              </w:rPr>
              <w:t>24. Clinical timeline</w:t>
            </w:r>
          </w:p>
        </w:tc>
        <w:tc>
          <w:tcPr>
            <w:tcW w:w="10008" w:type="dxa"/>
            <w:tcBorders/>
          </w:tcPr>
          <w:p w14:paraId="E1B0E1AF">
            <w:pPr>
              <w:pStyle w:val="style0"/>
              <w:rPr/>
            </w:pPr>
            <w:r>
              <w:rPr>
                <w:sz w:val="14"/>
              </w:rPr>
              <w:t>Timeline from fracture fixation through conversion THA, dislocation, failed reduction, neglected period, revision THA and POD2 mobilisation.</w:t>
            </w:r>
          </w:p>
        </w:tc>
        <w:tc>
          <w:tcPr>
            <w:tcW w:w="2808" w:type="dxa"/>
            <w:tcBorders/>
          </w:tcPr>
          <w:p w14:paraId="3D83BF9E">
            <w:pPr>
              <w:pStyle w:val="style0"/>
              <w:rPr/>
            </w:pPr>
            <w:r>
              <w:rPr>
                <w:sz w:val="14"/>
              </w:rPr>
              <w:t>Lines 395–404</w:t>
            </w:r>
          </w:p>
        </w:tc>
      </w:tr>
      <w:tr w14:paraId="4DF44B2E">
        <w:tblPrEx/>
        <w:trPr>
          <w:jc w:val="center"/>
        </w:trPr>
        <w:tc>
          <w:tcPr>
            <w:tcW w:w="2376" w:type="dxa"/>
            <w:tcBorders/>
          </w:tcPr>
          <w:p w14:paraId="71272BAB">
            <w:pPr>
              <w:pStyle w:val="style0"/>
              <w:rPr/>
            </w:pPr>
            <w:r>
              <w:rPr>
                <w:b/>
                <w:sz w:val="14"/>
              </w:rPr>
              <w:t>25. Declarations / ethics</w:t>
            </w:r>
          </w:p>
        </w:tc>
        <w:tc>
          <w:tcPr>
            <w:tcW w:w="10008" w:type="dxa"/>
            <w:tcBorders/>
          </w:tcPr>
          <w:p w14:paraId="9C877AFC">
            <w:pPr>
              <w:pStyle w:val="style0"/>
              <w:rPr/>
            </w:pPr>
            <w:r>
              <w:rPr>
                <w:sz w:val="14"/>
              </w:rPr>
              <w:t>Consent, consent to publish, materials/data, competing interests, funding, acknowledgements and author contributions are documented.</w:t>
            </w:r>
          </w:p>
        </w:tc>
        <w:tc>
          <w:tcPr>
            <w:tcW w:w="2808" w:type="dxa"/>
            <w:tcBorders/>
          </w:tcPr>
          <w:p w14:paraId="3719CFF3">
            <w:pPr>
              <w:pStyle w:val="style0"/>
              <w:rPr/>
            </w:pPr>
            <w:r>
              <w:rPr>
                <w:sz w:val="14"/>
              </w:rPr>
              <w:t>Lines 421–447</w:t>
            </w:r>
          </w:p>
        </w:tc>
      </w:tr>
    </w:tbl>
    <w:p w14:paraId="271D6C4F">
      <w:pPr>
        <w:rPr/>
      </w:pPr>
    </w:p>
    <w:sectPr>
      <w:footerReference w:type="default" r:id="rId2"/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53C5F1B">
    <w:pPr>
      <w:pStyle w:val="style32"/>
      <w:jc w:val="center"/>
      <w:rPr/>
    </w:pPr>
    <w:r>
      <w:rPr>
        <w:sz w:val="14"/>
      </w:rPr>
      <w:t>CARE Checklist – continuous manuscript line numbering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2676b299-517a-4540-a80b-182babfc5c44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f1a6243-6e6b-49e7-88d6-830792e551aa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2a9214e1-43a0-4e3d-907b-850349000dc9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4201383e-462c-4ed9-b3b0-bcd1979cf629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b5c494dd-2675-440e-8834-5e88cfc5d824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396f1d5d-dddf-4852-8603-b59e14624fac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5cfb0208-2a3e-47c6-b654-1b02f33c84b2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14b72f07-1230-4808-b7e9-4ab11511bb69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2d18d758-2429-4758-9cdc-7259a96044d1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bc0655d4-3137-4013-ac28-b7d02376a6b2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ba8452c2-9cf4-4bc6-8a0f-2c606c94bc60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fb9665f1-f71b-47c2-ad66-60e17b5cad6f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b958cec3-d1d2-41ee-a0ee-a2fee772618d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ee789da9-7e76-4cdd-8725-713d5951ae52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560</Words>
  <Pages>1</Pages>
  <Characters>3866</Characters>
  <Application>WPS Office</Application>
  <DocSecurity>0</DocSecurity>
  <Paragraphs>108</Paragraphs>
  <ScaleCrop>false</ScaleCrop>
  <LinksUpToDate>false</LinksUpToDate>
  <CharactersWithSpaces>4345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CPH2629</lastModifiedBy>
  <dcterms:modified xsi:type="dcterms:W3CDTF">2026-10-05T10:48:23Z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10b23febf83d4325a8b9f8e7e6d025de_23</vt:lpwstr>
  </property>
</Properties>
</file>