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306BF" w14:textId="77777777" w:rsidR="006E74D5" w:rsidRPr="00A436C6" w:rsidRDefault="006E74D5" w:rsidP="006E74D5">
      <w:r w:rsidRPr="00A436C6">
        <w:t xml:space="preserve">This toy example illustrates the retro feedback mechanism on a small, 1-D problem. Consider a single design variable </w:t>
      </w:r>
      <m:oMath>
        <m:r>
          <w:rPr>
            <w:rFonts w:ascii="Cambria Math" w:hAnsi="Cambria Math"/>
          </w:rPr>
          <m:t>x</m:t>
        </m:r>
      </m:oMath>
      <w:r w:rsidRPr="00A436C6">
        <w:t xml:space="preserve">and a scalar response </w:t>
      </w:r>
      <m:oMath>
        <m:r>
          <w:rPr>
            <w:rFonts w:ascii="Cambria Math" w:hAnsi="Cambria Math"/>
          </w:rPr>
          <m:t>y</m:t>
        </m:r>
      </m:oMath>
      <w:r w:rsidRPr="00A436C6">
        <w:t xml:space="preserve">. Suppose the true function is </w:t>
      </w:r>
      <m:oMath>
        <m:r>
          <w:rPr>
            <w:rFonts w:ascii="Cambria Math" w:hAnsi="Cambria Math"/>
          </w:rPr>
          <m:t>f(x)=</m:t>
        </m:r>
        <m:r>
          <m:rPr>
            <m:sty m:val="p"/>
          </m:rPr>
          <w:rPr>
            <w:rFonts w:ascii="Cambria Math" w:hAnsi="Cambria Math"/>
          </w:rPr>
          <m:t>sin</m:t>
        </m:r>
        <m:r>
          <w:rPr>
            <w:rFonts w:ascii="Cambria Math" w:hAnsi="Cambria Math"/>
          </w:rPr>
          <m:t xml:space="preserve">⁡(2πx) </m:t>
        </m:r>
      </m:oMath>
      <w:r w:rsidRPr="00A436C6">
        <w:t xml:space="preserve">with heteroscedastic noise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σ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(x)=0.1</m:t>
        </m:r>
        <m:r>
          <m:rPr>
            <m:sty m:val="p"/>
          </m:rPr>
          <w:rPr>
            <w:rFonts w:ascii="Cambria Math" w:hAnsi="Cambria Math"/>
          </w:rPr>
          <m:t>exp</m:t>
        </m:r>
        <m:r>
          <w:rPr>
            <w:rFonts w:ascii="Cambria Math" w:hAnsi="Cambria Math"/>
          </w:rPr>
          <m:t>⁡(2x)</m:t>
        </m:r>
      </m:oMath>
      <w:r w:rsidRPr="00A436C6">
        <w:t xml:space="preserve">. We observe training points at </w:t>
      </w:r>
      <m:oMath>
        <m:r>
          <w:rPr>
            <w:rFonts w:ascii="Cambria Math" w:hAnsi="Cambria Math"/>
          </w:rPr>
          <m:t>x=[0.0,0.4,0.8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]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 w:rsidRPr="00A436C6">
        <w:t>with 5 replications each.</w:t>
      </w:r>
    </w:p>
    <w:p w14:paraId="77668F52" w14:textId="77777777" w:rsidR="006E74D5" w:rsidRPr="00A436C6" w:rsidRDefault="006E74D5" w:rsidP="006E74D5">
      <w:r w:rsidRPr="00A436C6">
        <w:t xml:space="preserve">Using an initial squared exponential kernel with length scale </w:t>
      </w:r>
      <m:oMath>
        <m:r>
          <m:rPr>
            <m:scr m:val="script"/>
            <m:sty m:val="p"/>
          </m:rPr>
          <w:rPr>
            <w:rFonts w:ascii="Cambria Math" w:hAnsi="Cambria Math"/>
          </w:rPr>
          <m:t>l</m:t>
        </m:r>
        <m:r>
          <w:rPr>
            <w:rFonts w:ascii="Cambria Math" w:hAnsi="Cambria Math"/>
          </w:rPr>
          <m:t>=0.5</m:t>
        </m:r>
      </m:oMath>
      <w:r w:rsidRPr="00A436C6">
        <w:t xml:space="preserve">, the empirical coverage of the 95% predictive intervals on a validation set is only 50%, indicating severe under-dispersion. Applying the IDF loss function (ignoring regularization for simplicity), the gradient of the coverage penalty with respect to </w:t>
      </w:r>
      <m:oMath>
        <m:r>
          <m:rPr>
            <m:scr m:val="script"/>
            <m:sty m:val="p"/>
          </m:rPr>
          <w:rPr>
            <w:rFonts w:ascii="Cambria Math" w:hAnsi="Cambria Math"/>
          </w:rPr>
          <m:t>l</m:t>
        </m:r>
      </m:oMath>
      <w:r w:rsidRPr="00A436C6">
        <w:t xml:space="preserve">is negative. The update rule decreases the length scale to </w:t>
      </w:r>
      <m:oMath>
        <m:r>
          <m:rPr>
            <m:scr m:val="script"/>
            <m:sty m:val="p"/>
          </m:rPr>
          <w:rPr>
            <w:rFonts w:ascii="Cambria Math" w:hAnsi="Cambria Math"/>
          </w:rPr>
          <m:t>l</m:t>
        </m:r>
        <m:r>
          <w:rPr>
            <w:rFonts w:ascii="Cambria Math" w:hAnsi="Cambria Math"/>
          </w:rPr>
          <m:t>=0.35</m:t>
        </m:r>
      </m:oMath>
      <w:r w:rsidRPr="00A436C6">
        <w:t>, which increases local variability and predictive variance, pushing the empirical coverage to 88% after a single iteration, and 94% after two iterations. This illustrates how the retro feedback loss systematically adjusts hyperparameters to correct miscalibration.</w:t>
      </w:r>
    </w:p>
    <w:p w14:paraId="71A89A74" w14:textId="77777777" w:rsidR="005336F6" w:rsidRDefault="005336F6"/>
    <w:sectPr w:rsidR="00533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D5"/>
    <w:rsid w:val="003678CD"/>
    <w:rsid w:val="005336F6"/>
    <w:rsid w:val="00580824"/>
    <w:rsid w:val="006E74D5"/>
    <w:rsid w:val="00827FC9"/>
    <w:rsid w:val="00B4405F"/>
    <w:rsid w:val="00DA1A9B"/>
    <w:rsid w:val="00E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0B554"/>
  <w15:chartTrackingRefBased/>
  <w15:docId w15:val="{F7D54788-1558-4830-A7F4-80E19F97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4D5"/>
  </w:style>
  <w:style w:type="paragraph" w:styleId="Heading1">
    <w:name w:val="heading 1"/>
    <w:basedOn w:val="Normal"/>
    <w:next w:val="Normal"/>
    <w:link w:val="Heading1Char"/>
    <w:uiPriority w:val="9"/>
    <w:qFormat/>
    <w:rsid w:val="006E7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4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4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4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4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4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4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4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Goetz, Martin P [US] (MS)</dc:creator>
  <cp:keywords/>
  <dc:description/>
  <cp:lastModifiedBy>Goetz, Martin P [US] (MS)</cp:lastModifiedBy>
  <cp:revision>1</cp:revision>
  <dcterms:created xsi:type="dcterms:W3CDTF">2026-09-23T17:18:00Z</dcterms:created>
  <dcterms:modified xsi:type="dcterms:W3CDTF">2026-09-23T17:19:00Z</dcterms:modified>
</cp:coreProperties>
</file>