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D0E3D"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Supplementary Table S1. Pairwise BCH-adjusted comparisons of depression, anxiety, and stress across latent psychosocial work-environment profiles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6"/>
        <w:gridCol w:w="1894"/>
        <w:gridCol w:w="3708"/>
        <w:gridCol w:w="772"/>
      </w:tblGrid>
      <w:tr w:rsidR="009B658C" w:rsidRPr="00AE752F" w14:paraId="47B74A66" w14:textId="77777777" w:rsidTr="00464EEB">
        <w:trPr>
          <w:tblHeader/>
          <w:tblCellSpacing w:w="15" w:type="dxa"/>
        </w:trPr>
        <w:tc>
          <w:tcPr>
            <w:tcW w:w="0" w:type="auto"/>
            <w:vAlign w:val="center"/>
            <w:hideMark/>
          </w:tcPr>
          <w:p w14:paraId="70E82468"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Psychological outcome</w:t>
            </w:r>
          </w:p>
        </w:tc>
        <w:tc>
          <w:tcPr>
            <w:tcW w:w="0" w:type="auto"/>
            <w:vAlign w:val="center"/>
            <w:hideMark/>
          </w:tcPr>
          <w:p w14:paraId="14C9995A"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Profile comparison</w:t>
            </w:r>
          </w:p>
        </w:tc>
        <w:tc>
          <w:tcPr>
            <w:tcW w:w="0" w:type="auto"/>
            <w:vAlign w:val="center"/>
            <w:hideMark/>
          </w:tcPr>
          <w:p w14:paraId="150CD702"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BCH-adjusted mean difference (A − B)</w:t>
            </w:r>
          </w:p>
        </w:tc>
        <w:tc>
          <w:tcPr>
            <w:tcW w:w="0" w:type="auto"/>
            <w:vAlign w:val="center"/>
            <w:hideMark/>
          </w:tcPr>
          <w:p w14:paraId="28A11BE1"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p-value</w:t>
            </w:r>
          </w:p>
        </w:tc>
      </w:tr>
      <w:tr w:rsidR="009B658C" w:rsidRPr="00AE752F" w14:paraId="6F67B1B6" w14:textId="77777777" w:rsidTr="00464EEB">
        <w:trPr>
          <w:tblCellSpacing w:w="15" w:type="dxa"/>
        </w:trPr>
        <w:tc>
          <w:tcPr>
            <w:tcW w:w="0" w:type="auto"/>
            <w:vAlign w:val="center"/>
            <w:hideMark/>
          </w:tcPr>
          <w:p w14:paraId="5DAE05B7"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Depression</w:t>
            </w:r>
          </w:p>
        </w:tc>
        <w:tc>
          <w:tcPr>
            <w:tcW w:w="0" w:type="auto"/>
            <w:vAlign w:val="center"/>
            <w:hideMark/>
          </w:tcPr>
          <w:p w14:paraId="781E357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Profile 1 vs Profile 2</w:t>
            </w:r>
          </w:p>
        </w:tc>
        <w:tc>
          <w:tcPr>
            <w:tcW w:w="0" w:type="auto"/>
            <w:vAlign w:val="center"/>
            <w:hideMark/>
          </w:tcPr>
          <w:p w14:paraId="39F50279"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1.57</w:t>
            </w:r>
          </w:p>
        </w:tc>
        <w:tc>
          <w:tcPr>
            <w:tcW w:w="0" w:type="auto"/>
            <w:vAlign w:val="center"/>
            <w:hideMark/>
          </w:tcPr>
          <w:p w14:paraId="076CAE4F"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0.056</w:t>
            </w:r>
          </w:p>
        </w:tc>
      </w:tr>
      <w:tr w:rsidR="009B658C" w:rsidRPr="00AE752F" w14:paraId="199A33D1" w14:textId="77777777" w:rsidTr="00464EEB">
        <w:trPr>
          <w:tblCellSpacing w:w="15" w:type="dxa"/>
        </w:trPr>
        <w:tc>
          <w:tcPr>
            <w:tcW w:w="0" w:type="auto"/>
            <w:vAlign w:val="center"/>
            <w:hideMark/>
          </w:tcPr>
          <w:p w14:paraId="781988FA" w14:textId="77777777" w:rsidR="009B658C" w:rsidRPr="00AE752F" w:rsidRDefault="009B658C" w:rsidP="00AE752F">
            <w:pPr>
              <w:jc w:val="both"/>
              <w:rPr>
                <w:rFonts w:ascii="Times New Roman" w:hAnsi="Times New Roman" w:cs="Times New Roman"/>
              </w:rPr>
            </w:pPr>
          </w:p>
        </w:tc>
        <w:tc>
          <w:tcPr>
            <w:tcW w:w="0" w:type="auto"/>
            <w:vAlign w:val="center"/>
            <w:hideMark/>
          </w:tcPr>
          <w:p w14:paraId="06A8D463"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Profile 1 vs Profile 3</w:t>
            </w:r>
          </w:p>
        </w:tc>
        <w:tc>
          <w:tcPr>
            <w:tcW w:w="0" w:type="auto"/>
            <w:vAlign w:val="center"/>
            <w:hideMark/>
          </w:tcPr>
          <w:p w14:paraId="15E88D4B"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3.01</w:t>
            </w:r>
          </w:p>
        </w:tc>
        <w:tc>
          <w:tcPr>
            <w:tcW w:w="0" w:type="auto"/>
            <w:vAlign w:val="center"/>
            <w:hideMark/>
          </w:tcPr>
          <w:p w14:paraId="158139FC"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0.177</w:t>
            </w:r>
          </w:p>
        </w:tc>
      </w:tr>
      <w:tr w:rsidR="009B658C" w:rsidRPr="00AE752F" w14:paraId="250A4CD5" w14:textId="77777777" w:rsidTr="00464EEB">
        <w:trPr>
          <w:tblCellSpacing w:w="15" w:type="dxa"/>
        </w:trPr>
        <w:tc>
          <w:tcPr>
            <w:tcW w:w="0" w:type="auto"/>
            <w:vAlign w:val="center"/>
            <w:hideMark/>
          </w:tcPr>
          <w:p w14:paraId="4BC2A667" w14:textId="77777777" w:rsidR="009B658C" w:rsidRPr="00AE752F" w:rsidRDefault="009B658C" w:rsidP="00AE752F">
            <w:pPr>
              <w:jc w:val="both"/>
              <w:rPr>
                <w:rFonts w:ascii="Times New Roman" w:hAnsi="Times New Roman" w:cs="Times New Roman"/>
              </w:rPr>
            </w:pPr>
          </w:p>
        </w:tc>
        <w:tc>
          <w:tcPr>
            <w:tcW w:w="0" w:type="auto"/>
            <w:vAlign w:val="center"/>
            <w:hideMark/>
          </w:tcPr>
          <w:p w14:paraId="05769038"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Profile 2 vs Profile 3</w:t>
            </w:r>
          </w:p>
        </w:tc>
        <w:tc>
          <w:tcPr>
            <w:tcW w:w="0" w:type="auto"/>
            <w:vAlign w:val="center"/>
            <w:hideMark/>
          </w:tcPr>
          <w:p w14:paraId="30875CCE"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1.44</w:t>
            </w:r>
          </w:p>
        </w:tc>
        <w:tc>
          <w:tcPr>
            <w:tcW w:w="0" w:type="auto"/>
            <w:vAlign w:val="center"/>
            <w:hideMark/>
          </w:tcPr>
          <w:p w14:paraId="540027F9"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0.527</w:t>
            </w:r>
          </w:p>
        </w:tc>
      </w:tr>
      <w:tr w:rsidR="009B658C" w:rsidRPr="00AE752F" w14:paraId="0F1813CF" w14:textId="77777777" w:rsidTr="00464EEB">
        <w:trPr>
          <w:tblCellSpacing w:w="15" w:type="dxa"/>
        </w:trPr>
        <w:tc>
          <w:tcPr>
            <w:tcW w:w="0" w:type="auto"/>
            <w:vAlign w:val="center"/>
            <w:hideMark/>
          </w:tcPr>
          <w:p w14:paraId="173244E6"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Anxiety</w:t>
            </w:r>
          </w:p>
        </w:tc>
        <w:tc>
          <w:tcPr>
            <w:tcW w:w="0" w:type="auto"/>
            <w:vAlign w:val="center"/>
            <w:hideMark/>
          </w:tcPr>
          <w:p w14:paraId="7E89E3E6"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Profile 1 vs Profile 2</w:t>
            </w:r>
          </w:p>
        </w:tc>
        <w:tc>
          <w:tcPr>
            <w:tcW w:w="0" w:type="auto"/>
            <w:vAlign w:val="center"/>
            <w:hideMark/>
          </w:tcPr>
          <w:p w14:paraId="0AF8DF2D"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1.10</w:t>
            </w:r>
          </w:p>
        </w:tc>
        <w:tc>
          <w:tcPr>
            <w:tcW w:w="0" w:type="auto"/>
            <w:vAlign w:val="center"/>
            <w:hideMark/>
          </w:tcPr>
          <w:p w14:paraId="0896752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0.101</w:t>
            </w:r>
          </w:p>
        </w:tc>
      </w:tr>
      <w:tr w:rsidR="009B658C" w:rsidRPr="00AE752F" w14:paraId="0361E179" w14:textId="77777777" w:rsidTr="00464EEB">
        <w:trPr>
          <w:tblCellSpacing w:w="15" w:type="dxa"/>
        </w:trPr>
        <w:tc>
          <w:tcPr>
            <w:tcW w:w="0" w:type="auto"/>
            <w:vAlign w:val="center"/>
            <w:hideMark/>
          </w:tcPr>
          <w:p w14:paraId="29BCB51B" w14:textId="77777777" w:rsidR="009B658C" w:rsidRPr="00AE752F" w:rsidRDefault="009B658C" w:rsidP="00AE752F">
            <w:pPr>
              <w:jc w:val="both"/>
              <w:rPr>
                <w:rFonts w:ascii="Times New Roman" w:hAnsi="Times New Roman" w:cs="Times New Roman"/>
              </w:rPr>
            </w:pPr>
          </w:p>
        </w:tc>
        <w:tc>
          <w:tcPr>
            <w:tcW w:w="0" w:type="auto"/>
            <w:vAlign w:val="center"/>
            <w:hideMark/>
          </w:tcPr>
          <w:p w14:paraId="477C9C88"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Profile 1 vs Profile 3</w:t>
            </w:r>
          </w:p>
        </w:tc>
        <w:tc>
          <w:tcPr>
            <w:tcW w:w="0" w:type="auto"/>
            <w:vAlign w:val="center"/>
            <w:hideMark/>
          </w:tcPr>
          <w:p w14:paraId="128DF17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1.87</w:t>
            </w:r>
          </w:p>
        </w:tc>
        <w:tc>
          <w:tcPr>
            <w:tcW w:w="0" w:type="auto"/>
            <w:vAlign w:val="center"/>
            <w:hideMark/>
          </w:tcPr>
          <w:p w14:paraId="6A741BF8"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0.369</w:t>
            </w:r>
          </w:p>
        </w:tc>
      </w:tr>
      <w:tr w:rsidR="009B658C" w:rsidRPr="00AE752F" w14:paraId="40C4741E" w14:textId="77777777" w:rsidTr="00464EEB">
        <w:trPr>
          <w:tblCellSpacing w:w="15" w:type="dxa"/>
        </w:trPr>
        <w:tc>
          <w:tcPr>
            <w:tcW w:w="0" w:type="auto"/>
            <w:vAlign w:val="center"/>
            <w:hideMark/>
          </w:tcPr>
          <w:p w14:paraId="5D139368" w14:textId="77777777" w:rsidR="009B658C" w:rsidRPr="00AE752F" w:rsidRDefault="009B658C" w:rsidP="00AE752F">
            <w:pPr>
              <w:jc w:val="both"/>
              <w:rPr>
                <w:rFonts w:ascii="Times New Roman" w:hAnsi="Times New Roman" w:cs="Times New Roman"/>
              </w:rPr>
            </w:pPr>
          </w:p>
        </w:tc>
        <w:tc>
          <w:tcPr>
            <w:tcW w:w="0" w:type="auto"/>
            <w:vAlign w:val="center"/>
            <w:hideMark/>
          </w:tcPr>
          <w:p w14:paraId="530ADC5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Profile 2 vs Profile 3</w:t>
            </w:r>
          </w:p>
        </w:tc>
        <w:tc>
          <w:tcPr>
            <w:tcW w:w="0" w:type="auto"/>
            <w:vAlign w:val="center"/>
            <w:hideMark/>
          </w:tcPr>
          <w:p w14:paraId="62B2D99A"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0.77</w:t>
            </w:r>
          </w:p>
        </w:tc>
        <w:tc>
          <w:tcPr>
            <w:tcW w:w="0" w:type="auto"/>
            <w:vAlign w:val="center"/>
            <w:hideMark/>
          </w:tcPr>
          <w:p w14:paraId="0252E268"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0.715</w:t>
            </w:r>
          </w:p>
        </w:tc>
      </w:tr>
      <w:tr w:rsidR="009B658C" w:rsidRPr="00AE752F" w14:paraId="5B514D4E" w14:textId="77777777" w:rsidTr="00464EEB">
        <w:trPr>
          <w:tblCellSpacing w:w="15" w:type="dxa"/>
        </w:trPr>
        <w:tc>
          <w:tcPr>
            <w:tcW w:w="0" w:type="auto"/>
            <w:vAlign w:val="center"/>
            <w:hideMark/>
          </w:tcPr>
          <w:p w14:paraId="4BA76F8D"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Stress</w:t>
            </w:r>
          </w:p>
        </w:tc>
        <w:tc>
          <w:tcPr>
            <w:tcW w:w="0" w:type="auto"/>
            <w:vAlign w:val="center"/>
            <w:hideMark/>
          </w:tcPr>
          <w:p w14:paraId="716F5E18"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Profile 1 vs Profile 2</w:t>
            </w:r>
          </w:p>
        </w:tc>
        <w:tc>
          <w:tcPr>
            <w:tcW w:w="0" w:type="auto"/>
            <w:vAlign w:val="center"/>
            <w:hideMark/>
          </w:tcPr>
          <w:p w14:paraId="5879B1CF"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1.24</w:t>
            </w:r>
          </w:p>
        </w:tc>
        <w:tc>
          <w:tcPr>
            <w:tcW w:w="0" w:type="auto"/>
            <w:vAlign w:val="center"/>
            <w:hideMark/>
          </w:tcPr>
          <w:p w14:paraId="4FA72C0A"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0.115</w:t>
            </w:r>
          </w:p>
        </w:tc>
      </w:tr>
      <w:tr w:rsidR="009B658C" w:rsidRPr="00AE752F" w14:paraId="20207539" w14:textId="77777777" w:rsidTr="00464EEB">
        <w:trPr>
          <w:tblCellSpacing w:w="15" w:type="dxa"/>
        </w:trPr>
        <w:tc>
          <w:tcPr>
            <w:tcW w:w="0" w:type="auto"/>
            <w:vAlign w:val="center"/>
            <w:hideMark/>
          </w:tcPr>
          <w:p w14:paraId="590F82B9" w14:textId="77777777" w:rsidR="009B658C" w:rsidRPr="00AE752F" w:rsidRDefault="009B658C" w:rsidP="00AE752F">
            <w:pPr>
              <w:jc w:val="both"/>
              <w:rPr>
                <w:rFonts w:ascii="Times New Roman" w:hAnsi="Times New Roman" w:cs="Times New Roman"/>
              </w:rPr>
            </w:pPr>
          </w:p>
        </w:tc>
        <w:tc>
          <w:tcPr>
            <w:tcW w:w="0" w:type="auto"/>
            <w:vAlign w:val="center"/>
            <w:hideMark/>
          </w:tcPr>
          <w:p w14:paraId="4316E7CC"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Profile 1 vs Profile 3</w:t>
            </w:r>
          </w:p>
        </w:tc>
        <w:tc>
          <w:tcPr>
            <w:tcW w:w="0" w:type="auto"/>
            <w:vAlign w:val="center"/>
            <w:hideMark/>
          </w:tcPr>
          <w:p w14:paraId="60C748DC"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5.52</w:t>
            </w:r>
          </w:p>
        </w:tc>
        <w:tc>
          <w:tcPr>
            <w:tcW w:w="0" w:type="auto"/>
            <w:vAlign w:val="center"/>
            <w:hideMark/>
          </w:tcPr>
          <w:p w14:paraId="58431243"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0.011</w:t>
            </w:r>
          </w:p>
        </w:tc>
      </w:tr>
      <w:tr w:rsidR="009B658C" w:rsidRPr="00AE752F" w14:paraId="131C4EE0" w14:textId="77777777" w:rsidTr="00464EEB">
        <w:trPr>
          <w:tblCellSpacing w:w="15" w:type="dxa"/>
        </w:trPr>
        <w:tc>
          <w:tcPr>
            <w:tcW w:w="0" w:type="auto"/>
            <w:vAlign w:val="center"/>
            <w:hideMark/>
          </w:tcPr>
          <w:p w14:paraId="183DE03B" w14:textId="77777777" w:rsidR="009B658C" w:rsidRPr="00AE752F" w:rsidRDefault="009B658C" w:rsidP="00AE752F">
            <w:pPr>
              <w:jc w:val="both"/>
              <w:rPr>
                <w:rFonts w:ascii="Times New Roman" w:hAnsi="Times New Roman" w:cs="Times New Roman"/>
              </w:rPr>
            </w:pPr>
          </w:p>
        </w:tc>
        <w:tc>
          <w:tcPr>
            <w:tcW w:w="0" w:type="auto"/>
            <w:vAlign w:val="center"/>
            <w:hideMark/>
          </w:tcPr>
          <w:p w14:paraId="18CFE6B7"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Profile 2 vs Profile 3</w:t>
            </w:r>
          </w:p>
        </w:tc>
        <w:tc>
          <w:tcPr>
            <w:tcW w:w="0" w:type="auto"/>
            <w:vAlign w:val="center"/>
            <w:hideMark/>
          </w:tcPr>
          <w:p w14:paraId="7AD2C58E"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4.29</w:t>
            </w:r>
          </w:p>
        </w:tc>
        <w:tc>
          <w:tcPr>
            <w:tcW w:w="0" w:type="auto"/>
            <w:vAlign w:val="center"/>
            <w:hideMark/>
          </w:tcPr>
          <w:p w14:paraId="02F1D8F1"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0.052</w:t>
            </w:r>
          </w:p>
        </w:tc>
      </w:tr>
    </w:tbl>
    <w:p w14:paraId="400A9921"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Notes:</w:t>
      </w:r>
      <w:r w:rsidRPr="00AE752F">
        <w:rPr>
          <w:rFonts w:ascii="Times New Roman" w:hAnsi="Times New Roman" w:cs="Times New Roman"/>
        </w:rPr>
        <w:t xml:space="preserve"> BCH = </w:t>
      </w:r>
      <w:proofErr w:type="spellStart"/>
      <w:r w:rsidRPr="00AE752F">
        <w:rPr>
          <w:rFonts w:ascii="Times New Roman" w:hAnsi="Times New Roman" w:cs="Times New Roman"/>
        </w:rPr>
        <w:t>Bolck</w:t>
      </w:r>
      <w:proofErr w:type="spellEnd"/>
      <w:r w:rsidRPr="00AE752F">
        <w:rPr>
          <w:rFonts w:ascii="Times New Roman" w:hAnsi="Times New Roman" w:cs="Times New Roman"/>
        </w:rPr>
        <w:t>–Croon–</w:t>
      </w:r>
      <w:proofErr w:type="spellStart"/>
      <w:r w:rsidRPr="00AE752F">
        <w:rPr>
          <w:rFonts w:ascii="Times New Roman" w:hAnsi="Times New Roman" w:cs="Times New Roman"/>
        </w:rPr>
        <w:t>Hagenaars</w:t>
      </w:r>
      <w:proofErr w:type="spellEnd"/>
      <w:r w:rsidRPr="00AE752F">
        <w:rPr>
          <w:rFonts w:ascii="Times New Roman" w:hAnsi="Times New Roman" w:cs="Times New Roman"/>
        </w:rPr>
        <w:t>. Mean differences are expressed as the BCH-adjusted estimated mean for the first-listed profile minus that for the second-listed profile. Positive values therefore indicate a higher estimated DASS-21 score in the first-listed profile. Depression and anxiety analyses included 220 participants; stress analysis included 216 participants after correction and exclusion of observations with invalid or unresolved stress responses. Higher DASS-21 scores indicate greater psychological distress. The omnibus BCH tests are reported in Table 4. Pairwise p-values are those reported for the BCH-adjusted comparisons; no additional multiplicity adjustment should be stated unless such an adjustment was actually applied in the statistical procedure.</w:t>
      </w:r>
    </w:p>
    <w:p w14:paraId="1EABE818" w14:textId="77777777" w:rsidR="009B658C" w:rsidRPr="00AE752F" w:rsidRDefault="009B658C" w:rsidP="00AE752F">
      <w:pPr>
        <w:jc w:val="both"/>
        <w:rPr>
          <w:rFonts w:ascii="Times New Roman" w:hAnsi="Times New Roman" w:cs="Times New Roman"/>
          <w:b/>
          <w:bCs/>
        </w:rPr>
      </w:pPr>
    </w:p>
    <w:p w14:paraId="74B99A9D" w14:textId="77777777" w:rsidR="009B658C" w:rsidRPr="00AE752F" w:rsidRDefault="009B658C" w:rsidP="00AE752F">
      <w:pPr>
        <w:jc w:val="both"/>
        <w:rPr>
          <w:rFonts w:ascii="Times New Roman" w:hAnsi="Times New Roman" w:cs="Times New Roman"/>
          <w:b/>
          <w:bCs/>
        </w:rPr>
      </w:pPr>
    </w:p>
    <w:p w14:paraId="760D481D" w14:textId="77777777" w:rsidR="009B658C" w:rsidRPr="00AE752F" w:rsidRDefault="009B658C" w:rsidP="00AE752F">
      <w:pPr>
        <w:jc w:val="both"/>
        <w:rPr>
          <w:rFonts w:ascii="Times New Roman" w:hAnsi="Times New Roman" w:cs="Times New Roman"/>
          <w:b/>
          <w:bCs/>
        </w:rPr>
      </w:pPr>
    </w:p>
    <w:p w14:paraId="3891D633" w14:textId="77777777" w:rsidR="009B658C" w:rsidRPr="00AE752F" w:rsidRDefault="009B658C" w:rsidP="00AE752F">
      <w:pPr>
        <w:jc w:val="both"/>
        <w:rPr>
          <w:rFonts w:ascii="Times New Roman" w:hAnsi="Times New Roman" w:cs="Times New Roman"/>
          <w:b/>
          <w:bCs/>
        </w:rPr>
      </w:pPr>
    </w:p>
    <w:p w14:paraId="3C272F2A" w14:textId="77777777" w:rsidR="009B658C" w:rsidRPr="00AE752F" w:rsidRDefault="009B658C" w:rsidP="00AE752F">
      <w:pPr>
        <w:jc w:val="both"/>
        <w:rPr>
          <w:rFonts w:ascii="Times New Roman" w:hAnsi="Times New Roman" w:cs="Times New Roman"/>
          <w:b/>
          <w:bCs/>
        </w:rPr>
      </w:pPr>
    </w:p>
    <w:p w14:paraId="02AC20BD" w14:textId="77777777" w:rsidR="009B658C" w:rsidRPr="00AE752F" w:rsidRDefault="009B658C" w:rsidP="00AE752F">
      <w:pPr>
        <w:jc w:val="both"/>
        <w:rPr>
          <w:rFonts w:ascii="Times New Roman" w:hAnsi="Times New Roman" w:cs="Times New Roman"/>
          <w:b/>
          <w:bCs/>
        </w:rPr>
      </w:pPr>
    </w:p>
    <w:p w14:paraId="1E8548AA" w14:textId="77777777" w:rsidR="009B658C" w:rsidRPr="00AE752F" w:rsidRDefault="009B658C" w:rsidP="00AE752F">
      <w:pPr>
        <w:jc w:val="both"/>
        <w:rPr>
          <w:rFonts w:ascii="Times New Roman" w:hAnsi="Times New Roman" w:cs="Times New Roman"/>
          <w:b/>
          <w:bCs/>
        </w:rPr>
      </w:pPr>
    </w:p>
    <w:p w14:paraId="0D1C68DF" w14:textId="77777777" w:rsidR="00AE752F" w:rsidRDefault="00AE752F" w:rsidP="00AE752F">
      <w:pPr>
        <w:jc w:val="both"/>
        <w:rPr>
          <w:rFonts w:ascii="Times New Roman" w:hAnsi="Times New Roman" w:cs="Times New Roman"/>
          <w:b/>
          <w:bCs/>
        </w:rPr>
      </w:pPr>
    </w:p>
    <w:p w14:paraId="2F617B79" w14:textId="77777777" w:rsidR="00AE752F" w:rsidRDefault="00AE752F" w:rsidP="00AE752F">
      <w:pPr>
        <w:jc w:val="both"/>
        <w:rPr>
          <w:rFonts w:ascii="Times New Roman" w:hAnsi="Times New Roman" w:cs="Times New Roman"/>
          <w:b/>
          <w:bCs/>
        </w:rPr>
      </w:pPr>
    </w:p>
    <w:p w14:paraId="7B10736E" w14:textId="77777777" w:rsidR="00AE752F" w:rsidRDefault="00AE752F" w:rsidP="00AE752F">
      <w:pPr>
        <w:jc w:val="both"/>
        <w:rPr>
          <w:rFonts w:ascii="Times New Roman" w:hAnsi="Times New Roman" w:cs="Times New Roman"/>
          <w:b/>
          <w:bCs/>
        </w:rPr>
      </w:pPr>
    </w:p>
    <w:p w14:paraId="667B5A02" w14:textId="77777777" w:rsidR="00AE752F" w:rsidRDefault="00AE752F" w:rsidP="00AE752F">
      <w:pPr>
        <w:jc w:val="both"/>
        <w:rPr>
          <w:rFonts w:ascii="Times New Roman" w:hAnsi="Times New Roman" w:cs="Times New Roman"/>
          <w:b/>
          <w:bCs/>
        </w:rPr>
      </w:pPr>
    </w:p>
    <w:p w14:paraId="1D758ADD" w14:textId="41293FA4"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lastRenderedPageBreak/>
        <w:t>Supplementary Table S2. Adjusted multinomial predictors of latent psychosocial work-environment profile membership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87"/>
        <w:gridCol w:w="2474"/>
        <w:gridCol w:w="655"/>
        <w:gridCol w:w="2474"/>
        <w:gridCol w:w="670"/>
      </w:tblGrid>
      <w:tr w:rsidR="009B658C" w:rsidRPr="00AE752F" w14:paraId="0A6AB3DE" w14:textId="77777777" w:rsidTr="00464EEB">
        <w:trPr>
          <w:tblHeader/>
          <w:tblCellSpacing w:w="15" w:type="dxa"/>
        </w:trPr>
        <w:tc>
          <w:tcPr>
            <w:tcW w:w="0" w:type="auto"/>
            <w:vAlign w:val="center"/>
            <w:hideMark/>
          </w:tcPr>
          <w:p w14:paraId="415D13C2"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Predictor</w:t>
            </w:r>
          </w:p>
        </w:tc>
        <w:tc>
          <w:tcPr>
            <w:tcW w:w="0" w:type="auto"/>
            <w:vAlign w:val="center"/>
            <w:hideMark/>
          </w:tcPr>
          <w:p w14:paraId="2ACBD14B"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Profile 2 vs Profile 1 Adjusted OR (95% CI)</w:t>
            </w:r>
          </w:p>
        </w:tc>
        <w:tc>
          <w:tcPr>
            <w:tcW w:w="0" w:type="auto"/>
            <w:vAlign w:val="center"/>
            <w:hideMark/>
          </w:tcPr>
          <w:p w14:paraId="6828FF96"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p-value</w:t>
            </w:r>
          </w:p>
        </w:tc>
        <w:tc>
          <w:tcPr>
            <w:tcW w:w="0" w:type="auto"/>
            <w:vAlign w:val="center"/>
            <w:hideMark/>
          </w:tcPr>
          <w:p w14:paraId="07E2196D"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Profile 3 vs Profile 1 Adjusted OR (95% CI)</w:t>
            </w:r>
          </w:p>
        </w:tc>
        <w:tc>
          <w:tcPr>
            <w:tcW w:w="0" w:type="auto"/>
            <w:vAlign w:val="center"/>
            <w:hideMark/>
          </w:tcPr>
          <w:p w14:paraId="07F62EB6"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p-value</w:t>
            </w:r>
          </w:p>
        </w:tc>
      </w:tr>
      <w:tr w:rsidR="009B658C" w:rsidRPr="00AE752F" w14:paraId="208076E5" w14:textId="77777777" w:rsidTr="00464EEB">
        <w:trPr>
          <w:tblCellSpacing w:w="15" w:type="dxa"/>
        </w:trPr>
        <w:tc>
          <w:tcPr>
            <w:tcW w:w="0" w:type="auto"/>
            <w:vAlign w:val="center"/>
            <w:hideMark/>
          </w:tcPr>
          <w:p w14:paraId="3A830485"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Primary model</w:t>
            </w:r>
          </w:p>
        </w:tc>
        <w:tc>
          <w:tcPr>
            <w:tcW w:w="0" w:type="auto"/>
            <w:vAlign w:val="center"/>
            <w:hideMark/>
          </w:tcPr>
          <w:p w14:paraId="4F5136FC" w14:textId="77777777" w:rsidR="009B658C" w:rsidRPr="00AE752F" w:rsidRDefault="009B658C" w:rsidP="00AE752F">
            <w:pPr>
              <w:jc w:val="both"/>
              <w:rPr>
                <w:rFonts w:ascii="Times New Roman" w:hAnsi="Times New Roman" w:cs="Times New Roman"/>
              </w:rPr>
            </w:pPr>
          </w:p>
        </w:tc>
        <w:tc>
          <w:tcPr>
            <w:tcW w:w="0" w:type="auto"/>
            <w:vAlign w:val="center"/>
            <w:hideMark/>
          </w:tcPr>
          <w:p w14:paraId="79B74520" w14:textId="77777777" w:rsidR="009B658C" w:rsidRPr="00AE752F" w:rsidRDefault="009B658C" w:rsidP="00AE752F">
            <w:pPr>
              <w:jc w:val="both"/>
              <w:rPr>
                <w:rFonts w:ascii="Times New Roman" w:hAnsi="Times New Roman" w:cs="Times New Roman"/>
              </w:rPr>
            </w:pPr>
          </w:p>
        </w:tc>
        <w:tc>
          <w:tcPr>
            <w:tcW w:w="0" w:type="auto"/>
            <w:vAlign w:val="center"/>
            <w:hideMark/>
          </w:tcPr>
          <w:p w14:paraId="06E3C5D4" w14:textId="77777777" w:rsidR="009B658C" w:rsidRPr="00AE752F" w:rsidRDefault="009B658C" w:rsidP="00AE752F">
            <w:pPr>
              <w:jc w:val="both"/>
              <w:rPr>
                <w:rFonts w:ascii="Times New Roman" w:hAnsi="Times New Roman" w:cs="Times New Roman"/>
              </w:rPr>
            </w:pPr>
          </w:p>
        </w:tc>
        <w:tc>
          <w:tcPr>
            <w:tcW w:w="0" w:type="auto"/>
            <w:vAlign w:val="center"/>
            <w:hideMark/>
          </w:tcPr>
          <w:p w14:paraId="6B290A63" w14:textId="77777777" w:rsidR="009B658C" w:rsidRPr="00AE752F" w:rsidRDefault="009B658C" w:rsidP="00AE752F">
            <w:pPr>
              <w:jc w:val="both"/>
              <w:rPr>
                <w:rFonts w:ascii="Times New Roman" w:hAnsi="Times New Roman" w:cs="Times New Roman"/>
              </w:rPr>
            </w:pPr>
          </w:p>
        </w:tc>
      </w:tr>
      <w:tr w:rsidR="009B658C" w:rsidRPr="00AE752F" w14:paraId="575D1809" w14:textId="77777777" w:rsidTr="00464EEB">
        <w:trPr>
          <w:tblCellSpacing w:w="15" w:type="dxa"/>
        </w:trPr>
        <w:tc>
          <w:tcPr>
            <w:tcW w:w="0" w:type="auto"/>
            <w:vAlign w:val="center"/>
            <w:hideMark/>
          </w:tcPr>
          <w:p w14:paraId="7B5DFDA3"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Age, per 1-year increase</w:t>
            </w:r>
          </w:p>
        </w:tc>
        <w:tc>
          <w:tcPr>
            <w:tcW w:w="0" w:type="auto"/>
            <w:vAlign w:val="center"/>
            <w:hideMark/>
          </w:tcPr>
          <w:p w14:paraId="5FD85D3C"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0.96 (0.91–1.02)</w:t>
            </w:r>
          </w:p>
        </w:tc>
        <w:tc>
          <w:tcPr>
            <w:tcW w:w="0" w:type="auto"/>
            <w:vAlign w:val="center"/>
            <w:hideMark/>
          </w:tcPr>
          <w:p w14:paraId="0A7DACED"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0.156</w:t>
            </w:r>
          </w:p>
        </w:tc>
        <w:tc>
          <w:tcPr>
            <w:tcW w:w="0" w:type="auto"/>
            <w:vAlign w:val="center"/>
            <w:hideMark/>
          </w:tcPr>
          <w:p w14:paraId="125FC9AE"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1.04 (0.93–1.15)</w:t>
            </w:r>
          </w:p>
        </w:tc>
        <w:tc>
          <w:tcPr>
            <w:tcW w:w="0" w:type="auto"/>
            <w:vAlign w:val="center"/>
            <w:hideMark/>
          </w:tcPr>
          <w:p w14:paraId="7FC8D9EB"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0.515</w:t>
            </w:r>
          </w:p>
        </w:tc>
      </w:tr>
      <w:tr w:rsidR="009B658C" w:rsidRPr="00AE752F" w14:paraId="09E68A50" w14:textId="77777777" w:rsidTr="00464EEB">
        <w:trPr>
          <w:tblCellSpacing w:w="15" w:type="dxa"/>
        </w:trPr>
        <w:tc>
          <w:tcPr>
            <w:tcW w:w="0" w:type="auto"/>
            <w:vAlign w:val="center"/>
            <w:hideMark/>
          </w:tcPr>
          <w:p w14:paraId="2970014A"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Male vs female</w:t>
            </w:r>
          </w:p>
        </w:tc>
        <w:tc>
          <w:tcPr>
            <w:tcW w:w="0" w:type="auto"/>
            <w:vAlign w:val="center"/>
            <w:hideMark/>
          </w:tcPr>
          <w:p w14:paraId="48EE3C9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0.98 (0.45–2.14)</w:t>
            </w:r>
          </w:p>
        </w:tc>
        <w:tc>
          <w:tcPr>
            <w:tcW w:w="0" w:type="auto"/>
            <w:vAlign w:val="center"/>
            <w:hideMark/>
          </w:tcPr>
          <w:p w14:paraId="7696417E"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0.958</w:t>
            </w:r>
          </w:p>
        </w:tc>
        <w:tc>
          <w:tcPr>
            <w:tcW w:w="0" w:type="auto"/>
            <w:vAlign w:val="center"/>
            <w:hideMark/>
          </w:tcPr>
          <w:p w14:paraId="7D5B6F2A"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0.66 (0.15–2.90)</w:t>
            </w:r>
          </w:p>
        </w:tc>
        <w:tc>
          <w:tcPr>
            <w:tcW w:w="0" w:type="auto"/>
            <w:vAlign w:val="center"/>
            <w:hideMark/>
          </w:tcPr>
          <w:p w14:paraId="37C489C8"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0.578</w:t>
            </w:r>
          </w:p>
        </w:tc>
      </w:tr>
      <w:tr w:rsidR="009B658C" w:rsidRPr="00AE752F" w14:paraId="4C7238AA" w14:textId="77777777" w:rsidTr="00464EEB">
        <w:trPr>
          <w:tblCellSpacing w:w="15" w:type="dxa"/>
        </w:trPr>
        <w:tc>
          <w:tcPr>
            <w:tcW w:w="0" w:type="auto"/>
            <w:vAlign w:val="center"/>
            <w:hideMark/>
          </w:tcPr>
          <w:p w14:paraId="6C54CB91"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Night-shift category, per category increase</w:t>
            </w:r>
          </w:p>
        </w:tc>
        <w:tc>
          <w:tcPr>
            <w:tcW w:w="0" w:type="auto"/>
            <w:vAlign w:val="center"/>
            <w:hideMark/>
          </w:tcPr>
          <w:p w14:paraId="0C1275D6"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1.07 (0.71–1.62)</w:t>
            </w:r>
          </w:p>
        </w:tc>
        <w:tc>
          <w:tcPr>
            <w:tcW w:w="0" w:type="auto"/>
            <w:vAlign w:val="center"/>
            <w:hideMark/>
          </w:tcPr>
          <w:p w14:paraId="3B3F4578"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0.752</w:t>
            </w:r>
          </w:p>
        </w:tc>
        <w:tc>
          <w:tcPr>
            <w:tcW w:w="0" w:type="auto"/>
            <w:vAlign w:val="center"/>
            <w:hideMark/>
          </w:tcPr>
          <w:p w14:paraId="0558E55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0.41 (0.15–1.11)</w:t>
            </w:r>
          </w:p>
        </w:tc>
        <w:tc>
          <w:tcPr>
            <w:tcW w:w="0" w:type="auto"/>
            <w:vAlign w:val="center"/>
            <w:hideMark/>
          </w:tcPr>
          <w:p w14:paraId="3E61E3F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0.080</w:t>
            </w:r>
          </w:p>
        </w:tc>
      </w:tr>
      <w:tr w:rsidR="009B658C" w:rsidRPr="00AE752F" w14:paraId="6D86E143" w14:textId="77777777" w:rsidTr="00464EEB">
        <w:trPr>
          <w:tblCellSpacing w:w="15" w:type="dxa"/>
        </w:trPr>
        <w:tc>
          <w:tcPr>
            <w:tcW w:w="0" w:type="auto"/>
            <w:vAlign w:val="center"/>
            <w:hideMark/>
          </w:tcPr>
          <w:p w14:paraId="54F4C0BA"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Non-permanent vs permanent/formal employment</w:t>
            </w:r>
          </w:p>
        </w:tc>
        <w:tc>
          <w:tcPr>
            <w:tcW w:w="0" w:type="auto"/>
            <w:vAlign w:val="center"/>
            <w:hideMark/>
          </w:tcPr>
          <w:p w14:paraId="4C9279C9"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1.16 (0.55–2.45)</w:t>
            </w:r>
          </w:p>
        </w:tc>
        <w:tc>
          <w:tcPr>
            <w:tcW w:w="0" w:type="auto"/>
            <w:vAlign w:val="center"/>
            <w:hideMark/>
          </w:tcPr>
          <w:p w14:paraId="2A56E22C"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0.692</w:t>
            </w:r>
          </w:p>
        </w:tc>
        <w:tc>
          <w:tcPr>
            <w:tcW w:w="0" w:type="auto"/>
            <w:vAlign w:val="center"/>
            <w:hideMark/>
          </w:tcPr>
          <w:p w14:paraId="622F76C4"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2.51 (0.54–11.65)</w:t>
            </w:r>
          </w:p>
        </w:tc>
        <w:tc>
          <w:tcPr>
            <w:tcW w:w="0" w:type="auto"/>
            <w:vAlign w:val="center"/>
            <w:hideMark/>
          </w:tcPr>
          <w:p w14:paraId="51EC33AA"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0.239</w:t>
            </w:r>
          </w:p>
        </w:tc>
      </w:tr>
      <w:tr w:rsidR="009B658C" w:rsidRPr="00AE752F" w14:paraId="3DEF564E" w14:textId="77777777" w:rsidTr="00464EEB">
        <w:trPr>
          <w:tblCellSpacing w:w="15" w:type="dxa"/>
        </w:trPr>
        <w:tc>
          <w:tcPr>
            <w:tcW w:w="0" w:type="auto"/>
            <w:vAlign w:val="center"/>
            <w:hideMark/>
          </w:tcPr>
          <w:p w14:paraId="6A7CC5BE"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Sensitivity model: work experience replacing age</w:t>
            </w:r>
          </w:p>
        </w:tc>
        <w:tc>
          <w:tcPr>
            <w:tcW w:w="0" w:type="auto"/>
            <w:vAlign w:val="center"/>
            <w:hideMark/>
          </w:tcPr>
          <w:p w14:paraId="4FBAF459" w14:textId="77777777" w:rsidR="009B658C" w:rsidRPr="00AE752F" w:rsidRDefault="009B658C" w:rsidP="00AE752F">
            <w:pPr>
              <w:jc w:val="both"/>
              <w:rPr>
                <w:rFonts w:ascii="Times New Roman" w:hAnsi="Times New Roman" w:cs="Times New Roman"/>
              </w:rPr>
            </w:pPr>
          </w:p>
        </w:tc>
        <w:tc>
          <w:tcPr>
            <w:tcW w:w="0" w:type="auto"/>
            <w:vAlign w:val="center"/>
            <w:hideMark/>
          </w:tcPr>
          <w:p w14:paraId="523CCA81" w14:textId="77777777" w:rsidR="009B658C" w:rsidRPr="00AE752F" w:rsidRDefault="009B658C" w:rsidP="00AE752F">
            <w:pPr>
              <w:jc w:val="both"/>
              <w:rPr>
                <w:rFonts w:ascii="Times New Roman" w:hAnsi="Times New Roman" w:cs="Times New Roman"/>
              </w:rPr>
            </w:pPr>
          </w:p>
        </w:tc>
        <w:tc>
          <w:tcPr>
            <w:tcW w:w="0" w:type="auto"/>
            <w:vAlign w:val="center"/>
            <w:hideMark/>
          </w:tcPr>
          <w:p w14:paraId="01319E58" w14:textId="77777777" w:rsidR="009B658C" w:rsidRPr="00AE752F" w:rsidRDefault="009B658C" w:rsidP="00AE752F">
            <w:pPr>
              <w:jc w:val="both"/>
              <w:rPr>
                <w:rFonts w:ascii="Times New Roman" w:hAnsi="Times New Roman" w:cs="Times New Roman"/>
              </w:rPr>
            </w:pPr>
          </w:p>
        </w:tc>
        <w:tc>
          <w:tcPr>
            <w:tcW w:w="0" w:type="auto"/>
            <w:vAlign w:val="center"/>
            <w:hideMark/>
          </w:tcPr>
          <w:p w14:paraId="67944386" w14:textId="77777777" w:rsidR="009B658C" w:rsidRPr="00AE752F" w:rsidRDefault="009B658C" w:rsidP="00AE752F">
            <w:pPr>
              <w:jc w:val="both"/>
              <w:rPr>
                <w:rFonts w:ascii="Times New Roman" w:hAnsi="Times New Roman" w:cs="Times New Roman"/>
              </w:rPr>
            </w:pPr>
          </w:p>
        </w:tc>
      </w:tr>
      <w:tr w:rsidR="009B658C" w:rsidRPr="00AE752F" w14:paraId="320C0185" w14:textId="77777777" w:rsidTr="00464EEB">
        <w:trPr>
          <w:tblCellSpacing w:w="15" w:type="dxa"/>
        </w:trPr>
        <w:tc>
          <w:tcPr>
            <w:tcW w:w="0" w:type="auto"/>
            <w:vAlign w:val="center"/>
            <w:hideMark/>
          </w:tcPr>
          <w:p w14:paraId="21CEBF7C"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Work experience, per 1-year increase</w:t>
            </w:r>
          </w:p>
        </w:tc>
        <w:tc>
          <w:tcPr>
            <w:tcW w:w="0" w:type="auto"/>
            <w:vAlign w:val="center"/>
            <w:hideMark/>
          </w:tcPr>
          <w:p w14:paraId="1394C706"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0.97 (0.91–1.02)</w:t>
            </w:r>
          </w:p>
        </w:tc>
        <w:tc>
          <w:tcPr>
            <w:tcW w:w="0" w:type="auto"/>
            <w:vAlign w:val="center"/>
            <w:hideMark/>
          </w:tcPr>
          <w:p w14:paraId="4DA3F5E3"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0.228</w:t>
            </w:r>
          </w:p>
        </w:tc>
        <w:tc>
          <w:tcPr>
            <w:tcW w:w="0" w:type="auto"/>
            <w:vAlign w:val="center"/>
            <w:hideMark/>
          </w:tcPr>
          <w:p w14:paraId="261CF4F6"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1.05 (0.94–1.17)</w:t>
            </w:r>
          </w:p>
        </w:tc>
        <w:tc>
          <w:tcPr>
            <w:tcW w:w="0" w:type="auto"/>
            <w:vAlign w:val="center"/>
            <w:hideMark/>
          </w:tcPr>
          <w:p w14:paraId="3FEE3FA2"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0.363</w:t>
            </w:r>
          </w:p>
        </w:tc>
      </w:tr>
    </w:tbl>
    <w:p w14:paraId="11A312BA"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Notes:</w:t>
      </w:r>
      <w:r w:rsidRPr="00AE752F">
        <w:rPr>
          <w:rFonts w:ascii="Times New Roman" w:hAnsi="Times New Roman" w:cs="Times New Roman"/>
        </w:rPr>
        <w:t xml:space="preserve"> Profile 1 (managerial-support constrained) was the reference category. The primary multinomial logistic regression model included age, sex, night-shift category, and employment type. Night-shift category was modeled as an ordered variable (&lt;4, 5–7, and ≥8 shifts/month). Employment type was dichotomized as permanent/formal versus non-permanent (</w:t>
      </w:r>
      <w:proofErr w:type="spellStart"/>
      <w:r w:rsidRPr="00AE752F">
        <w:rPr>
          <w:rFonts w:ascii="Times New Roman" w:hAnsi="Times New Roman" w:cs="Times New Roman"/>
        </w:rPr>
        <w:t>Tarh</w:t>
      </w:r>
      <w:proofErr w:type="spellEnd"/>
      <w:r w:rsidRPr="00AE752F">
        <w:rPr>
          <w:rFonts w:ascii="Times New Roman" w:hAnsi="Times New Roman" w:cs="Times New Roman"/>
        </w:rPr>
        <w:t>/service or contractual). Work experience was examined in a separate sensitivity model replacing age because of substantial collinearity between age and work experience; the two variables were not entered simultaneously. ORs represent adjusted odds ratios. The relatively wide confidence intervals for Profile 3 reflect its small class size (n=13). No statistically significant predictor of profile membership was identified in the primary model at α=0.05.</w:t>
      </w:r>
    </w:p>
    <w:p w14:paraId="341D9351" w14:textId="77777777" w:rsidR="009B658C" w:rsidRPr="00AE752F" w:rsidRDefault="009B658C" w:rsidP="00AE752F">
      <w:pPr>
        <w:jc w:val="both"/>
        <w:rPr>
          <w:rFonts w:ascii="Times New Roman" w:hAnsi="Times New Roman" w:cs="Times New Roman"/>
          <w:b/>
          <w:bCs/>
        </w:rPr>
      </w:pPr>
    </w:p>
    <w:p w14:paraId="1279046B" w14:textId="77777777" w:rsidR="009B658C" w:rsidRPr="00AE752F" w:rsidRDefault="009B658C" w:rsidP="00AE752F">
      <w:pPr>
        <w:jc w:val="both"/>
        <w:rPr>
          <w:rFonts w:ascii="Times New Roman" w:hAnsi="Times New Roman" w:cs="Times New Roman"/>
          <w:b/>
          <w:bCs/>
        </w:rPr>
      </w:pPr>
    </w:p>
    <w:p w14:paraId="0EC3887D" w14:textId="77777777" w:rsidR="009B658C" w:rsidRPr="00AE752F" w:rsidRDefault="009B658C" w:rsidP="00AE752F">
      <w:pPr>
        <w:jc w:val="both"/>
        <w:rPr>
          <w:rFonts w:ascii="Times New Roman" w:hAnsi="Times New Roman" w:cs="Times New Roman"/>
          <w:b/>
          <w:bCs/>
        </w:rPr>
      </w:pPr>
    </w:p>
    <w:p w14:paraId="0B6B4DAD" w14:textId="77777777" w:rsidR="009B658C" w:rsidRPr="00AE752F" w:rsidRDefault="009B658C" w:rsidP="00AE752F">
      <w:pPr>
        <w:jc w:val="both"/>
        <w:rPr>
          <w:rFonts w:ascii="Times New Roman" w:hAnsi="Times New Roman" w:cs="Times New Roman"/>
          <w:b/>
          <w:bCs/>
        </w:rPr>
      </w:pPr>
    </w:p>
    <w:p w14:paraId="53C6702C" w14:textId="77777777" w:rsidR="009B658C" w:rsidRPr="00AE752F" w:rsidRDefault="009B658C" w:rsidP="00AE752F">
      <w:pPr>
        <w:jc w:val="both"/>
        <w:rPr>
          <w:rFonts w:ascii="Times New Roman" w:hAnsi="Times New Roman" w:cs="Times New Roman"/>
          <w:b/>
          <w:bCs/>
        </w:rPr>
      </w:pPr>
    </w:p>
    <w:p w14:paraId="2BBFAA7B" w14:textId="77777777" w:rsidR="009B658C" w:rsidRPr="00AE752F" w:rsidRDefault="009B658C" w:rsidP="00AE752F">
      <w:pPr>
        <w:jc w:val="both"/>
        <w:rPr>
          <w:rFonts w:ascii="Times New Roman" w:hAnsi="Times New Roman" w:cs="Times New Roman"/>
          <w:b/>
          <w:bCs/>
        </w:rPr>
      </w:pPr>
    </w:p>
    <w:p w14:paraId="4804A12F" w14:textId="77777777" w:rsidR="009B658C" w:rsidRPr="00AE752F" w:rsidRDefault="009B658C" w:rsidP="00AE752F">
      <w:pPr>
        <w:jc w:val="both"/>
        <w:rPr>
          <w:rFonts w:ascii="Times New Roman" w:hAnsi="Times New Roman" w:cs="Times New Roman"/>
          <w:b/>
          <w:bCs/>
        </w:rPr>
      </w:pPr>
    </w:p>
    <w:p w14:paraId="788DB906" w14:textId="77777777" w:rsidR="009B658C" w:rsidRPr="00AE752F" w:rsidRDefault="009B658C" w:rsidP="00AE752F">
      <w:pPr>
        <w:jc w:val="both"/>
        <w:rPr>
          <w:rFonts w:ascii="Times New Roman" w:hAnsi="Times New Roman" w:cs="Times New Roman"/>
          <w:b/>
          <w:bCs/>
        </w:rPr>
      </w:pPr>
    </w:p>
    <w:p w14:paraId="110FA1E5" w14:textId="77777777" w:rsidR="00AE752F" w:rsidRDefault="00AE752F" w:rsidP="00AE752F">
      <w:pPr>
        <w:jc w:val="both"/>
        <w:rPr>
          <w:rFonts w:ascii="Times New Roman" w:hAnsi="Times New Roman" w:cs="Times New Roman"/>
          <w:b/>
          <w:bCs/>
        </w:rPr>
      </w:pPr>
    </w:p>
    <w:p w14:paraId="03A7B24A" w14:textId="77777777" w:rsidR="00AE752F" w:rsidRDefault="00AE752F" w:rsidP="00AE752F">
      <w:pPr>
        <w:jc w:val="both"/>
        <w:rPr>
          <w:rFonts w:ascii="Times New Roman" w:hAnsi="Times New Roman" w:cs="Times New Roman"/>
          <w:b/>
          <w:bCs/>
        </w:rPr>
      </w:pPr>
    </w:p>
    <w:p w14:paraId="7E1DA488" w14:textId="1FC27FA5"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Supplementary Table S3. Sensitivity analyses of the latent profile structure and profile–psychological distress associations</w:t>
      </w:r>
    </w:p>
    <w:p w14:paraId="523E027F"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Panel A. Sensitivity analysis using HSE domain sum scores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29"/>
        <w:gridCol w:w="2217"/>
        <w:gridCol w:w="2514"/>
        <w:gridCol w:w="1600"/>
      </w:tblGrid>
      <w:tr w:rsidR="009B658C" w:rsidRPr="00AE752F" w14:paraId="3874B1B4" w14:textId="77777777" w:rsidTr="00464EEB">
        <w:trPr>
          <w:tblHeader/>
          <w:tblCellSpacing w:w="15" w:type="dxa"/>
        </w:trPr>
        <w:tc>
          <w:tcPr>
            <w:tcW w:w="0" w:type="auto"/>
            <w:vAlign w:val="center"/>
            <w:hideMark/>
          </w:tcPr>
          <w:p w14:paraId="2FF29D2D"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Characteristic</w:t>
            </w:r>
          </w:p>
        </w:tc>
        <w:tc>
          <w:tcPr>
            <w:tcW w:w="0" w:type="auto"/>
            <w:vAlign w:val="center"/>
            <w:hideMark/>
          </w:tcPr>
          <w:p w14:paraId="0984956D"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Profile 1: Managerial-support constrained</w:t>
            </w:r>
          </w:p>
        </w:tc>
        <w:tc>
          <w:tcPr>
            <w:tcW w:w="0" w:type="auto"/>
            <w:vAlign w:val="center"/>
            <w:hideMark/>
          </w:tcPr>
          <w:p w14:paraId="3E65346A"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Profile 2: Balanced/intermediate</w:t>
            </w:r>
          </w:p>
        </w:tc>
        <w:tc>
          <w:tcPr>
            <w:tcW w:w="0" w:type="auto"/>
            <w:vAlign w:val="center"/>
            <w:hideMark/>
          </w:tcPr>
          <w:p w14:paraId="4B989ABA"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Profile 3: Globally favorable</w:t>
            </w:r>
          </w:p>
        </w:tc>
      </w:tr>
      <w:tr w:rsidR="009B658C" w:rsidRPr="00AE752F" w14:paraId="2974FF1E" w14:textId="77777777" w:rsidTr="00464EEB">
        <w:trPr>
          <w:tblCellSpacing w:w="15" w:type="dxa"/>
        </w:trPr>
        <w:tc>
          <w:tcPr>
            <w:tcW w:w="0" w:type="auto"/>
            <w:vAlign w:val="center"/>
            <w:hideMark/>
          </w:tcPr>
          <w:p w14:paraId="6FD221F3"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Class size, n (%)</w:t>
            </w:r>
          </w:p>
        </w:tc>
        <w:tc>
          <w:tcPr>
            <w:tcW w:w="0" w:type="auto"/>
            <w:vAlign w:val="center"/>
            <w:hideMark/>
          </w:tcPr>
          <w:p w14:paraId="6B6D6621"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65 (29.5)</w:t>
            </w:r>
          </w:p>
        </w:tc>
        <w:tc>
          <w:tcPr>
            <w:tcW w:w="0" w:type="auto"/>
            <w:vAlign w:val="center"/>
            <w:hideMark/>
          </w:tcPr>
          <w:p w14:paraId="5EF3EDC2"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142 (64.5)</w:t>
            </w:r>
          </w:p>
        </w:tc>
        <w:tc>
          <w:tcPr>
            <w:tcW w:w="0" w:type="auto"/>
            <w:vAlign w:val="center"/>
            <w:hideMark/>
          </w:tcPr>
          <w:p w14:paraId="4EF5095C"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13 (5.9)</w:t>
            </w:r>
          </w:p>
        </w:tc>
      </w:tr>
      <w:tr w:rsidR="009B658C" w:rsidRPr="00AE752F" w14:paraId="3B87E57F" w14:textId="77777777" w:rsidTr="00464EEB">
        <w:trPr>
          <w:tblCellSpacing w:w="15" w:type="dxa"/>
        </w:trPr>
        <w:tc>
          <w:tcPr>
            <w:tcW w:w="0" w:type="auto"/>
            <w:vAlign w:val="center"/>
            <w:hideMark/>
          </w:tcPr>
          <w:p w14:paraId="086BDC92"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Entropy</w:t>
            </w:r>
          </w:p>
        </w:tc>
        <w:tc>
          <w:tcPr>
            <w:tcW w:w="0" w:type="auto"/>
            <w:vAlign w:val="center"/>
            <w:hideMark/>
          </w:tcPr>
          <w:p w14:paraId="2CF98922"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0.789</w:t>
            </w:r>
          </w:p>
        </w:tc>
        <w:tc>
          <w:tcPr>
            <w:tcW w:w="0" w:type="auto"/>
            <w:vAlign w:val="center"/>
            <w:hideMark/>
          </w:tcPr>
          <w:p w14:paraId="7C0EAAC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w:t>
            </w:r>
          </w:p>
        </w:tc>
        <w:tc>
          <w:tcPr>
            <w:tcW w:w="0" w:type="auto"/>
            <w:vAlign w:val="center"/>
            <w:hideMark/>
          </w:tcPr>
          <w:p w14:paraId="59B979F1"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w:t>
            </w:r>
          </w:p>
        </w:tc>
      </w:tr>
      <w:tr w:rsidR="009B658C" w:rsidRPr="00AE752F" w14:paraId="57033230" w14:textId="77777777" w:rsidTr="00464EEB">
        <w:trPr>
          <w:tblCellSpacing w:w="15" w:type="dxa"/>
        </w:trPr>
        <w:tc>
          <w:tcPr>
            <w:tcW w:w="0" w:type="auto"/>
            <w:vAlign w:val="center"/>
            <w:hideMark/>
          </w:tcPr>
          <w:p w14:paraId="677C15E5"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Assignment agreement with primary solution, adjusted Rand index</w:t>
            </w:r>
          </w:p>
        </w:tc>
        <w:tc>
          <w:tcPr>
            <w:tcW w:w="0" w:type="auto"/>
            <w:vAlign w:val="center"/>
            <w:hideMark/>
          </w:tcPr>
          <w:p w14:paraId="1E60ED73"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1.00</w:t>
            </w:r>
          </w:p>
        </w:tc>
        <w:tc>
          <w:tcPr>
            <w:tcW w:w="0" w:type="auto"/>
            <w:vAlign w:val="center"/>
            <w:hideMark/>
          </w:tcPr>
          <w:p w14:paraId="078226E7" w14:textId="77777777" w:rsidR="009B658C" w:rsidRPr="00AE752F" w:rsidRDefault="009B658C" w:rsidP="00AE752F">
            <w:pPr>
              <w:jc w:val="both"/>
              <w:rPr>
                <w:rFonts w:ascii="Times New Roman" w:hAnsi="Times New Roman" w:cs="Times New Roman"/>
              </w:rPr>
            </w:pPr>
          </w:p>
        </w:tc>
        <w:tc>
          <w:tcPr>
            <w:tcW w:w="0" w:type="auto"/>
            <w:vAlign w:val="center"/>
            <w:hideMark/>
          </w:tcPr>
          <w:p w14:paraId="271B2265" w14:textId="77777777" w:rsidR="009B658C" w:rsidRPr="00AE752F" w:rsidRDefault="009B658C" w:rsidP="00AE752F">
            <w:pPr>
              <w:jc w:val="both"/>
              <w:rPr>
                <w:rFonts w:ascii="Times New Roman" w:hAnsi="Times New Roman" w:cs="Times New Roman"/>
              </w:rPr>
            </w:pPr>
          </w:p>
        </w:tc>
      </w:tr>
    </w:tbl>
    <w:p w14:paraId="30A94FCD"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Interpretation:</w:t>
      </w:r>
      <w:r w:rsidRPr="00AE752F">
        <w:rPr>
          <w:rFonts w:ascii="Times New Roman" w:hAnsi="Times New Roman" w:cs="Times New Roman"/>
        </w:rPr>
        <w:t xml:space="preserve"> Re-estimation of the LPA using HSE domain sum scores reproduced the same three-profile structure, class proportions, and substantive profile configuration as the primary analysis based on domain mean scores. Complete agreement in profile assignment was observed (adjusted Rand index = 1.00).</w:t>
      </w:r>
    </w:p>
    <w:p w14:paraId="6A6748AE"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Panel B. Covariate-adjusted psychological distress across latent profiles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4"/>
        <w:gridCol w:w="1050"/>
        <w:gridCol w:w="1431"/>
        <w:gridCol w:w="1431"/>
        <w:gridCol w:w="1431"/>
        <w:gridCol w:w="1159"/>
        <w:gridCol w:w="654"/>
      </w:tblGrid>
      <w:tr w:rsidR="009B658C" w:rsidRPr="00AE752F" w14:paraId="0C9D40A4" w14:textId="77777777" w:rsidTr="00464EEB">
        <w:trPr>
          <w:tblHeader/>
          <w:tblCellSpacing w:w="15" w:type="dxa"/>
        </w:trPr>
        <w:tc>
          <w:tcPr>
            <w:tcW w:w="0" w:type="auto"/>
            <w:vAlign w:val="center"/>
            <w:hideMark/>
          </w:tcPr>
          <w:p w14:paraId="175C39EB"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Adjustment model</w:t>
            </w:r>
          </w:p>
        </w:tc>
        <w:tc>
          <w:tcPr>
            <w:tcW w:w="0" w:type="auto"/>
            <w:vAlign w:val="center"/>
            <w:hideMark/>
          </w:tcPr>
          <w:p w14:paraId="4826A5C4"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Outcome</w:t>
            </w:r>
          </w:p>
        </w:tc>
        <w:tc>
          <w:tcPr>
            <w:tcW w:w="0" w:type="auto"/>
            <w:vAlign w:val="center"/>
            <w:hideMark/>
          </w:tcPr>
          <w:p w14:paraId="0DB22F4A"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Profile 1 adjusted mean</w:t>
            </w:r>
          </w:p>
        </w:tc>
        <w:tc>
          <w:tcPr>
            <w:tcW w:w="0" w:type="auto"/>
            <w:vAlign w:val="center"/>
            <w:hideMark/>
          </w:tcPr>
          <w:p w14:paraId="07CCF09E"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Profile 2 adjusted mean</w:t>
            </w:r>
          </w:p>
        </w:tc>
        <w:tc>
          <w:tcPr>
            <w:tcW w:w="0" w:type="auto"/>
            <w:vAlign w:val="center"/>
            <w:hideMark/>
          </w:tcPr>
          <w:p w14:paraId="5C37A2DB"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Profile 3 adjusted mean</w:t>
            </w:r>
          </w:p>
        </w:tc>
        <w:tc>
          <w:tcPr>
            <w:tcW w:w="0" w:type="auto"/>
            <w:vAlign w:val="center"/>
            <w:hideMark/>
          </w:tcPr>
          <w:p w14:paraId="5D6F9402"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Omnibus F (df)</w:t>
            </w:r>
          </w:p>
        </w:tc>
        <w:tc>
          <w:tcPr>
            <w:tcW w:w="0" w:type="auto"/>
            <w:vAlign w:val="center"/>
            <w:hideMark/>
          </w:tcPr>
          <w:p w14:paraId="1C8DF283"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p-value</w:t>
            </w:r>
          </w:p>
        </w:tc>
      </w:tr>
      <w:tr w:rsidR="009B658C" w:rsidRPr="00AE752F" w14:paraId="05AD9FE0" w14:textId="77777777" w:rsidTr="00464EEB">
        <w:trPr>
          <w:tblCellSpacing w:w="15" w:type="dxa"/>
        </w:trPr>
        <w:tc>
          <w:tcPr>
            <w:tcW w:w="0" w:type="auto"/>
            <w:vAlign w:val="center"/>
            <w:hideMark/>
          </w:tcPr>
          <w:p w14:paraId="07C59E23"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Age + night-shift category</w:t>
            </w:r>
          </w:p>
        </w:tc>
        <w:tc>
          <w:tcPr>
            <w:tcW w:w="0" w:type="auto"/>
            <w:vAlign w:val="center"/>
            <w:hideMark/>
          </w:tcPr>
          <w:p w14:paraId="43504DED"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Depression</w:t>
            </w:r>
          </w:p>
        </w:tc>
        <w:tc>
          <w:tcPr>
            <w:tcW w:w="0" w:type="auto"/>
            <w:vAlign w:val="center"/>
            <w:hideMark/>
          </w:tcPr>
          <w:p w14:paraId="7ACA533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7.28</w:t>
            </w:r>
          </w:p>
        </w:tc>
        <w:tc>
          <w:tcPr>
            <w:tcW w:w="0" w:type="auto"/>
            <w:vAlign w:val="center"/>
            <w:hideMark/>
          </w:tcPr>
          <w:p w14:paraId="3EE64D53"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7.82</w:t>
            </w:r>
          </w:p>
        </w:tc>
        <w:tc>
          <w:tcPr>
            <w:tcW w:w="0" w:type="auto"/>
            <w:vAlign w:val="center"/>
            <w:hideMark/>
          </w:tcPr>
          <w:p w14:paraId="243150C8"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7.45</w:t>
            </w:r>
          </w:p>
        </w:tc>
        <w:tc>
          <w:tcPr>
            <w:tcW w:w="0" w:type="auto"/>
            <w:vAlign w:val="center"/>
            <w:hideMark/>
          </w:tcPr>
          <w:p w14:paraId="12F4C427"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0.45 (2,214)</w:t>
            </w:r>
          </w:p>
        </w:tc>
        <w:tc>
          <w:tcPr>
            <w:tcW w:w="0" w:type="auto"/>
            <w:vAlign w:val="center"/>
            <w:hideMark/>
          </w:tcPr>
          <w:p w14:paraId="5315C82F"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0.640</w:t>
            </w:r>
          </w:p>
        </w:tc>
      </w:tr>
      <w:tr w:rsidR="009B658C" w:rsidRPr="00AE752F" w14:paraId="670B7440" w14:textId="77777777" w:rsidTr="00464EEB">
        <w:trPr>
          <w:tblCellSpacing w:w="15" w:type="dxa"/>
        </w:trPr>
        <w:tc>
          <w:tcPr>
            <w:tcW w:w="0" w:type="auto"/>
            <w:vAlign w:val="center"/>
            <w:hideMark/>
          </w:tcPr>
          <w:p w14:paraId="70DAFDF5" w14:textId="77777777" w:rsidR="009B658C" w:rsidRPr="00AE752F" w:rsidRDefault="009B658C" w:rsidP="00AE752F">
            <w:pPr>
              <w:jc w:val="both"/>
              <w:rPr>
                <w:rFonts w:ascii="Times New Roman" w:hAnsi="Times New Roman" w:cs="Times New Roman"/>
              </w:rPr>
            </w:pPr>
          </w:p>
        </w:tc>
        <w:tc>
          <w:tcPr>
            <w:tcW w:w="0" w:type="auto"/>
            <w:vAlign w:val="center"/>
            <w:hideMark/>
          </w:tcPr>
          <w:p w14:paraId="1C4D98F1"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Anxiety</w:t>
            </w:r>
          </w:p>
        </w:tc>
        <w:tc>
          <w:tcPr>
            <w:tcW w:w="0" w:type="auto"/>
            <w:vAlign w:val="center"/>
            <w:hideMark/>
          </w:tcPr>
          <w:p w14:paraId="67F10F9E"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5.47</w:t>
            </w:r>
          </w:p>
        </w:tc>
        <w:tc>
          <w:tcPr>
            <w:tcW w:w="0" w:type="auto"/>
            <w:vAlign w:val="center"/>
            <w:hideMark/>
          </w:tcPr>
          <w:p w14:paraId="25F117D6"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5.85</w:t>
            </w:r>
          </w:p>
        </w:tc>
        <w:tc>
          <w:tcPr>
            <w:tcW w:w="0" w:type="auto"/>
            <w:vAlign w:val="center"/>
            <w:hideMark/>
          </w:tcPr>
          <w:p w14:paraId="2D2C34C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5.97</w:t>
            </w:r>
          </w:p>
        </w:tc>
        <w:tc>
          <w:tcPr>
            <w:tcW w:w="0" w:type="auto"/>
            <w:vAlign w:val="center"/>
            <w:hideMark/>
          </w:tcPr>
          <w:p w14:paraId="13F07295"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0.35 (2,214)</w:t>
            </w:r>
          </w:p>
        </w:tc>
        <w:tc>
          <w:tcPr>
            <w:tcW w:w="0" w:type="auto"/>
            <w:vAlign w:val="center"/>
            <w:hideMark/>
          </w:tcPr>
          <w:p w14:paraId="0A6886E3"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0.702</w:t>
            </w:r>
          </w:p>
        </w:tc>
      </w:tr>
      <w:tr w:rsidR="009B658C" w:rsidRPr="00AE752F" w14:paraId="2751AC61" w14:textId="77777777" w:rsidTr="00464EEB">
        <w:trPr>
          <w:tblCellSpacing w:w="15" w:type="dxa"/>
        </w:trPr>
        <w:tc>
          <w:tcPr>
            <w:tcW w:w="0" w:type="auto"/>
            <w:vAlign w:val="center"/>
            <w:hideMark/>
          </w:tcPr>
          <w:p w14:paraId="3D77A786" w14:textId="77777777" w:rsidR="009B658C" w:rsidRPr="00AE752F" w:rsidRDefault="009B658C" w:rsidP="00AE752F">
            <w:pPr>
              <w:jc w:val="both"/>
              <w:rPr>
                <w:rFonts w:ascii="Times New Roman" w:hAnsi="Times New Roman" w:cs="Times New Roman"/>
              </w:rPr>
            </w:pPr>
          </w:p>
        </w:tc>
        <w:tc>
          <w:tcPr>
            <w:tcW w:w="0" w:type="auto"/>
            <w:vAlign w:val="center"/>
            <w:hideMark/>
          </w:tcPr>
          <w:p w14:paraId="32628537"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Stress</w:t>
            </w:r>
          </w:p>
        </w:tc>
        <w:tc>
          <w:tcPr>
            <w:tcW w:w="0" w:type="auto"/>
            <w:vAlign w:val="center"/>
            <w:hideMark/>
          </w:tcPr>
          <w:p w14:paraId="089D580A"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9.86</w:t>
            </w:r>
          </w:p>
        </w:tc>
        <w:tc>
          <w:tcPr>
            <w:tcW w:w="0" w:type="auto"/>
            <w:vAlign w:val="center"/>
            <w:hideMark/>
          </w:tcPr>
          <w:p w14:paraId="17472EEF"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10.23</w:t>
            </w:r>
          </w:p>
        </w:tc>
        <w:tc>
          <w:tcPr>
            <w:tcW w:w="0" w:type="auto"/>
            <w:vAlign w:val="center"/>
            <w:hideMark/>
          </w:tcPr>
          <w:p w14:paraId="20E03C4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7.43</w:t>
            </w:r>
          </w:p>
        </w:tc>
        <w:tc>
          <w:tcPr>
            <w:tcW w:w="0" w:type="auto"/>
            <w:vAlign w:val="center"/>
            <w:hideMark/>
          </w:tcPr>
          <w:p w14:paraId="55742A48"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1.39 (2,210)</w:t>
            </w:r>
          </w:p>
        </w:tc>
        <w:tc>
          <w:tcPr>
            <w:tcW w:w="0" w:type="auto"/>
            <w:vAlign w:val="center"/>
            <w:hideMark/>
          </w:tcPr>
          <w:p w14:paraId="6486ED7C"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0.252</w:t>
            </w:r>
          </w:p>
        </w:tc>
      </w:tr>
      <w:tr w:rsidR="009B658C" w:rsidRPr="00AE752F" w14:paraId="797F3002" w14:textId="77777777" w:rsidTr="00464EEB">
        <w:trPr>
          <w:tblCellSpacing w:w="15" w:type="dxa"/>
        </w:trPr>
        <w:tc>
          <w:tcPr>
            <w:tcW w:w="0" w:type="auto"/>
            <w:vAlign w:val="center"/>
            <w:hideMark/>
          </w:tcPr>
          <w:p w14:paraId="034EC229"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Work experience + night-shift category</w:t>
            </w:r>
          </w:p>
        </w:tc>
        <w:tc>
          <w:tcPr>
            <w:tcW w:w="0" w:type="auto"/>
            <w:vAlign w:val="center"/>
            <w:hideMark/>
          </w:tcPr>
          <w:p w14:paraId="7F7B45DB"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Depression</w:t>
            </w:r>
          </w:p>
        </w:tc>
        <w:tc>
          <w:tcPr>
            <w:tcW w:w="0" w:type="auto"/>
            <w:vAlign w:val="center"/>
            <w:hideMark/>
          </w:tcPr>
          <w:p w14:paraId="3733CDC9"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7.27</w:t>
            </w:r>
          </w:p>
        </w:tc>
        <w:tc>
          <w:tcPr>
            <w:tcW w:w="0" w:type="auto"/>
            <w:vAlign w:val="center"/>
            <w:hideMark/>
          </w:tcPr>
          <w:p w14:paraId="596A5FBA"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7.82</w:t>
            </w:r>
          </w:p>
        </w:tc>
        <w:tc>
          <w:tcPr>
            <w:tcW w:w="0" w:type="auto"/>
            <w:vAlign w:val="center"/>
            <w:hideMark/>
          </w:tcPr>
          <w:p w14:paraId="60E735E4"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7.51</w:t>
            </w:r>
          </w:p>
        </w:tc>
        <w:tc>
          <w:tcPr>
            <w:tcW w:w="0" w:type="auto"/>
            <w:vAlign w:val="center"/>
            <w:hideMark/>
          </w:tcPr>
          <w:p w14:paraId="210B4512"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0.48 (2,214)</w:t>
            </w:r>
          </w:p>
        </w:tc>
        <w:tc>
          <w:tcPr>
            <w:tcW w:w="0" w:type="auto"/>
            <w:vAlign w:val="center"/>
            <w:hideMark/>
          </w:tcPr>
          <w:p w14:paraId="486583D4"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0.621</w:t>
            </w:r>
          </w:p>
        </w:tc>
      </w:tr>
      <w:tr w:rsidR="009B658C" w:rsidRPr="00AE752F" w14:paraId="76ED55F2" w14:textId="77777777" w:rsidTr="00464EEB">
        <w:trPr>
          <w:tblCellSpacing w:w="15" w:type="dxa"/>
        </w:trPr>
        <w:tc>
          <w:tcPr>
            <w:tcW w:w="0" w:type="auto"/>
            <w:vAlign w:val="center"/>
            <w:hideMark/>
          </w:tcPr>
          <w:p w14:paraId="1F61AE52" w14:textId="77777777" w:rsidR="009B658C" w:rsidRPr="00AE752F" w:rsidRDefault="009B658C" w:rsidP="00AE752F">
            <w:pPr>
              <w:jc w:val="both"/>
              <w:rPr>
                <w:rFonts w:ascii="Times New Roman" w:hAnsi="Times New Roman" w:cs="Times New Roman"/>
              </w:rPr>
            </w:pPr>
          </w:p>
        </w:tc>
        <w:tc>
          <w:tcPr>
            <w:tcW w:w="0" w:type="auto"/>
            <w:vAlign w:val="center"/>
            <w:hideMark/>
          </w:tcPr>
          <w:p w14:paraId="0169415B"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Anxiety</w:t>
            </w:r>
          </w:p>
        </w:tc>
        <w:tc>
          <w:tcPr>
            <w:tcW w:w="0" w:type="auto"/>
            <w:vAlign w:val="center"/>
            <w:hideMark/>
          </w:tcPr>
          <w:p w14:paraId="3DFCF11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5.47</w:t>
            </w:r>
          </w:p>
        </w:tc>
        <w:tc>
          <w:tcPr>
            <w:tcW w:w="0" w:type="auto"/>
            <w:vAlign w:val="center"/>
            <w:hideMark/>
          </w:tcPr>
          <w:p w14:paraId="2BB8C4B6"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5.85</w:t>
            </w:r>
          </w:p>
        </w:tc>
        <w:tc>
          <w:tcPr>
            <w:tcW w:w="0" w:type="auto"/>
            <w:vAlign w:val="center"/>
            <w:hideMark/>
          </w:tcPr>
          <w:p w14:paraId="6A5F4D83"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6.00</w:t>
            </w:r>
          </w:p>
        </w:tc>
        <w:tc>
          <w:tcPr>
            <w:tcW w:w="0" w:type="auto"/>
            <w:vAlign w:val="center"/>
            <w:hideMark/>
          </w:tcPr>
          <w:p w14:paraId="652D7ACC"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0.37 (2,214)</w:t>
            </w:r>
          </w:p>
        </w:tc>
        <w:tc>
          <w:tcPr>
            <w:tcW w:w="0" w:type="auto"/>
            <w:vAlign w:val="center"/>
            <w:hideMark/>
          </w:tcPr>
          <w:p w14:paraId="1CCCC6A4"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0.693</w:t>
            </w:r>
          </w:p>
        </w:tc>
      </w:tr>
      <w:tr w:rsidR="009B658C" w:rsidRPr="00AE752F" w14:paraId="20CD7749" w14:textId="77777777" w:rsidTr="00464EEB">
        <w:trPr>
          <w:tblCellSpacing w:w="15" w:type="dxa"/>
        </w:trPr>
        <w:tc>
          <w:tcPr>
            <w:tcW w:w="0" w:type="auto"/>
            <w:vAlign w:val="center"/>
            <w:hideMark/>
          </w:tcPr>
          <w:p w14:paraId="0A0712FD" w14:textId="77777777" w:rsidR="009B658C" w:rsidRPr="00AE752F" w:rsidRDefault="009B658C" w:rsidP="00AE752F">
            <w:pPr>
              <w:jc w:val="both"/>
              <w:rPr>
                <w:rFonts w:ascii="Times New Roman" w:hAnsi="Times New Roman" w:cs="Times New Roman"/>
              </w:rPr>
            </w:pPr>
          </w:p>
        </w:tc>
        <w:tc>
          <w:tcPr>
            <w:tcW w:w="0" w:type="auto"/>
            <w:vAlign w:val="center"/>
            <w:hideMark/>
          </w:tcPr>
          <w:p w14:paraId="4C7020F1"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Stress</w:t>
            </w:r>
          </w:p>
        </w:tc>
        <w:tc>
          <w:tcPr>
            <w:tcW w:w="0" w:type="auto"/>
            <w:vAlign w:val="center"/>
            <w:hideMark/>
          </w:tcPr>
          <w:p w14:paraId="04AC9DC3"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9.85</w:t>
            </w:r>
          </w:p>
        </w:tc>
        <w:tc>
          <w:tcPr>
            <w:tcW w:w="0" w:type="auto"/>
            <w:vAlign w:val="center"/>
            <w:hideMark/>
          </w:tcPr>
          <w:p w14:paraId="6D2CFE01"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10.23</w:t>
            </w:r>
          </w:p>
        </w:tc>
        <w:tc>
          <w:tcPr>
            <w:tcW w:w="0" w:type="auto"/>
            <w:vAlign w:val="center"/>
            <w:hideMark/>
          </w:tcPr>
          <w:p w14:paraId="72196718"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7.47</w:t>
            </w:r>
          </w:p>
        </w:tc>
        <w:tc>
          <w:tcPr>
            <w:tcW w:w="0" w:type="auto"/>
            <w:vAlign w:val="center"/>
            <w:hideMark/>
          </w:tcPr>
          <w:p w14:paraId="5394F1F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1.36 (2,210)</w:t>
            </w:r>
          </w:p>
        </w:tc>
        <w:tc>
          <w:tcPr>
            <w:tcW w:w="0" w:type="auto"/>
            <w:vAlign w:val="center"/>
            <w:hideMark/>
          </w:tcPr>
          <w:p w14:paraId="14126586"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0.259</w:t>
            </w:r>
          </w:p>
        </w:tc>
      </w:tr>
    </w:tbl>
    <w:p w14:paraId="0565E871"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Notes:</w:t>
      </w:r>
      <w:r w:rsidRPr="00AE752F">
        <w:rPr>
          <w:rFonts w:ascii="Times New Roman" w:hAnsi="Times New Roman" w:cs="Times New Roman"/>
        </w:rPr>
        <w:t xml:space="preserve"> Adjusted means are regression-standardized predicted DASS-21 scores on the original 0–21 subscale scale. Profile 1 was used as the descriptive reference profile. The stress analyses included 216 participants after correction and exclusion of observations with invalid or unresolved stress responses. Age and work experience were not entered simultaneously because of substantial collinearity (VIF ≈20). Night-shift category was treated categorically. These analyses were prespecified as secondary sensitivity analyses and were not used to redefine the primary latent profile solution.</w:t>
      </w:r>
    </w:p>
    <w:p w14:paraId="4F6C4D3E" w14:textId="77777777" w:rsidR="009B658C" w:rsidRPr="00AE752F" w:rsidRDefault="009B658C" w:rsidP="00AE752F">
      <w:pPr>
        <w:jc w:val="both"/>
        <w:rPr>
          <w:rFonts w:ascii="Times New Roman" w:hAnsi="Times New Roman" w:cs="Times New Roman"/>
          <w:b/>
          <w:bCs/>
        </w:rPr>
      </w:pPr>
    </w:p>
    <w:p w14:paraId="02C92325" w14:textId="77777777" w:rsidR="009B658C" w:rsidRPr="00AE752F" w:rsidRDefault="009B658C" w:rsidP="00AE752F">
      <w:pPr>
        <w:jc w:val="both"/>
        <w:rPr>
          <w:rFonts w:ascii="Times New Roman" w:hAnsi="Times New Roman" w:cs="Times New Roman"/>
          <w:b/>
          <w:bCs/>
        </w:rPr>
      </w:pPr>
    </w:p>
    <w:p w14:paraId="73B0B40F" w14:textId="77777777" w:rsidR="009B658C" w:rsidRPr="00AE752F" w:rsidRDefault="009B658C" w:rsidP="00AE752F">
      <w:pPr>
        <w:jc w:val="both"/>
        <w:rPr>
          <w:rFonts w:ascii="Times New Roman" w:hAnsi="Times New Roman" w:cs="Times New Roman"/>
          <w:b/>
          <w:bCs/>
        </w:rPr>
      </w:pPr>
    </w:p>
    <w:p w14:paraId="45CE3BE7" w14:textId="77777777" w:rsidR="009B658C" w:rsidRPr="00AE752F" w:rsidRDefault="009B658C" w:rsidP="00AE752F">
      <w:pPr>
        <w:jc w:val="both"/>
        <w:rPr>
          <w:rFonts w:ascii="Times New Roman" w:hAnsi="Times New Roman" w:cs="Times New Roman"/>
          <w:b/>
          <w:bCs/>
        </w:rPr>
      </w:pPr>
    </w:p>
    <w:p w14:paraId="3192DE04" w14:textId="5CF889E0"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Supplementary Table S4. Detailed descriptive statistics and reliability coefficients for the seven HSE psychosocial work-environment domains (N=220)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0"/>
        <w:gridCol w:w="817"/>
        <w:gridCol w:w="810"/>
        <w:gridCol w:w="1091"/>
        <w:gridCol w:w="776"/>
        <w:gridCol w:w="953"/>
        <w:gridCol w:w="1222"/>
        <w:gridCol w:w="2191"/>
      </w:tblGrid>
      <w:tr w:rsidR="009B658C" w:rsidRPr="00AE752F" w14:paraId="41C5B434" w14:textId="77777777" w:rsidTr="00464EEB">
        <w:trPr>
          <w:tblHeader/>
          <w:tblCellSpacing w:w="15" w:type="dxa"/>
        </w:trPr>
        <w:tc>
          <w:tcPr>
            <w:tcW w:w="0" w:type="auto"/>
            <w:vAlign w:val="center"/>
            <w:hideMark/>
          </w:tcPr>
          <w:p w14:paraId="6A5C044F"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HSE domain</w:t>
            </w:r>
          </w:p>
        </w:tc>
        <w:tc>
          <w:tcPr>
            <w:tcW w:w="0" w:type="auto"/>
            <w:vAlign w:val="center"/>
            <w:hideMark/>
          </w:tcPr>
          <w:p w14:paraId="671E4821"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No. of items</w:t>
            </w:r>
          </w:p>
        </w:tc>
        <w:tc>
          <w:tcPr>
            <w:tcW w:w="0" w:type="auto"/>
            <w:vAlign w:val="center"/>
            <w:hideMark/>
          </w:tcPr>
          <w:p w14:paraId="0FC1F661"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Mean ± SD</w:t>
            </w:r>
          </w:p>
        </w:tc>
        <w:tc>
          <w:tcPr>
            <w:tcW w:w="0" w:type="auto"/>
            <w:vAlign w:val="center"/>
            <w:hideMark/>
          </w:tcPr>
          <w:p w14:paraId="1F15994B"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Median (IQR)</w:t>
            </w:r>
          </w:p>
        </w:tc>
        <w:tc>
          <w:tcPr>
            <w:tcW w:w="0" w:type="auto"/>
            <w:vAlign w:val="center"/>
            <w:hideMark/>
          </w:tcPr>
          <w:p w14:paraId="1AA6929D"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Range</w:t>
            </w:r>
          </w:p>
        </w:tc>
        <w:tc>
          <w:tcPr>
            <w:tcW w:w="0" w:type="auto"/>
            <w:vAlign w:val="center"/>
            <w:hideMark/>
          </w:tcPr>
          <w:p w14:paraId="035345A4"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Skewness</w:t>
            </w:r>
          </w:p>
        </w:tc>
        <w:tc>
          <w:tcPr>
            <w:tcW w:w="0" w:type="auto"/>
            <w:vAlign w:val="center"/>
            <w:hideMark/>
          </w:tcPr>
          <w:p w14:paraId="2CA34553"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Cronbach’s α</w:t>
            </w:r>
          </w:p>
        </w:tc>
        <w:tc>
          <w:tcPr>
            <w:tcW w:w="0" w:type="auto"/>
            <w:vAlign w:val="center"/>
            <w:hideMark/>
          </w:tcPr>
          <w:p w14:paraId="0EA74318" w14:textId="77777777" w:rsidR="009B658C" w:rsidRPr="00AE752F" w:rsidRDefault="009B658C" w:rsidP="00AE752F">
            <w:pPr>
              <w:jc w:val="both"/>
              <w:rPr>
                <w:rFonts w:ascii="Times New Roman" w:hAnsi="Times New Roman" w:cs="Times New Roman"/>
                <w:b/>
                <w:bCs/>
              </w:rPr>
            </w:pPr>
            <w:r w:rsidRPr="00AE752F">
              <w:rPr>
                <w:rFonts w:ascii="Times New Roman" w:hAnsi="Times New Roman" w:cs="Times New Roman"/>
                <w:b/>
                <w:bCs/>
              </w:rPr>
              <w:t>Corrected item–total correlation range</w:t>
            </w:r>
          </w:p>
        </w:tc>
      </w:tr>
      <w:tr w:rsidR="009B658C" w:rsidRPr="00AE752F" w14:paraId="7B13E3E0" w14:textId="77777777" w:rsidTr="00464EEB">
        <w:trPr>
          <w:tblCellSpacing w:w="15" w:type="dxa"/>
        </w:trPr>
        <w:tc>
          <w:tcPr>
            <w:tcW w:w="0" w:type="auto"/>
            <w:vAlign w:val="center"/>
            <w:hideMark/>
          </w:tcPr>
          <w:p w14:paraId="589F097A"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Demands</w:t>
            </w:r>
          </w:p>
        </w:tc>
        <w:tc>
          <w:tcPr>
            <w:tcW w:w="0" w:type="auto"/>
            <w:vAlign w:val="center"/>
            <w:hideMark/>
          </w:tcPr>
          <w:p w14:paraId="683B7E4F"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8</w:t>
            </w:r>
          </w:p>
        </w:tc>
        <w:tc>
          <w:tcPr>
            <w:tcW w:w="0" w:type="auto"/>
            <w:vAlign w:val="center"/>
            <w:hideMark/>
          </w:tcPr>
          <w:p w14:paraId="4D69999B"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2.45 ± 0.66</w:t>
            </w:r>
          </w:p>
        </w:tc>
        <w:tc>
          <w:tcPr>
            <w:tcW w:w="0" w:type="auto"/>
            <w:vAlign w:val="center"/>
            <w:hideMark/>
          </w:tcPr>
          <w:p w14:paraId="6736A147"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2.44 (2.00–2.88)</w:t>
            </w:r>
          </w:p>
        </w:tc>
        <w:tc>
          <w:tcPr>
            <w:tcW w:w="0" w:type="auto"/>
            <w:vAlign w:val="center"/>
            <w:hideMark/>
          </w:tcPr>
          <w:p w14:paraId="35D6160F"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1.00–4.38</w:t>
            </w:r>
          </w:p>
        </w:tc>
        <w:tc>
          <w:tcPr>
            <w:tcW w:w="0" w:type="auto"/>
            <w:vAlign w:val="center"/>
            <w:hideMark/>
          </w:tcPr>
          <w:p w14:paraId="7118FB3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0.17</w:t>
            </w:r>
          </w:p>
        </w:tc>
        <w:tc>
          <w:tcPr>
            <w:tcW w:w="0" w:type="auto"/>
            <w:vAlign w:val="center"/>
            <w:hideMark/>
          </w:tcPr>
          <w:p w14:paraId="6669540D"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0.70</w:t>
            </w:r>
          </w:p>
        </w:tc>
        <w:tc>
          <w:tcPr>
            <w:tcW w:w="0" w:type="auto"/>
            <w:vAlign w:val="center"/>
            <w:hideMark/>
          </w:tcPr>
          <w:p w14:paraId="71CA5B0D"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0.230–0.616</w:t>
            </w:r>
          </w:p>
        </w:tc>
      </w:tr>
      <w:tr w:rsidR="009B658C" w:rsidRPr="00AE752F" w14:paraId="44752B47" w14:textId="77777777" w:rsidTr="00464EEB">
        <w:trPr>
          <w:tblCellSpacing w:w="15" w:type="dxa"/>
        </w:trPr>
        <w:tc>
          <w:tcPr>
            <w:tcW w:w="0" w:type="auto"/>
            <w:vAlign w:val="center"/>
            <w:hideMark/>
          </w:tcPr>
          <w:p w14:paraId="451A06C7"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Control</w:t>
            </w:r>
          </w:p>
        </w:tc>
        <w:tc>
          <w:tcPr>
            <w:tcW w:w="0" w:type="auto"/>
            <w:vAlign w:val="center"/>
            <w:hideMark/>
          </w:tcPr>
          <w:p w14:paraId="1282EA9F"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6</w:t>
            </w:r>
          </w:p>
        </w:tc>
        <w:tc>
          <w:tcPr>
            <w:tcW w:w="0" w:type="auto"/>
            <w:vAlign w:val="center"/>
            <w:hideMark/>
          </w:tcPr>
          <w:p w14:paraId="436F7F92"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2.79 ± 0.64</w:t>
            </w:r>
          </w:p>
        </w:tc>
        <w:tc>
          <w:tcPr>
            <w:tcW w:w="0" w:type="auto"/>
            <w:vAlign w:val="center"/>
            <w:hideMark/>
          </w:tcPr>
          <w:p w14:paraId="277DEB84"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2.75 (2.33–3.17)</w:t>
            </w:r>
          </w:p>
        </w:tc>
        <w:tc>
          <w:tcPr>
            <w:tcW w:w="0" w:type="auto"/>
            <w:vAlign w:val="center"/>
            <w:hideMark/>
          </w:tcPr>
          <w:p w14:paraId="24C0FAE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1.00–4.83</w:t>
            </w:r>
          </w:p>
        </w:tc>
        <w:tc>
          <w:tcPr>
            <w:tcW w:w="0" w:type="auto"/>
            <w:vAlign w:val="center"/>
            <w:hideMark/>
          </w:tcPr>
          <w:p w14:paraId="1A6527A3"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0.05</w:t>
            </w:r>
          </w:p>
        </w:tc>
        <w:tc>
          <w:tcPr>
            <w:tcW w:w="0" w:type="auto"/>
            <w:vAlign w:val="center"/>
            <w:hideMark/>
          </w:tcPr>
          <w:p w14:paraId="35AE5DE6" w14:textId="5B61E9C7" w:rsidR="009B658C" w:rsidRPr="00AE752F" w:rsidRDefault="009B658C" w:rsidP="00AE752F">
            <w:pPr>
              <w:jc w:val="both"/>
              <w:rPr>
                <w:rFonts w:ascii="Times New Roman" w:hAnsi="Times New Roman" w:cs="Times New Roman"/>
              </w:rPr>
            </w:pPr>
            <w:r w:rsidRPr="00AE752F">
              <w:rPr>
                <w:rFonts w:ascii="Times New Roman" w:hAnsi="Times New Roman" w:cs="Times New Roman"/>
              </w:rPr>
              <w:t>0.</w:t>
            </w:r>
            <w:r w:rsidR="00B9427C" w:rsidRPr="00AE752F">
              <w:rPr>
                <w:rFonts w:ascii="Times New Roman" w:hAnsi="Times New Roman" w:cs="Times New Roman"/>
              </w:rPr>
              <w:t>56</w:t>
            </w:r>
          </w:p>
        </w:tc>
        <w:tc>
          <w:tcPr>
            <w:tcW w:w="0" w:type="auto"/>
            <w:vAlign w:val="center"/>
            <w:hideMark/>
          </w:tcPr>
          <w:p w14:paraId="7D55178B"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−0.078–0.590</w:t>
            </w:r>
          </w:p>
        </w:tc>
      </w:tr>
      <w:tr w:rsidR="009B658C" w:rsidRPr="00AE752F" w14:paraId="767E9ACF" w14:textId="77777777" w:rsidTr="00464EEB">
        <w:trPr>
          <w:tblCellSpacing w:w="15" w:type="dxa"/>
        </w:trPr>
        <w:tc>
          <w:tcPr>
            <w:tcW w:w="0" w:type="auto"/>
            <w:vAlign w:val="center"/>
            <w:hideMark/>
          </w:tcPr>
          <w:p w14:paraId="5E0A1F54"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Manager support</w:t>
            </w:r>
          </w:p>
        </w:tc>
        <w:tc>
          <w:tcPr>
            <w:tcW w:w="0" w:type="auto"/>
            <w:vAlign w:val="center"/>
            <w:hideMark/>
          </w:tcPr>
          <w:p w14:paraId="4560BFDE"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5</w:t>
            </w:r>
          </w:p>
        </w:tc>
        <w:tc>
          <w:tcPr>
            <w:tcW w:w="0" w:type="auto"/>
            <w:vAlign w:val="center"/>
            <w:hideMark/>
          </w:tcPr>
          <w:p w14:paraId="2BAD8622"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2.45 ± 0.77</w:t>
            </w:r>
          </w:p>
        </w:tc>
        <w:tc>
          <w:tcPr>
            <w:tcW w:w="0" w:type="auto"/>
            <w:vAlign w:val="center"/>
            <w:hideMark/>
          </w:tcPr>
          <w:p w14:paraId="3AFFA21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2.50 (2.00–3.00)</w:t>
            </w:r>
          </w:p>
        </w:tc>
        <w:tc>
          <w:tcPr>
            <w:tcW w:w="0" w:type="auto"/>
            <w:vAlign w:val="center"/>
            <w:hideMark/>
          </w:tcPr>
          <w:p w14:paraId="7BF9263C"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1.00–4.80</w:t>
            </w:r>
          </w:p>
        </w:tc>
        <w:tc>
          <w:tcPr>
            <w:tcW w:w="0" w:type="auto"/>
            <w:vAlign w:val="center"/>
            <w:hideMark/>
          </w:tcPr>
          <w:p w14:paraId="203CD79E"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0.13</w:t>
            </w:r>
          </w:p>
        </w:tc>
        <w:tc>
          <w:tcPr>
            <w:tcW w:w="0" w:type="auto"/>
            <w:vAlign w:val="center"/>
            <w:hideMark/>
          </w:tcPr>
          <w:p w14:paraId="592879C6"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0.66</w:t>
            </w:r>
          </w:p>
        </w:tc>
        <w:tc>
          <w:tcPr>
            <w:tcW w:w="0" w:type="auto"/>
            <w:vAlign w:val="center"/>
            <w:hideMark/>
          </w:tcPr>
          <w:p w14:paraId="00D495AC"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0.327–0.530</w:t>
            </w:r>
          </w:p>
        </w:tc>
      </w:tr>
      <w:tr w:rsidR="009B658C" w:rsidRPr="00AE752F" w14:paraId="5707BA5F" w14:textId="77777777" w:rsidTr="00464EEB">
        <w:trPr>
          <w:tblCellSpacing w:w="15" w:type="dxa"/>
        </w:trPr>
        <w:tc>
          <w:tcPr>
            <w:tcW w:w="0" w:type="auto"/>
            <w:vAlign w:val="center"/>
            <w:hideMark/>
          </w:tcPr>
          <w:p w14:paraId="7205E14C"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Peer support</w:t>
            </w:r>
          </w:p>
        </w:tc>
        <w:tc>
          <w:tcPr>
            <w:tcW w:w="0" w:type="auto"/>
            <w:vAlign w:val="center"/>
            <w:hideMark/>
          </w:tcPr>
          <w:p w14:paraId="66A10DC7"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4</w:t>
            </w:r>
          </w:p>
        </w:tc>
        <w:tc>
          <w:tcPr>
            <w:tcW w:w="0" w:type="auto"/>
            <w:vAlign w:val="center"/>
            <w:hideMark/>
          </w:tcPr>
          <w:p w14:paraId="4B9A7E28"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3.05 ± 0.71</w:t>
            </w:r>
          </w:p>
        </w:tc>
        <w:tc>
          <w:tcPr>
            <w:tcW w:w="0" w:type="auto"/>
            <w:vAlign w:val="center"/>
            <w:hideMark/>
          </w:tcPr>
          <w:p w14:paraId="00E6AFD5"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3.13 (2.69–3.50)</w:t>
            </w:r>
          </w:p>
        </w:tc>
        <w:tc>
          <w:tcPr>
            <w:tcW w:w="0" w:type="auto"/>
            <w:vAlign w:val="center"/>
            <w:hideMark/>
          </w:tcPr>
          <w:p w14:paraId="2CF4360D"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1.00–5.00</w:t>
            </w:r>
          </w:p>
        </w:tc>
        <w:tc>
          <w:tcPr>
            <w:tcW w:w="0" w:type="auto"/>
            <w:vAlign w:val="center"/>
            <w:hideMark/>
          </w:tcPr>
          <w:p w14:paraId="2FCA68FE"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−0.17</w:t>
            </w:r>
          </w:p>
        </w:tc>
        <w:tc>
          <w:tcPr>
            <w:tcW w:w="0" w:type="auto"/>
            <w:vAlign w:val="center"/>
            <w:hideMark/>
          </w:tcPr>
          <w:p w14:paraId="032A9635" w14:textId="2A5D056A" w:rsidR="009B658C" w:rsidRPr="00AE752F" w:rsidRDefault="009B658C" w:rsidP="00AE752F">
            <w:pPr>
              <w:jc w:val="both"/>
              <w:rPr>
                <w:rFonts w:ascii="Times New Roman" w:hAnsi="Times New Roman" w:cs="Times New Roman"/>
              </w:rPr>
            </w:pPr>
            <w:r w:rsidRPr="00AE752F">
              <w:rPr>
                <w:rFonts w:ascii="Times New Roman" w:hAnsi="Times New Roman" w:cs="Times New Roman"/>
              </w:rPr>
              <w:t>0.</w:t>
            </w:r>
            <w:r w:rsidR="00B9427C" w:rsidRPr="00AE752F">
              <w:rPr>
                <w:rFonts w:ascii="Times New Roman" w:hAnsi="Times New Roman" w:cs="Times New Roman"/>
              </w:rPr>
              <w:t>5</w:t>
            </w:r>
            <w:r w:rsidRPr="00AE752F">
              <w:rPr>
                <w:rFonts w:ascii="Times New Roman" w:hAnsi="Times New Roman" w:cs="Times New Roman"/>
              </w:rPr>
              <w:t>6</w:t>
            </w:r>
          </w:p>
        </w:tc>
        <w:tc>
          <w:tcPr>
            <w:tcW w:w="0" w:type="auto"/>
            <w:vAlign w:val="center"/>
            <w:hideMark/>
          </w:tcPr>
          <w:p w14:paraId="13D11462"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−0.098–0.548</w:t>
            </w:r>
          </w:p>
        </w:tc>
      </w:tr>
      <w:tr w:rsidR="009B658C" w:rsidRPr="00AE752F" w14:paraId="17706042" w14:textId="77777777" w:rsidTr="00464EEB">
        <w:trPr>
          <w:tblCellSpacing w:w="15" w:type="dxa"/>
        </w:trPr>
        <w:tc>
          <w:tcPr>
            <w:tcW w:w="0" w:type="auto"/>
            <w:vAlign w:val="center"/>
            <w:hideMark/>
          </w:tcPr>
          <w:p w14:paraId="5E85C1A3"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Relationships</w:t>
            </w:r>
          </w:p>
        </w:tc>
        <w:tc>
          <w:tcPr>
            <w:tcW w:w="0" w:type="auto"/>
            <w:vAlign w:val="center"/>
            <w:hideMark/>
          </w:tcPr>
          <w:p w14:paraId="4C627AC2"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4</w:t>
            </w:r>
          </w:p>
        </w:tc>
        <w:tc>
          <w:tcPr>
            <w:tcW w:w="0" w:type="auto"/>
            <w:vAlign w:val="center"/>
            <w:hideMark/>
          </w:tcPr>
          <w:p w14:paraId="790C3792"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2.91 ± 0.64</w:t>
            </w:r>
          </w:p>
        </w:tc>
        <w:tc>
          <w:tcPr>
            <w:tcW w:w="0" w:type="auto"/>
            <w:vAlign w:val="center"/>
            <w:hideMark/>
          </w:tcPr>
          <w:p w14:paraId="64BCC6BC"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3.00 (2.50–3.25)</w:t>
            </w:r>
          </w:p>
        </w:tc>
        <w:tc>
          <w:tcPr>
            <w:tcW w:w="0" w:type="auto"/>
            <w:vAlign w:val="center"/>
            <w:hideMark/>
          </w:tcPr>
          <w:p w14:paraId="39210D5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1.00–5.00</w:t>
            </w:r>
          </w:p>
        </w:tc>
        <w:tc>
          <w:tcPr>
            <w:tcW w:w="0" w:type="auto"/>
            <w:vAlign w:val="center"/>
            <w:hideMark/>
          </w:tcPr>
          <w:p w14:paraId="440888EF"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−0.04</w:t>
            </w:r>
          </w:p>
        </w:tc>
        <w:tc>
          <w:tcPr>
            <w:tcW w:w="0" w:type="auto"/>
            <w:vAlign w:val="center"/>
            <w:hideMark/>
          </w:tcPr>
          <w:p w14:paraId="167A0E9F" w14:textId="5CB1CB00" w:rsidR="009B658C" w:rsidRPr="00AE752F" w:rsidRDefault="009B658C" w:rsidP="00AE752F">
            <w:pPr>
              <w:jc w:val="both"/>
              <w:rPr>
                <w:rFonts w:ascii="Times New Roman" w:hAnsi="Times New Roman" w:cs="Times New Roman"/>
              </w:rPr>
            </w:pPr>
            <w:r w:rsidRPr="00AE752F">
              <w:rPr>
                <w:rFonts w:ascii="Times New Roman" w:hAnsi="Times New Roman" w:cs="Times New Roman"/>
              </w:rPr>
              <w:t>0.</w:t>
            </w:r>
            <w:r w:rsidR="00B9427C" w:rsidRPr="00AE752F">
              <w:rPr>
                <w:rFonts w:ascii="Times New Roman" w:hAnsi="Times New Roman" w:cs="Times New Roman"/>
              </w:rPr>
              <w:t>55</w:t>
            </w:r>
          </w:p>
        </w:tc>
        <w:tc>
          <w:tcPr>
            <w:tcW w:w="0" w:type="auto"/>
            <w:vAlign w:val="center"/>
            <w:hideMark/>
          </w:tcPr>
          <w:p w14:paraId="638F9C69"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0.007–0.157</w:t>
            </w:r>
          </w:p>
        </w:tc>
      </w:tr>
      <w:tr w:rsidR="009B658C" w:rsidRPr="00AE752F" w14:paraId="4CCEEA6D" w14:textId="77777777" w:rsidTr="00464EEB">
        <w:trPr>
          <w:tblCellSpacing w:w="15" w:type="dxa"/>
        </w:trPr>
        <w:tc>
          <w:tcPr>
            <w:tcW w:w="0" w:type="auto"/>
            <w:vAlign w:val="center"/>
            <w:hideMark/>
          </w:tcPr>
          <w:p w14:paraId="4D297DF8"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Role</w:t>
            </w:r>
          </w:p>
        </w:tc>
        <w:tc>
          <w:tcPr>
            <w:tcW w:w="0" w:type="auto"/>
            <w:vAlign w:val="center"/>
            <w:hideMark/>
          </w:tcPr>
          <w:p w14:paraId="4BD2839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5</w:t>
            </w:r>
          </w:p>
        </w:tc>
        <w:tc>
          <w:tcPr>
            <w:tcW w:w="0" w:type="auto"/>
            <w:vAlign w:val="center"/>
            <w:hideMark/>
          </w:tcPr>
          <w:p w14:paraId="660DF770"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3.25 ± 0.57</w:t>
            </w:r>
          </w:p>
        </w:tc>
        <w:tc>
          <w:tcPr>
            <w:tcW w:w="0" w:type="auto"/>
            <w:vAlign w:val="center"/>
            <w:hideMark/>
          </w:tcPr>
          <w:p w14:paraId="40DA7282"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3.30 (2.95–3.60)</w:t>
            </w:r>
          </w:p>
        </w:tc>
        <w:tc>
          <w:tcPr>
            <w:tcW w:w="0" w:type="auto"/>
            <w:vAlign w:val="center"/>
            <w:hideMark/>
          </w:tcPr>
          <w:p w14:paraId="1767B182"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1.60–4.80</w:t>
            </w:r>
          </w:p>
        </w:tc>
        <w:tc>
          <w:tcPr>
            <w:tcW w:w="0" w:type="auto"/>
            <w:vAlign w:val="center"/>
            <w:hideMark/>
          </w:tcPr>
          <w:p w14:paraId="00117843"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−0.22</w:t>
            </w:r>
          </w:p>
        </w:tc>
        <w:tc>
          <w:tcPr>
            <w:tcW w:w="0" w:type="auto"/>
            <w:vAlign w:val="center"/>
            <w:hideMark/>
          </w:tcPr>
          <w:p w14:paraId="393F4003" w14:textId="169F3361" w:rsidR="009B658C" w:rsidRPr="00AE752F" w:rsidRDefault="009B658C" w:rsidP="00AE752F">
            <w:pPr>
              <w:jc w:val="both"/>
              <w:rPr>
                <w:rFonts w:ascii="Times New Roman" w:hAnsi="Times New Roman" w:cs="Times New Roman"/>
              </w:rPr>
            </w:pPr>
            <w:r w:rsidRPr="00AE752F">
              <w:rPr>
                <w:rFonts w:ascii="Times New Roman" w:hAnsi="Times New Roman" w:cs="Times New Roman"/>
              </w:rPr>
              <w:t>0.</w:t>
            </w:r>
            <w:r w:rsidR="00B9427C" w:rsidRPr="00AE752F">
              <w:rPr>
                <w:rFonts w:ascii="Times New Roman" w:hAnsi="Times New Roman" w:cs="Times New Roman"/>
              </w:rPr>
              <w:t>5</w:t>
            </w:r>
            <w:r w:rsidR="00FD724E" w:rsidRPr="00AE752F">
              <w:rPr>
                <w:rFonts w:ascii="Times New Roman" w:hAnsi="Times New Roman" w:cs="Times New Roman"/>
              </w:rPr>
              <w:t>8</w:t>
            </w:r>
          </w:p>
        </w:tc>
        <w:tc>
          <w:tcPr>
            <w:tcW w:w="0" w:type="auto"/>
            <w:vAlign w:val="center"/>
            <w:hideMark/>
          </w:tcPr>
          <w:p w14:paraId="4A878A3C"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−0.047–0.302</w:t>
            </w:r>
          </w:p>
        </w:tc>
      </w:tr>
      <w:tr w:rsidR="009B658C" w:rsidRPr="00AE752F" w14:paraId="2BC31FBE" w14:textId="77777777" w:rsidTr="00464EEB">
        <w:trPr>
          <w:tblCellSpacing w:w="15" w:type="dxa"/>
        </w:trPr>
        <w:tc>
          <w:tcPr>
            <w:tcW w:w="0" w:type="auto"/>
            <w:vAlign w:val="center"/>
            <w:hideMark/>
          </w:tcPr>
          <w:p w14:paraId="39042E24"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Change</w:t>
            </w:r>
          </w:p>
        </w:tc>
        <w:tc>
          <w:tcPr>
            <w:tcW w:w="0" w:type="auto"/>
            <w:vAlign w:val="center"/>
            <w:hideMark/>
          </w:tcPr>
          <w:p w14:paraId="706AED0C"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3</w:t>
            </w:r>
          </w:p>
        </w:tc>
        <w:tc>
          <w:tcPr>
            <w:tcW w:w="0" w:type="auto"/>
            <w:vAlign w:val="center"/>
            <w:hideMark/>
          </w:tcPr>
          <w:p w14:paraId="5114DA9F"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2.51 ± 0.71</w:t>
            </w:r>
          </w:p>
        </w:tc>
        <w:tc>
          <w:tcPr>
            <w:tcW w:w="0" w:type="auto"/>
            <w:vAlign w:val="center"/>
            <w:hideMark/>
          </w:tcPr>
          <w:p w14:paraId="2813E9F1"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2.50 (2.00–3.00)</w:t>
            </w:r>
          </w:p>
        </w:tc>
        <w:tc>
          <w:tcPr>
            <w:tcW w:w="0" w:type="auto"/>
            <w:vAlign w:val="center"/>
            <w:hideMark/>
          </w:tcPr>
          <w:p w14:paraId="1F0296C6"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1.00–5.00</w:t>
            </w:r>
          </w:p>
        </w:tc>
        <w:tc>
          <w:tcPr>
            <w:tcW w:w="0" w:type="auto"/>
            <w:vAlign w:val="center"/>
            <w:hideMark/>
          </w:tcPr>
          <w:p w14:paraId="415EE3B3"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0.24</w:t>
            </w:r>
          </w:p>
        </w:tc>
        <w:tc>
          <w:tcPr>
            <w:tcW w:w="0" w:type="auto"/>
            <w:vAlign w:val="center"/>
            <w:hideMark/>
          </w:tcPr>
          <w:p w14:paraId="70522596" w14:textId="6B6BCDEB" w:rsidR="009B658C" w:rsidRPr="00AE752F" w:rsidRDefault="009B658C" w:rsidP="00AE752F">
            <w:pPr>
              <w:jc w:val="both"/>
              <w:rPr>
                <w:rFonts w:ascii="Times New Roman" w:hAnsi="Times New Roman" w:cs="Times New Roman"/>
              </w:rPr>
            </w:pPr>
            <w:r w:rsidRPr="00AE752F">
              <w:rPr>
                <w:rFonts w:ascii="Times New Roman" w:hAnsi="Times New Roman" w:cs="Times New Roman"/>
              </w:rPr>
              <w:t>0.</w:t>
            </w:r>
            <w:r w:rsidR="00B9427C" w:rsidRPr="00AE752F">
              <w:rPr>
                <w:rFonts w:ascii="Times New Roman" w:hAnsi="Times New Roman" w:cs="Times New Roman"/>
              </w:rPr>
              <w:t>56</w:t>
            </w:r>
          </w:p>
        </w:tc>
        <w:tc>
          <w:tcPr>
            <w:tcW w:w="0" w:type="auto"/>
            <w:vAlign w:val="center"/>
            <w:hideMark/>
          </w:tcPr>
          <w:p w14:paraId="1A78EA59"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rPr>
              <w:t>0.092–0.189</w:t>
            </w:r>
          </w:p>
        </w:tc>
      </w:tr>
    </w:tbl>
    <w:p w14:paraId="77A57378" w14:textId="77777777" w:rsidR="009B658C" w:rsidRPr="00AE752F" w:rsidRDefault="009B658C" w:rsidP="00AE752F">
      <w:pPr>
        <w:jc w:val="both"/>
        <w:rPr>
          <w:rFonts w:ascii="Times New Roman" w:hAnsi="Times New Roman" w:cs="Times New Roman"/>
        </w:rPr>
      </w:pPr>
      <w:r w:rsidRPr="00AE752F">
        <w:rPr>
          <w:rFonts w:ascii="Times New Roman" w:hAnsi="Times New Roman" w:cs="Times New Roman"/>
          <w:b/>
          <w:bCs/>
        </w:rPr>
        <w:t>Notes:</w:t>
      </w:r>
      <w:r w:rsidRPr="00AE752F">
        <w:rPr>
          <w:rFonts w:ascii="Times New Roman" w:hAnsi="Times New Roman" w:cs="Times New Roman"/>
        </w:rPr>
        <w:t xml:space="preserve"> HSE = Health and Safety Executive psychosocial work-environment questionnaire. Higher scores indicate more favorable psychosocial work conditions. Domain scores were calculated from the specified HSE items and retained on the original 1–5 metric. IQR = interquartile range; SD = standard deviation. Corrected item–total correlations are based on the corresponding domain items, with each item correlated with the remaining items in its domain. The reliability coefficients demonstrate substantial variation in internal consistency across domains; no domain or individual item was removed solely to increase Cronbach’s α.</w:t>
      </w:r>
    </w:p>
    <w:p w14:paraId="1D984BC8" w14:textId="77777777" w:rsidR="009B658C" w:rsidRPr="00AE752F" w:rsidRDefault="009B658C" w:rsidP="00AE752F">
      <w:pPr>
        <w:jc w:val="both"/>
        <w:rPr>
          <w:rFonts w:ascii="Times New Roman" w:hAnsi="Times New Roman" w:cs="Times New Roman"/>
        </w:rPr>
      </w:pPr>
    </w:p>
    <w:sectPr w:rsidR="009B658C" w:rsidRPr="00AE75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58C"/>
    <w:rsid w:val="00171AF4"/>
    <w:rsid w:val="00937758"/>
    <w:rsid w:val="009B658C"/>
    <w:rsid w:val="009D6509"/>
    <w:rsid w:val="00AE752F"/>
    <w:rsid w:val="00B9427C"/>
    <w:rsid w:val="00E00D6E"/>
    <w:rsid w:val="00FD72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39665"/>
  <w15:chartTrackingRefBased/>
  <w15:docId w15:val="{840067EE-0714-4D49-97A3-EBE7E72CF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4</Pages>
  <Words>924</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marzieh belji kangarloo</cp:lastModifiedBy>
  <cp:revision>5</cp:revision>
  <dcterms:created xsi:type="dcterms:W3CDTF">2026-09-25T10:21:00Z</dcterms:created>
  <dcterms:modified xsi:type="dcterms:W3CDTF">2026-09-30T16:10:00Z</dcterms:modified>
</cp:coreProperties>
</file>