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2E4E5" w14:textId="1BBE4E52" w:rsidR="008B26BC" w:rsidRPr="005A720A" w:rsidRDefault="008B26BC" w:rsidP="008B26BC">
      <w:pPr>
        <w:pStyle w:val="Title"/>
        <w:jc w:val="both"/>
        <w:rPr>
          <w:rFonts w:asciiTheme="majorBidi" w:hAnsiTheme="majorBidi"/>
          <w:sz w:val="40"/>
          <w:szCs w:val="40"/>
        </w:rPr>
      </w:pPr>
      <w:r w:rsidRPr="005A720A">
        <w:rPr>
          <w:rFonts w:asciiTheme="majorBidi" w:hAnsiTheme="majorBidi"/>
          <w:sz w:val="40"/>
          <w:szCs w:val="40"/>
        </w:rPr>
        <w:t>Supplementary Materials: Early Cognitive and Hippocampal Alterations During Diet-Induced Metabolic Dysfunction in Sprague–Dawley Rats</w:t>
      </w:r>
    </w:p>
    <w:p w14:paraId="68CCECE8" w14:textId="77777777" w:rsidR="00235435" w:rsidRPr="00235435" w:rsidRDefault="00235435">
      <w:pPr>
        <w:rPr>
          <w:rFonts w:asciiTheme="majorBidi" w:hAnsiTheme="majorBidi" w:cstheme="majorBidi"/>
          <w:b/>
          <w:bCs/>
          <w:rtl/>
        </w:rPr>
      </w:pPr>
    </w:p>
    <w:p w14:paraId="35BB39D7" w14:textId="33308E39" w:rsidR="007C088F" w:rsidRDefault="00235435" w:rsidP="00235435">
      <w:pPr>
        <w:pStyle w:val="Heading2"/>
        <w:rPr>
          <w:rFonts w:asciiTheme="majorBidi" w:hAnsiTheme="majorBidi"/>
          <w:b/>
          <w:bCs/>
          <w:color w:val="auto"/>
        </w:rPr>
      </w:pPr>
      <w:r w:rsidRPr="00235435">
        <w:rPr>
          <w:rFonts w:asciiTheme="majorBidi" w:hAnsiTheme="majorBidi"/>
          <w:b/>
          <w:bCs/>
          <w:color w:val="auto"/>
        </w:rPr>
        <w:t>Section S1: Animal Model Induction and Group Allocation</w:t>
      </w:r>
    </w:p>
    <w:p w14:paraId="7536FD9E" w14:textId="40952BB9" w:rsidR="00B17979" w:rsidRPr="00235435" w:rsidRDefault="00B17979">
      <w:pPr>
        <w:rPr>
          <w:rFonts w:asciiTheme="majorBidi" w:hAnsiTheme="majorBidi" w:cstheme="majorBidi"/>
        </w:rPr>
      </w:pPr>
      <w:r w:rsidRPr="00235435">
        <w:rPr>
          <w:rFonts w:asciiTheme="majorBidi" w:hAnsiTheme="majorBidi" w:cstheme="majorBidi"/>
          <w:b/>
          <w:bCs/>
        </w:rPr>
        <w:t xml:space="preserve">Table S1. </w:t>
      </w:r>
      <w:r w:rsidRPr="00235435">
        <w:rPr>
          <w:rFonts w:asciiTheme="majorBidi" w:hAnsiTheme="majorBidi" w:cstheme="majorBidi"/>
        </w:rPr>
        <w:t>List of abbreviations</w:t>
      </w:r>
    </w:p>
    <w:tbl>
      <w:tblPr>
        <w:tblStyle w:val="TableGrid"/>
        <w:tblW w:w="9270" w:type="dxa"/>
        <w:jc w:val="center"/>
        <w:tblBorders>
          <w:top w:val="single" w:sz="12" w:space="0" w:color="auto"/>
          <w:left w:val="none" w:sz="0" w:space="0" w:color="auto"/>
          <w:bottom w:val="single" w:sz="12" w:space="0" w:color="auto"/>
          <w:right w:val="none" w:sz="0" w:space="0" w:color="auto"/>
          <w:insideH w:val="single" w:sz="12" w:space="0" w:color="auto"/>
          <w:insideV w:val="none" w:sz="0" w:space="0" w:color="auto"/>
        </w:tblBorders>
        <w:tblLook w:val="04A0" w:firstRow="1" w:lastRow="0" w:firstColumn="1" w:lastColumn="0" w:noHBand="0" w:noVBand="1"/>
      </w:tblPr>
      <w:tblGrid>
        <w:gridCol w:w="3955"/>
        <w:gridCol w:w="5315"/>
      </w:tblGrid>
      <w:tr w:rsidR="00B17979" w:rsidRPr="00235435" w14:paraId="50A3B168" w14:textId="77777777" w:rsidTr="007C088F">
        <w:trPr>
          <w:jc w:val="center"/>
        </w:trPr>
        <w:tc>
          <w:tcPr>
            <w:tcW w:w="3955" w:type="dxa"/>
            <w:vAlign w:val="center"/>
          </w:tcPr>
          <w:p w14:paraId="1081199F" w14:textId="67791D6A" w:rsidR="00B17979" w:rsidRPr="00235435" w:rsidRDefault="00B17979" w:rsidP="001B6AE8">
            <w:pPr>
              <w:jc w:val="center"/>
              <w:rPr>
                <w:rFonts w:asciiTheme="majorBidi" w:hAnsiTheme="majorBidi" w:cstheme="majorBidi"/>
                <w:b/>
                <w:bCs/>
              </w:rPr>
            </w:pPr>
            <w:r w:rsidRPr="00235435">
              <w:rPr>
                <w:rFonts w:asciiTheme="majorBidi" w:hAnsiTheme="majorBidi" w:cstheme="majorBidi"/>
                <w:b/>
                <w:bCs/>
              </w:rPr>
              <w:t>Abbreviation</w:t>
            </w:r>
          </w:p>
        </w:tc>
        <w:tc>
          <w:tcPr>
            <w:tcW w:w="5315" w:type="dxa"/>
            <w:vAlign w:val="center"/>
          </w:tcPr>
          <w:p w14:paraId="43C0A5C1" w14:textId="25C7C63A" w:rsidR="00B17979" w:rsidRPr="00235435" w:rsidRDefault="00B17979" w:rsidP="001B6AE8">
            <w:pPr>
              <w:jc w:val="center"/>
              <w:rPr>
                <w:rFonts w:asciiTheme="majorBidi" w:hAnsiTheme="majorBidi" w:cstheme="majorBidi"/>
                <w:b/>
                <w:bCs/>
              </w:rPr>
            </w:pPr>
            <w:r w:rsidRPr="00235435">
              <w:rPr>
                <w:rFonts w:asciiTheme="majorBidi" w:hAnsiTheme="majorBidi" w:cstheme="majorBidi"/>
                <w:b/>
                <w:bCs/>
              </w:rPr>
              <w:t>Full term</w:t>
            </w:r>
          </w:p>
        </w:tc>
      </w:tr>
      <w:tr w:rsidR="00B17979" w:rsidRPr="00235435" w14:paraId="175B3F5D" w14:textId="77777777" w:rsidTr="007C088F">
        <w:trPr>
          <w:jc w:val="center"/>
        </w:trPr>
        <w:tc>
          <w:tcPr>
            <w:tcW w:w="3955" w:type="dxa"/>
            <w:vAlign w:val="center"/>
          </w:tcPr>
          <w:p w14:paraId="32D9C9E2" w14:textId="5A4283B6" w:rsidR="00B17979" w:rsidRPr="00235435" w:rsidRDefault="00B17979" w:rsidP="001B6AE8">
            <w:pPr>
              <w:jc w:val="center"/>
              <w:rPr>
                <w:rFonts w:asciiTheme="majorBidi" w:hAnsiTheme="majorBidi" w:cstheme="majorBidi"/>
              </w:rPr>
            </w:pPr>
            <w:r w:rsidRPr="00235435">
              <w:rPr>
                <w:rFonts w:asciiTheme="majorBidi" w:hAnsiTheme="majorBidi" w:cstheme="majorBidi"/>
              </w:rPr>
              <w:t>BDNF</w:t>
            </w:r>
          </w:p>
        </w:tc>
        <w:tc>
          <w:tcPr>
            <w:tcW w:w="5315" w:type="dxa"/>
            <w:vAlign w:val="center"/>
          </w:tcPr>
          <w:p w14:paraId="6822BA8A" w14:textId="09DD243C" w:rsidR="00B17979" w:rsidRPr="00235435" w:rsidRDefault="00B17979" w:rsidP="001B6AE8">
            <w:pPr>
              <w:jc w:val="center"/>
              <w:rPr>
                <w:rFonts w:asciiTheme="majorBidi" w:hAnsiTheme="majorBidi" w:cstheme="majorBidi"/>
              </w:rPr>
            </w:pPr>
            <w:r w:rsidRPr="00235435">
              <w:rPr>
                <w:rFonts w:asciiTheme="majorBidi" w:hAnsiTheme="majorBidi" w:cstheme="majorBidi"/>
              </w:rPr>
              <w:t>Brain-derived neurotrophic factor</w:t>
            </w:r>
          </w:p>
        </w:tc>
      </w:tr>
      <w:tr w:rsidR="00B17979" w:rsidRPr="00235435" w14:paraId="793A9AA4" w14:textId="77777777" w:rsidTr="007C088F">
        <w:trPr>
          <w:jc w:val="center"/>
        </w:trPr>
        <w:tc>
          <w:tcPr>
            <w:tcW w:w="3955" w:type="dxa"/>
            <w:vAlign w:val="center"/>
          </w:tcPr>
          <w:p w14:paraId="229A9699" w14:textId="18F0B9FF" w:rsidR="00B17979" w:rsidRPr="00235435" w:rsidRDefault="00B17979" w:rsidP="001B6AE8">
            <w:pPr>
              <w:jc w:val="center"/>
              <w:rPr>
                <w:rFonts w:asciiTheme="majorBidi" w:hAnsiTheme="majorBidi" w:cstheme="majorBidi"/>
              </w:rPr>
            </w:pPr>
            <w:r w:rsidRPr="00235435">
              <w:rPr>
                <w:rFonts w:asciiTheme="majorBidi" w:hAnsiTheme="majorBidi" w:cstheme="majorBidi"/>
              </w:rPr>
              <w:t>NT-3</w:t>
            </w:r>
          </w:p>
        </w:tc>
        <w:tc>
          <w:tcPr>
            <w:tcW w:w="5315" w:type="dxa"/>
            <w:vAlign w:val="center"/>
          </w:tcPr>
          <w:p w14:paraId="1F902DD2" w14:textId="2C541D24" w:rsidR="00B17979" w:rsidRPr="00235435" w:rsidRDefault="00B17979" w:rsidP="001B6AE8">
            <w:pPr>
              <w:jc w:val="center"/>
              <w:rPr>
                <w:rFonts w:asciiTheme="majorBidi" w:hAnsiTheme="majorBidi" w:cstheme="majorBidi"/>
              </w:rPr>
            </w:pPr>
            <w:r w:rsidRPr="00235435">
              <w:rPr>
                <w:rFonts w:asciiTheme="majorBidi" w:hAnsiTheme="majorBidi" w:cstheme="majorBidi"/>
              </w:rPr>
              <w:t>Neurotrophin-3</w:t>
            </w:r>
          </w:p>
        </w:tc>
      </w:tr>
      <w:tr w:rsidR="00B17979" w:rsidRPr="00235435" w14:paraId="4CA82E61" w14:textId="77777777" w:rsidTr="007C088F">
        <w:trPr>
          <w:jc w:val="center"/>
        </w:trPr>
        <w:tc>
          <w:tcPr>
            <w:tcW w:w="3955" w:type="dxa"/>
            <w:vAlign w:val="center"/>
          </w:tcPr>
          <w:p w14:paraId="584B7F1C" w14:textId="19AF5E52" w:rsidR="00B17979" w:rsidRPr="00235435" w:rsidRDefault="00B17979" w:rsidP="001B6AE8">
            <w:pPr>
              <w:jc w:val="center"/>
              <w:rPr>
                <w:rFonts w:asciiTheme="majorBidi" w:hAnsiTheme="majorBidi" w:cstheme="majorBidi"/>
              </w:rPr>
            </w:pPr>
            <w:r w:rsidRPr="00235435">
              <w:rPr>
                <w:rFonts w:asciiTheme="majorBidi" w:hAnsiTheme="majorBidi" w:cstheme="majorBidi"/>
              </w:rPr>
              <w:t>MMP-9</w:t>
            </w:r>
          </w:p>
        </w:tc>
        <w:tc>
          <w:tcPr>
            <w:tcW w:w="5315" w:type="dxa"/>
            <w:vAlign w:val="center"/>
          </w:tcPr>
          <w:p w14:paraId="635846FC" w14:textId="53823341" w:rsidR="00B17979" w:rsidRPr="00235435" w:rsidRDefault="00B17979" w:rsidP="001B6AE8">
            <w:pPr>
              <w:jc w:val="center"/>
              <w:rPr>
                <w:rFonts w:asciiTheme="majorBidi" w:hAnsiTheme="majorBidi" w:cstheme="majorBidi"/>
              </w:rPr>
            </w:pPr>
            <w:r w:rsidRPr="00235435">
              <w:rPr>
                <w:rFonts w:asciiTheme="majorBidi" w:hAnsiTheme="majorBidi" w:cstheme="majorBidi"/>
              </w:rPr>
              <w:t>Matrix metalloproteinase-9</w:t>
            </w:r>
          </w:p>
        </w:tc>
      </w:tr>
      <w:tr w:rsidR="00B17979" w:rsidRPr="00235435" w14:paraId="292A1B3A" w14:textId="77777777" w:rsidTr="007C088F">
        <w:trPr>
          <w:jc w:val="center"/>
        </w:trPr>
        <w:tc>
          <w:tcPr>
            <w:tcW w:w="3955" w:type="dxa"/>
            <w:vAlign w:val="center"/>
          </w:tcPr>
          <w:p w14:paraId="6B080A3D" w14:textId="6C7E9FAF" w:rsidR="00B17979" w:rsidRPr="00235435" w:rsidRDefault="00B17979" w:rsidP="001B6AE8">
            <w:pPr>
              <w:jc w:val="center"/>
              <w:rPr>
                <w:rFonts w:asciiTheme="majorBidi" w:hAnsiTheme="majorBidi" w:cstheme="majorBidi"/>
              </w:rPr>
            </w:pPr>
            <w:r w:rsidRPr="00235435">
              <w:rPr>
                <w:rFonts w:asciiTheme="majorBidi" w:hAnsiTheme="majorBidi" w:cstheme="majorBidi"/>
              </w:rPr>
              <w:t>GPX</w:t>
            </w:r>
          </w:p>
        </w:tc>
        <w:tc>
          <w:tcPr>
            <w:tcW w:w="5315" w:type="dxa"/>
            <w:vAlign w:val="center"/>
          </w:tcPr>
          <w:p w14:paraId="2E7DBF8C" w14:textId="61B68699" w:rsidR="00B17979" w:rsidRPr="00235435" w:rsidRDefault="00B17979" w:rsidP="001B6AE8">
            <w:pPr>
              <w:jc w:val="center"/>
              <w:rPr>
                <w:rFonts w:asciiTheme="majorBidi" w:hAnsiTheme="majorBidi" w:cstheme="majorBidi"/>
              </w:rPr>
            </w:pPr>
            <w:r w:rsidRPr="00235435">
              <w:rPr>
                <w:rFonts w:asciiTheme="majorBidi" w:hAnsiTheme="majorBidi" w:cstheme="majorBidi"/>
              </w:rPr>
              <w:t>Glutathione peroxidase</w:t>
            </w:r>
          </w:p>
        </w:tc>
      </w:tr>
      <w:tr w:rsidR="00B17979" w:rsidRPr="00235435" w14:paraId="06C61D0C" w14:textId="77777777" w:rsidTr="007C088F">
        <w:trPr>
          <w:jc w:val="center"/>
        </w:trPr>
        <w:tc>
          <w:tcPr>
            <w:tcW w:w="3955" w:type="dxa"/>
            <w:vAlign w:val="center"/>
          </w:tcPr>
          <w:p w14:paraId="4F6350D8" w14:textId="07F76BD6" w:rsidR="00B17979" w:rsidRPr="00235435" w:rsidRDefault="00B17979" w:rsidP="001B6AE8">
            <w:pPr>
              <w:jc w:val="center"/>
              <w:rPr>
                <w:rFonts w:asciiTheme="majorBidi" w:hAnsiTheme="majorBidi" w:cstheme="majorBidi"/>
              </w:rPr>
            </w:pPr>
            <w:r w:rsidRPr="00235435">
              <w:rPr>
                <w:rFonts w:asciiTheme="majorBidi" w:hAnsiTheme="majorBidi" w:cstheme="majorBidi"/>
              </w:rPr>
              <w:t>AGEs</w:t>
            </w:r>
          </w:p>
        </w:tc>
        <w:tc>
          <w:tcPr>
            <w:tcW w:w="5315" w:type="dxa"/>
            <w:vAlign w:val="center"/>
          </w:tcPr>
          <w:p w14:paraId="302140F7" w14:textId="578F5713" w:rsidR="00B17979" w:rsidRPr="00235435" w:rsidRDefault="00B17979" w:rsidP="001B6AE8">
            <w:pPr>
              <w:jc w:val="center"/>
              <w:rPr>
                <w:rFonts w:asciiTheme="majorBidi" w:hAnsiTheme="majorBidi" w:cstheme="majorBidi"/>
              </w:rPr>
            </w:pPr>
            <w:r w:rsidRPr="00235435">
              <w:rPr>
                <w:rFonts w:asciiTheme="majorBidi" w:hAnsiTheme="majorBidi" w:cstheme="majorBidi"/>
              </w:rPr>
              <w:t>Advanced glycation end products</w:t>
            </w:r>
          </w:p>
        </w:tc>
      </w:tr>
      <w:tr w:rsidR="00B17979" w:rsidRPr="00235435" w14:paraId="347B6616" w14:textId="77777777" w:rsidTr="007C088F">
        <w:trPr>
          <w:jc w:val="center"/>
        </w:trPr>
        <w:tc>
          <w:tcPr>
            <w:tcW w:w="3955" w:type="dxa"/>
            <w:vAlign w:val="center"/>
          </w:tcPr>
          <w:p w14:paraId="2D4FF4FF" w14:textId="118107F9" w:rsidR="00B17979" w:rsidRPr="00235435" w:rsidRDefault="00B17979" w:rsidP="001B6AE8">
            <w:pPr>
              <w:jc w:val="center"/>
              <w:rPr>
                <w:rFonts w:asciiTheme="majorBidi" w:hAnsiTheme="majorBidi" w:cstheme="majorBidi"/>
              </w:rPr>
            </w:pPr>
            <w:r w:rsidRPr="00235435">
              <w:rPr>
                <w:rFonts w:asciiTheme="majorBidi" w:hAnsiTheme="majorBidi" w:cstheme="majorBidi"/>
              </w:rPr>
              <w:t>P-tau</w:t>
            </w:r>
          </w:p>
        </w:tc>
        <w:tc>
          <w:tcPr>
            <w:tcW w:w="5315" w:type="dxa"/>
            <w:vAlign w:val="center"/>
          </w:tcPr>
          <w:p w14:paraId="6F769D3F" w14:textId="191C9316" w:rsidR="00B17979" w:rsidRPr="00235435" w:rsidRDefault="00B17979" w:rsidP="001B6AE8">
            <w:pPr>
              <w:jc w:val="center"/>
              <w:rPr>
                <w:rFonts w:asciiTheme="majorBidi" w:hAnsiTheme="majorBidi" w:cstheme="majorBidi"/>
              </w:rPr>
            </w:pPr>
            <w:r w:rsidRPr="00235435">
              <w:rPr>
                <w:rFonts w:asciiTheme="majorBidi" w:hAnsiTheme="majorBidi" w:cstheme="majorBidi"/>
              </w:rPr>
              <w:t>Phosphorylated tau</w:t>
            </w:r>
          </w:p>
        </w:tc>
      </w:tr>
      <w:tr w:rsidR="00B17979" w:rsidRPr="00235435" w14:paraId="71953C1D" w14:textId="77777777" w:rsidTr="007C088F">
        <w:trPr>
          <w:jc w:val="center"/>
        </w:trPr>
        <w:tc>
          <w:tcPr>
            <w:tcW w:w="3955" w:type="dxa"/>
            <w:vAlign w:val="center"/>
          </w:tcPr>
          <w:p w14:paraId="26B2A9BD" w14:textId="2AC51630" w:rsidR="00B17979" w:rsidRPr="00235435" w:rsidRDefault="00B17979" w:rsidP="001B6AE8">
            <w:pPr>
              <w:jc w:val="center"/>
              <w:rPr>
                <w:rFonts w:asciiTheme="majorBidi" w:hAnsiTheme="majorBidi" w:cstheme="majorBidi"/>
              </w:rPr>
            </w:pPr>
            <w:r w:rsidRPr="00235435">
              <w:rPr>
                <w:rFonts w:asciiTheme="majorBidi" w:hAnsiTheme="majorBidi" w:cstheme="majorBidi"/>
              </w:rPr>
              <w:t>Aβ</w:t>
            </w:r>
          </w:p>
        </w:tc>
        <w:tc>
          <w:tcPr>
            <w:tcW w:w="5315" w:type="dxa"/>
            <w:vAlign w:val="center"/>
          </w:tcPr>
          <w:p w14:paraId="2F26764D" w14:textId="41BFC6B6" w:rsidR="00B17979" w:rsidRPr="00235435" w:rsidRDefault="00B17979" w:rsidP="001B6AE8">
            <w:pPr>
              <w:jc w:val="center"/>
              <w:rPr>
                <w:rFonts w:asciiTheme="majorBidi" w:hAnsiTheme="majorBidi" w:cstheme="majorBidi"/>
              </w:rPr>
            </w:pPr>
            <w:r w:rsidRPr="00235435">
              <w:rPr>
                <w:rFonts w:asciiTheme="majorBidi" w:hAnsiTheme="majorBidi" w:cstheme="majorBidi"/>
              </w:rPr>
              <w:t>Amyloid-β</w:t>
            </w:r>
          </w:p>
        </w:tc>
      </w:tr>
    </w:tbl>
    <w:p w14:paraId="75EF208C" w14:textId="77777777" w:rsidR="00C76952" w:rsidRPr="00235435" w:rsidRDefault="00C76952">
      <w:pPr>
        <w:rPr>
          <w:rFonts w:asciiTheme="majorBidi" w:hAnsiTheme="majorBidi" w:cstheme="majorBidi"/>
        </w:rPr>
      </w:pPr>
    </w:p>
    <w:p w14:paraId="2203ACAE" w14:textId="2A5A8B7E" w:rsidR="00BD473D" w:rsidRPr="00235435" w:rsidRDefault="00BD473D" w:rsidP="00BD473D">
      <w:pPr>
        <w:spacing w:after="0" w:line="480" w:lineRule="auto"/>
        <w:jc w:val="both"/>
        <w:rPr>
          <w:rFonts w:asciiTheme="majorBidi" w:eastAsia="Calibri" w:hAnsiTheme="majorBidi" w:cstheme="majorBidi"/>
          <w:rtl/>
        </w:rPr>
      </w:pPr>
      <w:r w:rsidRPr="00235435">
        <w:rPr>
          <w:rFonts w:asciiTheme="majorBidi" w:eastAsia="Calibri" w:hAnsiTheme="majorBidi" w:cstheme="majorBidi"/>
        </w:rPr>
        <w:t xml:space="preserve">Rats with fasting blood glucose levels ≥ 200 mg/dL at four days post-STZ injection were considered diabetic. All rats completed behavioral testing. One RDF rat was excluded from biochemical analyses due to detection of an abnormal mass following behavioral testing. Mortality following STZ administration resulted in further exclusions. Full details of group sizes and exclusions are summarized in </w:t>
      </w:r>
      <w:r w:rsidR="006A64E7" w:rsidRPr="00235435">
        <w:rPr>
          <w:rFonts w:asciiTheme="majorBidi" w:eastAsia="Calibri" w:hAnsiTheme="majorBidi" w:cstheme="majorBidi"/>
          <w:b/>
          <w:bCs/>
        </w:rPr>
        <w:t>Table S2</w:t>
      </w:r>
      <w:r w:rsidRPr="00235435">
        <w:rPr>
          <w:rFonts w:asciiTheme="majorBidi" w:eastAsia="Calibri" w:hAnsiTheme="majorBidi" w:cstheme="majorBidi"/>
        </w:rPr>
        <w:t>.</w:t>
      </w:r>
    </w:p>
    <w:p w14:paraId="3D3F9808" w14:textId="47252F85" w:rsidR="00C76952" w:rsidRPr="00235435" w:rsidRDefault="006A64E7" w:rsidP="00C76952">
      <w:pPr>
        <w:spacing w:after="0" w:line="480" w:lineRule="auto"/>
        <w:jc w:val="both"/>
        <w:rPr>
          <w:rFonts w:asciiTheme="majorBidi" w:eastAsia="Calibri" w:hAnsiTheme="majorBidi" w:cstheme="majorBidi"/>
        </w:rPr>
      </w:pPr>
      <w:r w:rsidRPr="00235435">
        <w:rPr>
          <w:rFonts w:asciiTheme="majorBidi" w:eastAsia="Calibri" w:hAnsiTheme="majorBidi" w:cstheme="majorBidi"/>
          <w:b/>
          <w:bCs/>
        </w:rPr>
        <w:t>Table S2</w:t>
      </w:r>
      <w:r w:rsidR="00C76952" w:rsidRPr="00235435">
        <w:rPr>
          <w:rFonts w:asciiTheme="majorBidi" w:eastAsia="Calibri" w:hAnsiTheme="majorBidi" w:cstheme="majorBidi"/>
          <w:b/>
          <w:bCs/>
        </w:rPr>
        <w:t xml:space="preserve">. </w:t>
      </w:r>
      <w:r w:rsidR="00C76952" w:rsidRPr="00235435">
        <w:rPr>
          <w:rFonts w:asciiTheme="majorBidi" w:eastAsia="Calibri" w:hAnsiTheme="majorBidi" w:cstheme="majorBidi"/>
        </w:rPr>
        <w:t>Animal group sizes, exclusions, and final sample sizes per analysis.</w:t>
      </w:r>
    </w:p>
    <w:tbl>
      <w:tblPr>
        <w:tblStyle w:val="TableGrid"/>
        <w:tblW w:w="11075" w:type="dxa"/>
        <w:tblInd w:w="-905" w:type="dxa"/>
        <w:tblBorders>
          <w:top w:val="single" w:sz="12" w:space="0" w:color="auto"/>
          <w:left w:val="none" w:sz="0" w:space="0" w:color="auto"/>
          <w:bottom w:val="single" w:sz="12" w:space="0" w:color="auto"/>
          <w:right w:val="none" w:sz="0" w:space="0" w:color="auto"/>
          <w:insideH w:val="single" w:sz="12" w:space="0" w:color="auto"/>
          <w:insideV w:val="none" w:sz="0" w:space="0" w:color="auto"/>
        </w:tblBorders>
        <w:tblLook w:val="04A0" w:firstRow="1" w:lastRow="0" w:firstColumn="1" w:lastColumn="0" w:noHBand="0" w:noVBand="1"/>
      </w:tblPr>
      <w:tblGrid>
        <w:gridCol w:w="910"/>
        <w:gridCol w:w="1208"/>
        <w:gridCol w:w="1514"/>
        <w:gridCol w:w="2042"/>
        <w:gridCol w:w="2608"/>
        <w:gridCol w:w="2793"/>
      </w:tblGrid>
      <w:tr w:rsidR="00C76952" w:rsidRPr="00235435" w14:paraId="223D0F9B" w14:textId="77777777" w:rsidTr="006A0EC9">
        <w:tc>
          <w:tcPr>
            <w:tcW w:w="910" w:type="dxa"/>
            <w:vAlign w:val="center"/>
          </w:tcPr>
          <w:p w14:paraId="4BB82DAB" w14:textId="77777777" w:rsidR="00C76952" w:rsidRPr="00235435" w:rsidRDefault="00C76952" w:rsidP="00DB7862">
            <w:pPr>
              <w:jc w:val="center"/>
              <w:rPr>
                <w:rFonts w:asciiTheme="majorBidi" w:eastAsia="Calibri" w:hAnsiTheme="majorBidi" w:cstheme="majorBidi"/>
                <w:b/>
                <w:bCs/>
              </w:rPr>
            </w:pPr>
            <w:r w:rsidRPr="00235435">
              <w:rPr>
                <w:rFonts w:asciiTheme="majorBidi" w:eastAsia="Calibri" w:hAnsiTheme="majorBidi" w:cstheme="majorBidi"/>
                <w:b/>
                <w:bCs/>
              </w:rPr>
              <w:t>Group</w:t>
            </w:r>
          </w:p>
        </w:tc>
        <w:tc>
          <w:tcPr>
            <w:tcW w:w="1208" w:type="dxa"/>
            <w:vAlign w:val="center"/>
          </w:tcPr>
          <w:p w14:paraId="73BCCCE3" w14:textId="77777777" w:rsidR="00C76952" w:rsidRPr="00235435" w:rsidRDefault="00C76952" w:rsidP="00DB7862">
            <w:pPr>
              <w:jc w:val="center"/>
              <w:rPr>
                <w:rFonts w:asciiTheme="majorBidi" w:eastAsia="Calibri" w:hAnsiTheme="majorBidi" w:cstheme="majorBidi"/>
                <w:b/>
                <w:bCs/>
              </w:rPr>
            </w:pPr>
            <w:r w:rsidRPr="00235435">
              <w:rPr>
                <w:rFonts w:asciiTheme="majorBidi" w:eastAsia="Calibri" w:hAnsiTheme="majorBidi" w:cstheme="majorBidi"/>
                <w:b/>
                <w:bCs/>
              </w:rPr>
              <w:t xml:space="preserve">Initial </w:t>
            </w:r>
            <w:r w:rsidRPr="00235435">
              <w:rPr>
                <w:rFonts w:asciiTheme="majorBidi" w:eastAsia="Calibri" w:hAnsiTheme="majorBidi" w:cstheme="majorBidi"/>
                <w:b/>
                <w:bCs/>
              </w:rPr>
              <w:t>(</w:t>
            </w:r>
            <w:r w:rsidRPr="00235435">
              <w:rPr>
                <w:rFonts w:asciiTheme="majorBidi" w:eastAsia="Calibri" w:hAnsiTheme="majorBidi" w:cstheme="majorBidi"/>
                <w:b/>
                <w:bCs/>
              </w:rPr>
              <w:t>n</w:t>
            </w:r>
            <w:r w:rsidRPr="00235435">
              <w:rPr>
                <w:rFonts w:asciiTheme="majorBidi" w:eastAsia="Calibri" w:hAnsiTheme="majorBidi" w:cstheme="majorBidi"/>
                <w:b/>
                <w:bCs/>
              </w:rPr>
              <w:t>)</w:t>
            </w:r>
          </w:p>
        </w:tc>
        <w:tc>
          <w:tcPr>
            <w:tcW w:w="1514" w:type="dxa"/>
            <w:vAlign w:val="center"/>
          </w:tcPr>
          <w:p w14:paraId="2D0D2384" w14:textId="42CBAAE4" w:rsidR="00C76952" w:rsidRPr="00235435" w:rsidRDefault="00C76952" w:rsidP="00DB7862">
            <w:pPr>
              <w:jc w:val="center"/>
              <w:rPr>
                <w:rFonts w:asciiTheme="majorBidi" w:eastAsia="Calibri" w:hAnsiTheme="majorBidi" w:cstheme="majorBidi"/>
                <w:b/>
                <w:bCs/>
              </w:rPr>
            </w:pPr>
            <w:r w:rsidRPr="00235435">
              <w:rPr>
                <w:rFonts w:asciiTheme="majorBidi" w:eastAsia="Calibri" w:hAnsiTheme="majorBidi" w:cstheme="majorBidi"/>
                <w:b/>
                <w:bCs/>
              </w:rPr>
              <w:t xml:space="preserve">Final </w:t>
            </w:r>
            <w:r w:rsidRPr="00235435">
              <w:rPr>
                <w:rFonts w:asciiTheme="majorBidi" w:eastAsia="Calibri" w:hAnsiTheme="majorBidi" w:cstheme="majorBidi"/>
                <w:b/>
                <w:bCs/>
              </w:rPr>
              <w:t>(</w:t>
            </w:r>
            <w:r w:rsidRPr="00235435">
              <w:rPr>
                <w:rFonts w:asciiTheme="majorBidi" w:eastAsia="Calibri" w:hAnsiTheme="majorBidi" w:cstheme="majorBidi"/>
                <w:b/>
                <w:bCs/>
              </w:rPr>
              <w:t>n</w:t>
            </w:r>
            <w:r w:rsidRPr="00235435">
              <w:rPr>
                <w:rFonts w:asciiTheme="majorBidi" w:eastAsia="Calibri" w:hAnsiTheme="majorBidi" w:cstheme="majorBidi"/>
                <w:b/>
                <w:bCs/>
              </w:rPr>
              <w:t>)</w:t>
            </w:r>
            <w:r w:rsidRPr="00235435">
              <w:rPr>
                <w:rFonts w:asciiTheme="majorBidi" w:eastAsia="Calibri" w:hAnsiTheme="majorBidi" w:cstheme="majorBidi"/>
                <w:b/>
                <w:bCs/>
              </w:rPr>
              <w:t xml:space="preserve"> (Behavioral)</w:t>
            </w:r>
          </w:p>
        </w:tc>
        <w:tc>
          <w:tcPr>
            <w:tcW w:w="2042" w:type="dxa"/>
            <w:vAlign w:val="center"/>
          </w:tcPr>
          <w:p w14:paraId="6C184CF3" w14:textId="77777777" w:rsidR="00C76952" w:rsidRPr="00235435" w:rsidRDefault="00C76952" w:rsidP="00DB7862">
            <w:pPr>
              <w:jc w:val="center"/>
              <w:rPr>
                <w:rFonts w:asciiTheme="majorBidi" w:eastAsia="Calibri" w:hAnsiTheme="majorBidi" w:cstheme="majorBidi"/>
                <w:b/>
                <w:bCs/>
              </w:rPr>
            </w:pPr>
            <w:r w:rsidRPr="00235435">
              <w:rPr>
                <w:rFonts w:asciiTheme="majorBidi" w:eastAsia="Calibri" w:hAnsiTheme="majorBidi" w:cstheme="majorBidi"/>
                <w:b/>
                <w:bCs/>
              </w:rPr>
              <w:t>Exclusions from biochemistry</w:t>
            </w:r>
          </w:p>
        </w:tc>
        <w:tc>
          <w:tcPr>
            <w:tcW w:w="2608" w:type="dxa"/>
          </w:tcPr>
          <w:p w14:paraId="7B4D09D9" w14:textId="77777777" w:rsidR="00C76952" w:rsidRPr="00235435" w:rsidRDefault="00C76952" w:rsidP="00DB7862">
            <w:pPr>
              <w:jc w:val="center"/>
              <w:rPr>
                <w:rFonts w:asciiTheme="majorBidi" w:eastAsia="Calibri" w:hAnsiTheme="majorBidi" w:cstheme="majorBidi"/>
                <w:b/>
                <w:bCs/>
                <w:rtl/>
                <w:lang w:bidi="ar-JO"/>
              </w:rPr>
            </w:pPr>
            <w:r w:rsidRPr="00235435">
              <w:rPr>
                <w:rFonts w:asciiTheme="majorBidi" w:eastAsia="Calibri" w:hAnsiTheme="majorBidi" w:cstheme="majorBidi"/>
                <w:b/>
                <w:bCs/>
              </w:rPr>
              <w:t>Reason for exclusion</w:t>
            </w:r>
          </w:p>
        </w:tc>
        <w:tc>
          <w:tcPr>
            <w:tcW w:w="2793" w:type="dxa"/>
            <w:vAlign w:val="center"/>
          </w:tcPr>
          <w:p w14:paraId="557FC889" w14:textId="77777777" w:rsidR="00C76952" w:rsidRPr="00235435" w:rsidRDefault="00C76952" w:rsidP="00DB7862">
            <w:pPr>
              <w:ind w:right="294"/>
              <w:jc w:val="center"/>
              <w:rPr>
                <w:rFonts w:asciiTheme="majorBidi" w:eastAsia="Calibri" w:hAnsiTheme="majorBidi" w:cstheme="majorBidi"/>
                <w:b/>
                <w:bCs/>
              </w:rPr>
            </w:pPr>
            <w:r w:rsidRPr="00235435">
              <w:rPr>
                <w:rFonts w:asciiTheme="majorBidi" w:eastAsia="Calibri" w:hAnsiTheme="majorBidi" w:cstheme="majorBidi"/>
                <w:b/>
                <w:bCs/>
              </w:rPr>
              <w:t xml:space="preserve">Final biochemistry </w:t>
            </w:r>
            <w:r w:rsidRPr="00235435">
              <w:rPr>
                <w:rFonts w:asciiTheme="majorBidi" w:eastAsia="Calibri" w:hAnsiTheme="majorBidi" w:cstheme="majorBidi"/>
                <w:b/>
                <w:bCs/>
              </w:rPr>
              <w:t>(</w:t>
            </w:r>
            <w:r w:rsidRPr="00235435">
              <w:rPr>
                <w:rFonts w:asciiTheme="majorBidi" w:eastAsia="Calibri" w:hAnsiTheme="majorBidi" w:cstheme="majorBidi"/>
                <w:b/>
                <w:bCs/>
              </w:rPr>
              <w:t>n</w:t>
            </w:r>
            <w:r w:rsidRPr="00235435">
              <w:rPr>
                <w:rFonts w:asciiTheme="majorBidi" w:eastAsia="Calibri" w:hAnsiTheme="majorBidi" w:cstheme="majorBidi"/>
                <w:b/>
                <w:bCs/>
              </w:rPr>
              <w:t>)</w:t>
            </w:r>
          </w:p>
        </w:tc>
      </w:tr>
      <w:tr w:rsidR="00C76952" w:rsidRPr="00235435" w14:paraId="2C158EF1" w14:textId="77777777" w:rsidTr="006A0EC9">
        <w:tc>
          <w:tcPr>
            <w:tcW w:w="910" w:type="dxa"/>
            <w:vAlign w:val="center"/>
          </w:tcPr>
          <w:p w14:paraId="1B8C6D00"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RDM</w:t>
            </w:r>
          </w:p>
        </w:tc>
        <w:tc>
          <w:tcPr>
            <w:tcW w:w="1208" w:type="dxa"/>
            <w:vAlign w:val="center"/>
          </w:tcPr>
          <w:p w14:paraId="753E5B9C"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12</w:t>
            </w:r>
          </w:p>
        </w:tc>
        <w:tc>
          <w:tcPr>
            <w:tcW w:w="1514" w:type="dxa"/>
            <w:vAlign w:val="center"/>
          </w:tcPr>
          <w:p w14:paraId="744D5BDE"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12</w:t>
            </w:r>
          </w:p>
        </w:tc>
        <w:tc>
          <w:tcPr>
            <w:tcW w:w="2042" w:type="dxa"/>
            <w:vAlign w:val="center"/>
          </w:tcPr>
          <w:p w14:paraId="56CA3893"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1</w:t>
            </w:r>
          </w:p>
        </w:tc>
        <w:tc>
          <w:tcPr>
            <w:tcW w:w="2608" w:type="dxa"/>
          </w:tcPr>
          <w:p w14:paraId="26E95305" w14:textId="77777777" w:rsidR="00C76952" w:rsidRPr="00235435" w:rsidRDefault="00C76952" w:rsidP="00DB7862">
            <w:pPr>
              <w:jc w:val="center"/>
              <w:rPr>
                <w:rFonts w:asciiTheme="majorBidi" w:eastAsia="Calibri" w:hAnsiTheme="majorBidi" w:cstheme="majorBidi"/>
                <w:lang w:bidi="ar-JO"/>
              </w:rPr>
            </w:pPr>
            <w:r w:rsidRPr="00235435">
              <w:rPr>
                <w:rFonts w:asciiTheme="majorBidi" w:eastAsia="Calibri" w:hAnsiTheme="majorBidi" w:cstheme="majorBidi"/>
              </w:rPr>
              <w:t>Mass/tumor detected post-behavioral testing</w:t>
            </w:r>
          </w:p>
        </w:tc>
        <w:tc>
          <w:tcPr>
            <w:tcW w:w="2793" w:type="dxa"/>
            <w:vAlign w:val="center"/>
          </w:tcPr>
          <w:p w14:paraId="6022A4B5" w14:textId="77777777" w:rsidR="00C76952" w:rsidRPr="00235435" w:rsidRDefault="00C76952" w:rsidP="00DB7862">
            <w:pPr>
              <w:jc w:val="center"/>
              <w:rPr>
                <w:rFonts w:asciiTheme="majorBidi" w:eastAsia="Calibri" w:hAnsiTheme="majorBidi" w:cstheme="majorBidi"/>
                <w:rtl/>
                <w:lang w:bidi="ar-JO"/>
              </w:rPr>
            </w:pPr>
            <w:r w:rsidRPr="00235435">
              <w:rPr>
                <w:rFonts w:asciiTheme="majorBidi" w:eastAsia="Calibri" w:hAnsiTheme="majorBidi" w:cstheme="majorBidi"/>
                <w:lang w:bidi="ar-JO"/>
              </w:rPr>
              <w:t>11</w:t>
            </w:r>
          </w:p>
        </w:tc>
      </w:tr>
      <w:tr w:rsidR="00C76952" w:rsidRPr="00235435" w14:paraId="0980E9F5" w14:textId="77777777" w:rsidTr="006A0EC9">
        <w:tc>
          <w:tcPr>
            <w:tcW w:w="910" w:type="dxa"/>
            <w:vAlign w:val="center"/>
          </w:tcPr>
          <w:p w14:paraId="52198F90"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RDF</w:t>
            </w:r>
          </w:p>
        </w:tc>
        <w:tc>
          <w:tcPr>
            <w:tcW w:w="1208" w:type="dxa"/>
            <w:vAlign w:val="center"/>
          </w:tcPr>
          <w:p w14:paraId="39A56340"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12</w:t>
            </w:r>
          </w:p>
        </w:tc>
        <w:tc>
          <w:tcPr>
            <w:tcW w:w="1514" w:type="dxa"/>
            <w:vAlign w:val="center"/>
          </w:tcPr>
          <w:p w14:paraId="18DD6339"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12</w:t>
            </w:r>
          </w:p>
        </w:tc>
        <w:tc>
          <w:tcPr>
            <w:tcW w:w="2042" w:type="dxa"/>
            <w:vAlign w:val="center"/>
          </w:tcPr>
          <w:p w14:paraId="00343470"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0</w:t>
            </w:r>
          </w:p>
        </w:tc>
        <w:tc>
          <w:tcPr>
            <w:tcW w:w="2608" w:type="dxa"/>
          </w:tcPr>
          <w:p w14:paraId="6DCC5F09"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w:t>
            </w:r>
          </w:p>
        </w:tc>
        <w:tc>
          <w:tcPr>
            <w:tcW w:w="2793" w:type="dxa"/>
            <w:vAlign w:val="center"/>
          </w:tcPr>
          <w:p w14:paraId="5466DEDF" w14:textId="2C1A34C8" w:rsidR="00C76952" w:rsidRPr="00235435" w:rsidRDefault="00C76952" w:rsidP="00DB7862">
            <w:pPr>
              <w:jc w:val="center"/>
              <w:rPr>
                <w:rFonts w:asciiTheme="majorBidi" w:eastAsia="Calibri" w:hAnsiTheme="majorBidi" w:cstheme="majorBidi"/>
                <w:rtl/>
                <w:lang w:bidi="ar-JO"/>
              </w:rPr>
            </w:pPr>
            <w:r w:rsidRPr="00235435">
              <w:rPr>
                <w:rFonts w:asciiTheme="majorBidi" w:eastAsia="Calibri" w:hAnsiTheme="majorBidi" w:cstheme="majorBidi"/>
              </w:rPr>
              <w:t>12*</w:t>
            </w:r>
          </w:p>
        </w:tc>
      </w:tr>
      <w:tr w:rsidR="00C76952" w:rsidRPr="00235435" w14:paraId="3C409C49" w14:textId="77777777" w:rsidTr="006A0EC9">
        <w:tc>
          <w:tcPr>
            <w:tcW w:w="910" w:type="dxa"/>
            <w:vAlign w:val="center"/>
          </w:tcPr>
          <w:p w14:paraId="319C006C"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HFDM</w:t>
            </w:r>
          </w:p>
        </w:tc>
        <w:tc>
          <w:tcPr>
            <w:tcW w:w="1208" w:type="dxa"/>
            <w:vAlign w:val="center"/>
          </w:tcPr>
          <w:p w14:paraId="48C8ED5A"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12</w:t>
            </w:r>
          </w:p>
        </w:tc>
        <w:tc>
          <w:tcPr>
            <w:tcW w:w="1514" w:type="dxa"/>
            <w:vAlign w:val="center"/>
          </w:tcPr>
          <w:p w14:paraId="5F465F6C"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12</w:t>
            </w:r>
          </w:p>
        </w:tc>
        <w:tc>
          <w:tcPr>
            <w:tcW w:w="2042" w:type="dxa"/>
            <w:vAlign w:val="center"/>
          </w:tcPr>
          <w:p w14:paraId="29C7A840"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7</w:t>
            </w:r>
          </w:p>
        </w:tc>
        <w:tc>
          <w:tcPr>
            <w:tcW w:w="2608" w:type="dxa"/>
          </w:tcPr>
          <w:p w14:paraId="6B8E55F2"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Death following STZ administration</w:t>
            </w:r>
          </w:p>
        </w:tc>
        <w:tc>
          <w:tcPr>
            <w:tcW w:w="2793" w:type="dxa"/>
            <w:vAlign w:val="center"/>
          </w:tcPr>
          <w:p w14:paraId="4E8415AE"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5</w:t>
            </w:r>
          </w:p>
        </w:tc>
      </w:tr>
      <w:tr w:rsidR="00C76952" w:rsidRPr="00235435" w14:paraId="08342EDE" w14:textId="77777777" w:rsidTr="006A0EC9">
        <w:tc>
          <w:tcPr>
            <w:tcW w:w="910" w:type="dxa"/>
            <w:vAlign w:val="center"/>
          </w:tcPr>
          <w:p w14:paraId="15B881D3"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HFDF</w:t>
            </w:r>
          </w:p>
        </w:tc>
        <w:tc>
          <w:tcPr>
            <w:tcW w:w="1208" w:type="dxa"/>
            <w:vAlign w:val="center"/>
          </w:tcPr>
          <w:p w14:paraId="6259454E"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12</w:t>
            </w:r>
          </w:p>
        </w:tc>
        <w:tc>
          <w:tcPr>
            <w:tcW w:w="1514" w:type="dxa"/>
            <w:vAlign w:val="center"/>
          </w:tcPr>
          <w:p w14:paraId="15C4B062"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12</w:t>
            </w:r>
          </w:p>
        </w:tc>
        <w:tc>
          <w:tcPr>
            <w:tcW w:w="2042" w:type="dxa"/>
            <w:vAlign w:val="center"/>
          </w:tcPr>
          <w:p w14:paraId="35AF5A6C"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3</w:t>
            </w:r>
          </w:p>
        </w:tc>
        <w:tc>
          <w:tcPr>
            <w:tcW w:w="2608" w:type="dxa"/>
          </w:tcPr>
          <w:p w14:paraId="232CAB44" w14:textId="77777777" w:rsidR="00C76952" w:rsidRPr="00235435" w:rsidRDefault="00C76952" w:rsidP="00DB7862">
            <w:pPr>
              <w:jc w:val="center"/>
              <w:rPr>
                <w:rFonts w:asciiTheme="majorBidi" w:eastAsia="Calibri" w:hAnsiTheme="majorBidi" w:cstheme="majorBidi"/>
              </w:rPr>
            </w:pPr>
            <w:r w:rsidRPr="00235435">
              <w:rPr>
                <w:rFonts w:asciiTheme="majorBidi" w:eastAsia="Calibri" w:hAnsiTheme="majorBidi" w:cstheme="majorBidi"/>
              </w:rPr>
              <w:t>Death following STZ administration</w:t>
            </w:r>
          </w:p>
        </w:tc>
        <w:tc>
          <w:tcPr>
            <w:tcW w:w="2793" w:type="dxa"/>
            <w:vAlign w:val="center"/>
          </w:tcPr>
          <w:p w14:paraId="03B314DE" w14:textId="77777777" w:rsidR="00C76952" w:rsidRPr="00235435" w:rsidRDefault="00C76952" w:rsidP="00DB7862">
            <w:pPr>
              <w:jc w:val="center"/>
              <w:rPr>
                <w:rFonts w:asciiTheme="majorBidi" w:eastAsia="Calibri" w:hAnsiTheme="majorBidi" w:cstheme="majorBidi"/>
                <w:rtl/>
                <w:lang w:bidi="ar-JO"/>
              </w:rPr>
            </w:pPr>
            <w:r w:rsidRPr="00235435">
              <w:rPr>
                <w:rFonts w:asciiTheme="majorBidi" w:eastAsia="Calibri" w:hAnsiTheme="majorBidi" w:cstheme="majorBidi"/>
              </w:rPr>
              <w:t>9</w:t>
            </w:r>
          </w:p>
        </w:tc>
      </w:tr>
    </w:tbl>
    <w:p w14:paraId="146C2B5B" w14:textId="4F7C0C67" w:rsidR="00C76952" w:rsidRPr="00235435" w:rsidRDefault="00C76952" w:rsidP="00C76952">
      <w:pPr>
        <w:ind w:left="-900"/>
        <w:jc w:val="both"/>
        <w:rPr>
          <w:rFonts w:asciiTheme="majorBidi" w:eastAsia="Calibri" w:hAnsiTheme="majorBidi" w:cstheme="majorBidi"/>
          <w:sz w:val="22"/>
          <w:szCs w:val="22"/>
        </w:rPr>
      </w:pPr>
      <w:r w:rsidRPr="00235435">
        <w:rPr>
          <w:rFonts w:asciiTheme="majorBidi" w:eastAsia="Calibri" w:hAnsiTheme="majorBidi" w:cstheme="majorBidi"/>
          <w:sz w:val="22"/>
          <w:szCs w:val="22"/>
        </w:rPr>
        <w:t>*One additional hippocampal MMP-9 value (RDF group) was excluded as a statistical outlier for that specific analysis; the corresponding animal remained included in all other analyses</w:t>
      </w:r>
    </w:p>
    <w:p w14:paraId="197C82A2" w14:textId="77777777" w:rsidR="00B977FA" w:rsidRDefault="00B977FA" w:rsidP="00B977FA">
      <w:pPr>
        <w:spacing w:line="480" w:lineRule="auto"/>
        <w:rPr>
          <w:rFonts w:asciiTheme="majorBidi" w:eastAsia="Calibri" w:hAnsiTheme="majorBidi" w:cstheme="majorBidi"/>
        </w:rPr>
      </w:pPr>
    </w:p>
    <w:p w14:paraId="527E160E" w14:textId="27402170" w:rsidR="00B977FA" w:rsidRPr="00235435" w:rsidRDefault="00B977FA" w:rsidP="00B977FA">
      <w:pPr>
        <w:pStyle w:val="Heading2"/>
        <w:rPr>
          <w:rFonts w:asciiTheme="majorBidi" w:eastAsia="Calibri" w:hAnsiTheme="majorBidi"/>
          <w:b/>
          <w:bCs/>
          <w:color w:val="auto"/>
        </w:rPr>
      </w:pPr>
      <w:r w:rsidRPr="00235435">
        <w:rPr>
          <w:rFonts w:asciiTheme="majorBidi" w:eastAsia="Calibri" w:hAnsiTheme="majorBidi"/>
          <w:b/>
          <w:bCs/>
          <w:color w:val="auto"/>
        </w:rPr>
        <w:lastRenderedPageBreak/>
        <w:t xml:space="preserve">Section S2: </w:t>
      </w:r>
      <w:r w:rsidRPr="00B977FA">
        <w:rPr>
          <w:rFonts w:asciiTheme="majorBidi" w:eastAsia="Calibri" w:hAnsiTheme="majorBidi"/>
          <w:b/>
          <w:bCs/>
          <w:color w:val="auto"/>
        </w:rPr>
        <w:t>Sensitivity analysis</w:t>
      </w:r>
    </w:p>
    <w:p w14:paraId="169E007A" w14:textId="58AC4E07" w:rsidR="00B977FA" w:rsidRPr="00B977FA" w:rsidRDefault="00B977FA" w:rsidP="00B977FA">
      <w:pPr>
        <w:spacing w:line="480" w:lineRule="auto"/>
        <w:rPr>
          <w:rFonts w:asciiTheme="majorBidi" w:eastAsia="Calibri" w:hAnsiTheme="majorBidi" w:cstheme="majorBidi"/>
        </w:rPr>
      </w:pPr>
      <w:r w:rsidRPr="00B977FA">
        <w:rPr>
          <w:rFonts w:asciiTheme="majorBidi" w:eastAsia="Calibri" w:hAnsiTheme="majorBidi" w:cstheme="majorBidi"/>
        </w:rPr>
        <w:t>All datasets were assessed for potential outliers. Outliers were identified in the RAWM dataset (n = 7 data points) and in the serum MMP-9 dataset (one datapoint from the RDF group). The MMP-9 outlier was excluded from that specific analysis, resulting in a final sample size of  n = 11 for the RDF group, while the corresponding animal was retained for all other biochemical analyses.</w:t>
      </w:r>
    </w:p>
    <w:p w14:paraId="22FAFD45" w14:textId="22E73862" w:rsidR="00C057B4" w:rsidRPr="00235435" w:rsidRDefault="00235435" w:rsidP="00235435">
      <w:pPr>
        <w:pStyle w:val="Heading2"/>
        <w:rPr>
          <w:rFonts w:asciiTheme="majorBidi" w:eastAsia="Calibri" w:hAnsiTheme="majorBidi"/>
          <w:b/>
          <w:bCs/>
          <w:color w:val="auto"/>
        </w:rPr>
      </w:pPr>
      <w:r w:rsidRPr="00235435">
        <w:rPr>
          <w:rFonts w:asciiTheme="majorBidi" w:eastAsia="Calibri" w:hAnsiTheme="majorBidi"/>
          <w:b/>
          <w:bCs/>
          <w:color w:val="auto"/>
        </w:rPr>
        <w:t>Section S</w:t>
      </w:r>
      <w:r w:rsidR="00B977FA">
        <w:rPr>
          <w:rFonts w:asciiTheme="majorBidi" w:eastAsia="Calibri" w:hAnsiTheme="majorBidi"/>
          <w:b/>
          <w:bCs/>
          <w:color w:val="auto"/>
        </w:rPr>
        <w:t>3</w:t>
      </w:r>
      <w:r w:rsidRPr="00235435">
        <w:rPr>
          <w:rFonts w:asciiTheme="majorBidi" w:eastAsia="Calibri" w:hAnsiTheme="majorBidi"/>
          <w:b/>
          <w:bCs/>
          <w:color w:val="auto"/>
        </w:rPr>
        <w:t>: Statistical Normality Testing</w:t>
      </w:r>
    </w:p>
    <w:p w14:paraId="189C352D" w14:textId="155201BF" w:rsidR="00C057B4" w:rsidRPr="00235435" w:rsidRDefault="00C057B4" w:rsidP="00C057B4">
      <w:pPr>
        <w:spacing w:after="0" w:line="480" w:lineRule="auto"/>
        <w:jc w:val="both"/>
        <w:rPr>
          <w:rFonts w:asciiTheme="majorBidi" w:eastAsia="Calibri" w:hAnsiTheme="majorBidi" w:cstheme="majorBidi"/>
          <w:b/>
          <w:bCs/>
        </w:rPr>
      </w:pPr>
      <w:r w:rsidRPr="00235435">
        <w:rPr>
          <w:rFonts w:asciiTheme="majorBidi" w:eastAsia="Calibri" w:hAnsiTheme="majorBidi" w:cstheme="majorBidi"/>
          <w:b/>
          <w:bCs/>
        </w:rPr>
        <w:t xml:space="preserve">Table S3.  </w:t>
      </w:r>
      <w:r w:rsidRPr="00235435">
        <w:rPr>
          <w:rFonts w:asciiTheme="majorBidi" w:eastAsia="Calibri" w:hAnsiTheme="majorBidi" w:cstheme="majorBidi"/>
        </w:rPr>
        <w:t>Normality Test Results for All Datasets.</w:t>
      </w:r>
    </w:p>
    <w:tbl>
      <w:tblPr>
        <w:tblStyle w:val="TableGrid"/>
        <w:tblW w:w="0" w:type="auto"/>
        <w:tblBorders>
          <w:top w:val="single" w:sz="12" w:space="0" w:color="auto"/>
          <w:left w:val="none" w:sz="0" w:space="0" w:color="auto"/>
          <w:bottom w:val="single" w:sz="12" w:space="0" w:color="auto"/>
          <w:right w:val="none" w:sz="0" w:space="0" w:color="auto"/>
          <w:insideH w:val="single" w:sz="12" w:space="0" w:color="auto"/>
          <w:insideV w:val="none" w:sz="0" w:space="0" w:color="auto"/>
        </w:tblBorders>
        <w:tblLook w:val="04A0" w:firstRow="1" w:lastRow="0" w:firstColumn="1" w:lastColumn="0" w:noHBand="0" w:noVBand="1"/>
      </w:tblPr>
      <w:tblGrid>
        <w:gridCol w:w="2057"/>
        <w:gridCol w:w="2011"/>
        <w:gridCol w:w="2070"/>
        <w:gridCol w:w="1260"/>
        <w:gridCol w:w="1615"/>
      </w:tblGrid>
      <w:tr w:rsidR="00C057B4" w:rsidRPr="00235435" w14:paraId="579BD8B6" w14:textId="77777777" w:rsidTr="00215F9D">
        <w:tc>
          <w:tcPr>
            <w:tcW w:w="2057" w:type="dxa"/>
          </w:tcPr>
          <w:p w14:paraId="3BB0BE70" w14:textId="77777777" w:rsidR="00C057B4" w:rsidRPr="00235435" w:rsidRDefault="00C057B4" w:rsidP="00D629EA">
            <w:pPr>
              <w:spacing w:line="480" w:lineRule="auto"/>
              <w:jc w:val="center"/>
              <w:rPr>
                <w:rFonts w:asciiTheme="majorBidi" w:eastAsia="Calibri" w:hAnsiTheme="majorBidi" w:cstheme="majorBidi"/>
                <w:b/>
                <w:bCs/>
              </w:rPr>
            </w:pPr>
            <w:r w:rsidRPr="00235435">
              <w:rPr>
                <w:rFonts w:asciiTheme="majorBidi" w:eastAsia="Calibri" w:hAnsiTheme="majorBidi" w:cstheme="majorBidi"/>
                <w:b/>
                <w:bCs/>
              </w:rPr>
              <w:t>Variable</w:t>
            </w:r>
          </w:p>
        </w:tc>
        <w:tc>
          <w:tcPr>
            <w:tcW w:w="2011" w:type="dxa"/>
          </w:tcPr>
          <w:p w14:paraId="0686A648" w14:textId="77777777" w:rsidR="00C057B4" w:rsidRPr="00235435" w:rsidRDefault="00C057B4" w:rsidP="00D629EA">
            <w:pPr>
              <w:spacing w:line="480" w:lineRule="auto"/>
              <w:jc w:val="center"/>
              <w:rPr>
                <w:rFonts w:asciiTheme="majorBidi" w:eastAsia="Calibri" w:hAnsiTheme="majorBidi" w:cstheme="majorBidi"/>
                <w:b/>
                <w:bCs/>
              </w:rPr>
            </w:pPr>
            <w:r w:rsidRPr="00235435">
              <w:rPr>
                <w:rFonts w:asciiTheme="majorBidi" w:eastAsia="Calibri" w:hAnsiTheme="majorBidi" w:cstheme="majorBidi"/>
                <w:b/>
                <w:bCs/>
              </w:rPr>
              <w:t>Normality test</w:t>
            </w:r>
          </w:p>
        </w:tc>
        <w:tc>
          <w:tcPr>
            <w:tcW w:w="2070" w:type="dxa"/>
          </w:tcPr>
          <w:p w14:paraId="76A5D897" w14:textId="77777777" w:rsidR="00C057B4" w:rsidRPr="00235435" w:rsidRDefault="00C057B4" w:rsidP="00D629EA">
            <w:pPr>
              <w:spacing w:line="480" w:lineRule="auto"/>
              <w:jc w:val="center"/>
              <w:rPr>
                <w:rFonts w:asciiTheme="majorBidi" w:eastAsia="Calibri" w:hAnsiTheme="majorBidi" w:cstheme="majorBidi"/>
                <w:b/>
                <w:bCs/>
              </w:rPr>
            </w:pPr>
            <w:r w:rsidRPr="00235435">
              <w:rPr>
                <w:rFonts w:asciiTheme="majorBidi" w:eastAsia="Calibri" w:hAnsiTheme="majorBidi" w:cstheme="majorBidi"/>
                <w:b/>
                <w:bCs/>
              </w:rPr>
              <w:t>Test statistics (W)</w:t>
            </w:r>
          </w:p>
        </w:tc>
        <w:tc>
          <w:tcPr>
            <w:tcW w:w="1260" w:type="dxa"/>
          </w:tcPr>
          <w:p w14:paraId="53732126" w14:textId="77777777" w:rsidR="00C057B4" w:rsidRPr="00235435" w:rsidRDefault="00C057B4" w:rsidP="00D629EA">
            <w:pPr>
              <w:spacing w:line="480" w:lineRule="auto"/>
              <w:jc w:val="center"/>
              <w:rPr>
                <w:rFonts w:asciiTheme="majorBidi" w:eastAsia="Calibri" w:hAnsiTheme="majorBidi" w:cstheme="majorBidi"/>
                <w:b/>
                <w:bCs/>
              </w:rPr>
            </w:pPr>
            <w:r w:rsidRPr="00193E8D">
              <w:rPr>
                <w:rFonts w:asciiTheme="majorBidi" w:eastAsia="Calibri" w:hAnsiTheme="majorBidi" w:cstheme="majorBidi"/>
                <w:b/>
                <w:bCs/>
                <w:i/>
                <w:iCs/>
              </w:rPr>
              <w:t>P</w:t>
            </w:r>
            <w:r w:rsidRPr="00235435">
              <w:rPr>
                <w:rFonts w:asciiTheme="majorBidi" w:eastAsia="Calibri" w:hAnsiTheme="majorBidi" w:cstheme="majorBidi"/>
                <w:b/>
                <w:bCs/>
              </w:rPr>
              <w:t>-value</w:t>
            </w:r>
          </w:p>
        </w:tc>
        <w:tc>
          <w:tcPr>
            <w:tcW w:w="1615" w:type="dxa"/>
          </w:tcPr>
          <w:p w14:paraId="02CB983C" w14:textId="77777777" w:rsidR="00C057B4" w:rsidRPr="00235435" w:rsidRDefault="00C057B4" w:rsidP="00D629EA">
            <w:pPr>
              <w:spacing w:line="480" w:lineRule="auto"/>
              <w:jc w:val="center"/>
              <w:rPr>
                <w:rFonts w:asciiTheme="majorBidi" w:eastAsia="Calibri" w:hAnsiTheme="majorBidi" w:cstheme="majorBidi"/>
                <w:b/>
                <w:bCs/>
              </w:rPr>
            </w:pPr>
            <w:r w:rsidRPr="00235435">
              <w:rPr>
                <w:rFonts w:asciiTheme="majorBidi" w:eastAsia="Calibri" w:hAnsiTheme="majorBidi" w:cstheme="majorBidi"/>
                <w:b/>
                <w:bCs/>
              </w:rPr>
              <w:t>Distribution</w:t>
            </w:r>
          </w:p>
        </w:tc>
      </w:tr>
      <w:tr w:rsidR="00C057B4" w:rsidRPr="00235435" w14:paraId="6F78E802" w14:textId="77777777" w:rsidTr="00215F9D">
        <w:tc>
          <w:tcPr>
            <w:tcW w:w="2057" w:type="dxa"/>
          </w:tcPr>
          <w:p w14:paraId="10D5B0B0"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Body weight</w:t>
            </w:r>
          </w:p>
        </w:tc>
        <w:tc>
          <w:tcPr>
            <w:tcW w:w="2011" w:type="dxa"/>
          </w:tcPr>
          <w:p w14:paraId="70E81000"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Shapiro–Wilk</w:t>
            </w:r>
          </w:p>
        </w:tc>
        <w:tc>
          <w:tcPr>
            <w:tcW w:w="2070" w:type="dxa"/>
          </w:tcPr>
          <w:p w14:paraId="11BAB575"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0.9064</w:t>
            </w:r>
          </w:p>
        </w:tc>
        <w:tc>
          <w:tcPr>
            <w:tcW w:w="1260" w:type="dxa"/>
          </w:tcPr>
          <w:p w14:paraId="42CFFAE2"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0.0635</w:t>
            </w:r>
          </w:p>
        </w:tc>
        <w:tc>
          <w:tcPr>
            <w:tcW w:w="1615" w:type="dxa"/>
          </w:tcPr>
          <w:p w14:paraId="3FD87E7A"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Normal</w:t>
            </w:r>
          </w:p>
        </w:tc>
      </w:tr>
      <w:tr w:rsidR="00C057B4" w:rsidRPr="00235435" w14:paraId="1E6683F1" w14:textId="77777777" w:rsidTr="00215F9D">
        <w:tc>
          <w:tcPr>
            <w:tcW w:w="2057" w:type="dxa"/>
          </w:tcPr>
          <w:p w14:paraId="0C697ED4"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FBG</w:t>
            </w:r>
          </w:p>
        </w:tc>
        <w:tc>
          <w:tcPr>
            <w:tcW w:w="2011" w:type="dxa"/>
          </w:tcPr>
          <w:p w14:paraId="46334649"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Shapiro–Wilk</w:t>
            </w:r>
          </w:p>
        </w:tc>
        <w:tc>
          <w:tcPr>
            <w:tcW w:w="2070" w:type="dxa"/>
          </w:tcPr>
          <w:p w14:paraId="381C2BFF"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0.9751</w:t>
            </w:r>
          </w:p>
        </w:tc>
        <w:tc>
          <w:tcPr>
            <w:tcW w:w="1260" w:type="dxa"/>
          </w:tcPr>
          <w:p w14:paraId="2BD0A86F"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0.7922</w:t>
            </w:r>
          </w:p>
        </w:tc>
        <w:tc>
          <w:tcPr>
            <w:tcW w:w="1615" w:type="dxa"/>
          </w:tcPr>
          <w:p w14:paraId="7EDA7925"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Normal</w:t>
            </w:r>
          </w:p>
        </w:tc>
      </w:tr>
      <w:tr w:rsidR="00C057B4" w:rsidRPr="00235435" w14:paraId="2E0BF210" w14:textId="77777777" w:rsidTr="00215F9D">
        <w:tc>
          <w:tcPr>
            <w:tcW w:w="2057" w:type="dxa"/>
          </w:tcPr>
          <w:p w14:paraId="5DE085FF"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FI</w:t>
            </w:r>
          </w:p>
        </w:tc>
        <w:tc>
          <w:tcPr>
            <w:tcW w:w="2011" w:type="dxa"/>
          </w:tcPr>
          <w:p w14:paraId="0981727D"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Shapiro–Wilk</w:t>
            </w:r>
          </w:p>
        </w:tc>
        <w:tc>
          <w:tcPr>
            <w:tcW w:w="2070" w:type="dxa"/>
          </w:tcPr>
          <w:p w14:paraId="4611D9A3"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0.9346</w:t>
            </w:r>
          </w:p>
        </w:tc>
        <w:tc>
          <w:tcPr>
            <w:tcW w:w="1260" w:type="dxa"/>
          </w:tcPr>
          <w:p w14:paraId="35D70CD8"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0.2101</w:t>
            </w:r>
          </w:p>
        </w:tc>
        <w:tc>
          <w:tcPr>
            <w:tcW w:w="1615" w:type="dxa"/>
          </w:tcPr>
          <w:p w14:paraId="16149104"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Normal</w:t>
            </w:r>
          </w:p>
        </w:tc>
      </w:tr>
      <w:tr w:rsidR="00C057B4" w:rsidRPr="00235435" w14:paraId="6B330044" w14:textId="77777777" w:rsidTr="00215F9D">
        <w:tc>
          <w:tcPr>
            <w:tcW w:w="2057" w:type="dxa"/>
          </w:tcPr>
          <w:p w14:paraId="1B521EB7"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HOMA-IR</w:t>
            </w:r>
          </w:p>
        </w:tc>
        <w:tc>
          <w:tcPr>
            <w:tcW w:w="2011" w:type="dxa"/>
          </w:tcPr>
          <w:p w14:paraId="38711039"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Shapiro–Wilk</w:t>
            </w:r>
          </w:p>
        </w:tc>
        <w:tc>
          <w:tcPr>
            <w:tcW w:w="2070" w:type="dxa"/>
          </w:tcPr>
          <w:p w14:paraId="648827F5"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0.9682</w:t>
            </w:r>
          </w:p>
        </w:tc>
        <w:tc>
          <w:tcPr>
            <w:tcW w:w="1260" w:type="dxa"/>
          </w:tcPr>
          <w:p w14:paraId="5671C642"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0.8679</w:t>
            </w:r>
          </w:p>
        </w:tc>
        <w:tc>
          <w:tcPr>
            <w:tcW w:w="1615" w:type="dxa"/>
          </w:tcPr>
          <w:p w14:paraId="65CFAD2A"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Normal</w:t>
            </w:r>
          </w:p>
        </w:tc>
      </w:tr>
      <w:tr w:rsidR="00C057B4" w:rsidRPr="00235435" w14:paraId="7939C488" w14:textId="77777777" w:rsidTr="00215F9D">
        <w:tc>
          <w:tcPr>
            <w:tcW w:w="2057" w:type="dxa"/>
          </w:tcPr>
          <w:p w14:paraId="1E9E3301"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OFT</w:t>
            </w:r>
          </w:p>
        </w:tc>
        <w:tc>
          <w:tcPr>
            <w:tcW w:w="2011" w:type="dxa"/>
          </w:tcPr>
          <w:p w14:paraId="36178268"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Shapiro–Wilk</w:t>
            </w:r>
          </w:p>
        </w:tc>
        <w:tc>
          <w:tcPr>
            <w:tcW w:w="2070" w:type="dxa"/>
          </w:tcPr>
          <w:p w14:paraId="3EF2AFD7"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0.8631</w:t>
            </w:r>
          </w:p>
        </w:tc>
        <w:tc>
          <w:tcPr>
            <w:tcW w:w="1260" w:type="dxa"/>
          </w:tcPr>
          <w:p w14:paraId="7F509FB2"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0.0534</w:t>
            </w:r>
          </w:p>
        </w:tc>
        <w:tc>
          <w:tcPr>
            <w:tcW w:w="1615" w:type="dxa"/>
          </w:tcPr>
          <w:p w14:paraId="530B72A3"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Normal</w:t>
            </w:r>
          </w:p>
        </w:tc>
      </w:tr>
      <w:tr w:rsidR="00C057B4" w:rsidRPr="00235435" w14:paraId="71785D4A" w14:textId="77777777" w:rsidTr="00215F9D">
        <w:tc>
          <w:tcPr>
            <w:tcW w:w="2057" w:type="dxa"/>
          </w:tcPr>
          <w:p w14:paraId="38359622"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EPM</w:t>
            </w:r>
          </w:p>
        </w:tc>
        <w:tc>
          <w:tcPr>
            <w:tcW w:w="2011" w:type="dxa"/>
          </w:tcPr>
          <w:p w14:paraId="7ACD7296"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Shapiro–Wilk</w:t>
            </w:r>
          </w:p>
        </w:tc>
        <w:tc>
          <w:tcPr>
            <w:tcW w:w="2070" w:type="dxa"/>
          </w:tcPr>
          <w:p w14:paraId="36B1D556"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0.8910</w:t>
            </w:r>
          </w:p>
        </w:tc>
        <w:tc>
          <w:tcPr>
            <w:tcW w:w="1260" w:type="dxa"/>
          </w:tcPr>
          <w:p w14:paraId="5F520CFF"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0.1214</w:t>
            </w:r>
          </w:p>
        </w:tc>
        <w:tc>
          <w:tcPr>
            <w:tcW w:w="1615" w:type="dxa"/>
          </w:tcPr>
          <w:p w14:paraId="69C97AC9"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Normal</w:t>
            </w:r>
          </w:p>
        </w:tc>
      </w:tr>
      <w:tr w:rsidR="00C057B4" w:rsidRPr="00235435" w14:paraId="77A1BDB9" w14:textId="77777777" w:rsidTr="00215F9D">
        <w:tc>
          <w:tcPr>
            <w:tcW w:w="2057" w:type="dxa"/>
          </w:tcPr>
          <w:p w14:paraId="319FCBC8"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RAWM</w:t>
            </w:r>
          </w:p>
        </w:tc>
        <w:tc>
          <w:tcPr>
            <w:tcW w:w="2011" w:type="dxa"/>
          </w:tcPr>
          <w:p w14:paraId="5A5980B6"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Shapiro–Wilk</w:t>
            </w:r>
          </w:p>
        </w:tc>
        <w:tc>
          <w:tcPr>
            <w:tcW w:w="2070" w:type="dxa"/>
          </w:tcPr>
          <w:p w14:paraId="36ABA3C7"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0.8887</w:t>
            </w:r>
          </w:p>
        </w:tc>
        <w:tc>
          <w:tcPr>
            <w:tcW w:w="1260" w:type="dxa"/>
          </w:tcPr>
          <w:p w14:paraId="71B6E514"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0.1341</w:t>
            </w:r>
          </w:p>
        </w:tc>
        <w:tc>
          <w:tcPr>
            <w:tcW w:w="1615" w:type="dxa"/>
          </w:tcPr>
          <w:p w14:paraId="107F1DAA"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Normal</w:t>
            </w:r>
          </w:p>
        </w:tc>
      </w:tr>
      <w:tr w:rsidR="00C057B4" w:rsidRPr="00235435" w14:paraId="5D37524A" w14:textId="77777777" w:rsidTr="00215F9D">
        <w:trPr>
          <w:trHeight w:val="739"/>
        </w:trPr>
        <w:tc>
          <w:tcPr>
            <w:tcW w:w="2057" w:type="dxa"/>
          </w:tcPr>
          <w:p w14:paraId="12F8608A"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Hippocampus markers</w:t>
            </w:r>
          </w:p>
        </w:tc>
        <w:tc>
          <w:tcPr>
            <w:tcW w:w="2011" w:type="dxa"/>
          </w:tcPr>
          <w:p w14:paraId="5D9C4B33"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Shapiro–Wilk</w:t>
            </w:r>
          </w:p>
        </w:tc>
        <w:tc>
          <w:tcPr>
            <w:tcW w:w="2070" w:type="dxa"/>
          </w:tcPr>
          <w:p w14:paraId="4FFDBECA"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0.9488</w:t>
            </w:r>
          </w:p>
        </w:tc>
        <w:tc>
          <w:tcPr>
            <w:tcW w:w="1260" w:type="dxa"/>
          </w:tcPr>
          <w:p w14:paraId="548D2E5D"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0.6282</w:t>
            </w:r>
          </w:p>
        </w:tc>
        <w:tc>
          <w:tcPr>
            <w:tcW w:w="1615" w:type="dxa"/>
          </w:tcPr>
          <w:p w14:paraId="47387D9A"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Normal</w:t>
            </w:r>
          </w:p>
        </w:tc>
      </w:tr>
      <w:tr w:rsidR="00C057B4" w:rsidRPr="00235435" w14:paraId="264DC89C" w14:textId="77777777" w:rsidTr="00215F9D">
        <w:tc>
          <w:tcPr>
            <w:tcW w:w="2057" w:type="dxa"/>
          </w:tcPr>
          <w:p w14:paraId="2E5CB674"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Serum markers</w:t>
            </w:r>
          </w:p>
        </w:tc>
        <w:tc>
          <w:tcPr>
            <w:tcW w:w="2011" w:type="dxa"/>
          </w:tcPr>
          <w:p w14:paraId="35D04440"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Shapiro–Wilk</w:t>
            </w:r>
          </w:p>
        </w:tc>
        <w:tc>
          <w:tcPr>
            <w:tcW w:w="2070" w:type="dxa"/>
          </w:tcPr>
          <w:p w14:paraId="11D7295D"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0.9422</w:t>
            </w:r>
          </w:p>
        </w:tc>
        <w:tc>
          <w:tcPr>
            <w:tcW w:w="1260" w:type="dxa"/>
          </w:tcPr>
          <w:p w14:paraId="065A8DA9"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0.5462</w:t>
            </w:r>
          </w:p>
        </w:tc>
        <w:tc>
          <w:tcPr>
            <w:tcW w:w="1615" w:type="dxa"/>
          </w:tcPr>
          <w:p w14:paraId="5AF93AB3" w14:textId="77777777" w:rsidR="00C057B4" w:rsidRPr="00235435" w:rsidRDefault="00C057B4" w:rsidP="00D629EA">
            <w:pPr>
              <w:spacing w:line="480" w:lineRule="auto"/>
              <w:jc w:val="center"/>
              <w:rPr>
                <w:rFonts w:asciiTheme="majorBidi" w:eastAsia="Calibri" w:hAnsiTheme="majorBidi" w:cstheme="majorBidi"/>
              </w:rPr>
            </w:pPr>
            <w:r w:rsidRPr="00235435">
              <w:rPr>
                <w:rFonts w:asciiTheme="majorBidi" w:eastAsia="Calibri" w:hAnsiTheme="majorBidi" w:cstheme="majorBidi"/>
              </w:rPr>
              <w:t>Normal</w:t>
            </w:r>
          </w:p>
        </w:tc>
      </w:tr>
    </w:tbl>
    <w:p w14:paraId="1115CB83" w14:textId="77777777" w:rsidR="00C057B4" w:rsidRDefault="00C057B4" w:rsidP="00C057B4">
      <w:pPr>
        <w:spacing w:after="0" w:line="480" w:lineRule="auto"/>
        <w:jc w:val="both"/>
        <w:rPr>
          <w:rFonts w:asciiTheme="majorBidi" w:eastAsia="Calibri" w:hAnsiTheme="majorBidi" w:cstheme="majorBidi"/>
        </w:rPr>
      </w:pPr>
      <w:r w:rsidRPr="00235435">
        <w:rPr>
          <w:rFonts w:asciiTheme="majorBidi" w:eastAsia="Calibri" w:hAnsiTheme="majorBidi" w:cstheme="majorBidi"/>
        </w:rPr>
        <w:t>Normality was assessed using Shapiro–Wilk test, p value more than 0.05 indicate normal distribution.</w:t>
      </w:r>
    </w:p>
    <w:p w14:paraId="6057394D" w14:textId="55218EE5" w:rsidR="00235435" w:rsidRDefault="00235435">
      <w:pPr>
        <w:rPr>
          <w:rFonts w:asciiTheme="majorBidi" w:eastAsia="Calibri" w:hAnsiTheme="majorBidi" w:cstheme="majorBidi"/>
        </w:rPr>
      </w:pPr>
      <w:r>
        <w:rPr>
          <w:rFonts w:asciiTheme="majorBidi" w:eastAsia="Calibri" w:hAnsiTheme="majorBidi" w:cstheme="majorBidi"/>
        </w:rPr>
        <w:br w:type="page"/>
      </w:r>
    </w:p>
    <w:p w14:paraId="2228452D" w14:textId="69A8D3A6" w:rsidR="00235435" w:rsidRPr="00C23B98" w:rsidRDefault="00235435" w:rsidP="00235435">
      <w:pPr>
        <w:pStyle w:val="Heading2"/>
        <w:rPr>
          <w:rFonts w:asciiTheme="majorBidi" w:eastAsia="Calibri" w:hAnsiTheme="majorBidi"/>
          <w:b/>
          <w:bCs/>
          <w:color w:val="auto"/>
        </w:rPr>
      </w:pPr>
      <w:r w:rsidRPr="00C23B98">
        <w:rPr>
          <w:rFonts w:asciiTheme="majorBidi" w:eastAsia="Calibri" w:hAnsiTheme="majorBidi"/>
          <w:b/>
          <w:bCs/>
          <w:color w:val="auto"/>
        </w:rPr>
        <w:lastRenderedPageBreak/>
        <w:t>Section S</w:t>
      </w:r>
      <w:r w:rsidR="00B977FA" w:rsidRPr="00C23B98">
        <w:rPr>
          <w:rFonts w:asciiTheme="majorBidi" w:eastAsia="Calibri" w:hAnsiTheme="majorBidi"/>
          <w:b/>
          <w:bCs/>
          <w:color w:val="auto"/>
        </w:rPr>
        <w:t>4</w:t>
      </w:r>
      <w:r w:rsidRPr="00C23B98">
        <w:rPr>
          <w:rFonts w:asciiTheme="majorBidi" w:eastAsia="Calibri" w:hAnsiTheme="majorBidi"/>
          <w:b/>
          <w:bCs/>
          <w:color w:val="auto"/>
        </w:rPr>
        <w:t>: Behavioral Sensitivity Analysis</w:t>
      </w:r>
    </w:p>
    <w:p w14:paraId="0B79CDBA" w14:textId="77777777" w:rsidR="00600E18" w:rsidRPr="009E31A6" w:rsidRDefault="00600E18" w:rsidP="00600E18">
      <w:pPr>
        <w:rPr>
          <w:highlight w:val="yellow"/>
        </w:rPr>
      </w:pPr>
    </w:p>
    <w:p w14:paraId="0C2D14F8" w14:textId="77777777" w:rsidR="00C057B4" w:rsidRPr="009E31A6" w:rsidRDefault="00C057B4" w:rsidP="00C057B4">
      <w:pPr>
        <w:spacing w:after="0" w:line="480" w:lineRule="auto"/>
        <w:jc w:val="both"/>
        <w:rPr>
          <w:rFonts w:asciiTheme="majorBidi" w:eastAsia="Calibri" w:hAnsiTheme="majorBidi" w:cstheme="majorBidi"/>
          <w:sz w:val="22"/>
          <w:szCs w:val="22"/>
          <w:highlight w:val="yellow"/>
        </w:rPr>
      </w:pPr>
      <w:r w:rsidRPr="009E31A6">
        <w:rPr>
          <w:rFonts w:asciiTheme="majorBidi" w:eastAsia="Calibri" w:hAnsiTheme="majorBidi" w:cstheme="majorBidi"/>
          <w:noProof/>
          <w:sz w:val="22"/>
          <w:szCs w:val="22"/>
          <w:highlight w:val="yellow"/>
        </w:rPr>
        <w:drawing>
          <wp:inline distT="0" distB="0" distL="0" distR="0" wp14:anchorId="3A55CFC3" wp14:editId="09102CE2">
            <wp:extent cx="5943600" cy="1664335"/>
            <wp:effectExtent l="0" t="0" r="0" b="0"/>
            <wp:docPr id="12" name="صورة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WM WITHOUT3.3.bmp"/>
                    <pic:cNvPicPr/>
                  </pic:nvPicPr>
                  <pic:blipFill>
                    <a:blip r:embed="rId4" cstate="print">
                      <a:extLst>
                        <a:ext uri="{28A0092B-C50C-407E-A947-70E740481C1C}">
                          <a14:useLocalDpi xmlns:a14="http://schemas.microsoft.com/office/drawing/2010/main" val="0"/>
                        </a:ext>
                      </a:extLst>
                    </a:blip>
                    <a:stretch>
                      <a:fillRect/>
                    </a:stretch>
                  </pic:blipFill>
                  <pic:spPr>
                    <a:xfrm>
                      <a:off x="0" y="0"/>
                      <a:ext cx="5943600" cy="1664335"/>
                    </a:xfrm>
                    <a:prstGeom prst="rect">
                      <a:avLst/>
                    </a:prstGeom>
                  </pic:spPr>
                </pic:pic>
              </a:graphicData>
            </a:graphic>
          </wp:inline>
        </w:drawing>
      </w:r>
    </w:p>
    <w:p w14:paraId="388A204C" w14:textId="77777777" w:rsidR="00C057B4" w:rsidRPr="009E31A6" w:rsidRDefault="00C057B4" w:rsidP="00C057B4">
      <w:pPr>
        <w:spacing w:after="0" w:line="480" w:lineRule="auto"/>
        <w:jc w:val="both"/>
        <w:rPr>
          <w:rFonts w:asciiTheme="majorBidi" w:eastAsia="Calibri" w:hAnsiTheme="majorBidi" w:cstheme="majorBidi"/>
          <w:sz w:val="22"/>
          <w:szCs w:val="22"/>
          <w:highlight w:val="yellow"/>
        </w:rPr>
      </w:pPr>
    </w:p>
    <w:p w14:paraId="2605D1E9" w14:textId="61F1EA83" w:rsidR="00C057B4" w:rsidRPr="00B977FA" w:rsidRDefault="00C057B4" w:rsidP="00C057B4">
      <w:pPr>
        <w:spacing w:after="0" w:line="480" w:lineRule="auto"/>
        <w:jc w:val="both"/>
        <w:rPr>
          <w:rFonts w:asciiTheme="majorBidi" w:eastAsia="Calibri" w:hAnsiTheme="majorBidi" w:cstheme="majorBidi"/>
          <w:b/>
          <w:bCs/>
        </w:rPr>
      </w:pPr>
      <w:r w:rsidRPr="00B977FA">
        <w:rPr>
          <w:rFonts w:asciiTheme="majorBidi" w:eastAsia="Calibri" w:hAnsiTheme="majorBidi" w:cstheme="majorBidi"/>
          <w:b/>
          <w:bCs/>
        </w:rPr>
        <w:t>Figure S</w:t>
      </w:r>
      <w:r w:rsidR="00600E18" w:rsidRPr="00B977FA">
        <w:rPr>
          <w:rFonts w:asciiTheme="majorBidi" w:eastAsia="Calibri" w:hAnsiTheme="majorBidi" w:cstheme="majorBidi"/>
          <w:b/>
          <w:bCs/>
        </w:rPr>
        <w:t>1</w:t>
      </w:r>
      <w:r w:rsidRPr="00B977FA">
        <w:rPr>
          <w:rFonts w:asciiTheme="majorBidi" w:eastAsia="Calibri" w:hAnsiTheme="majorBidi" w:cstheme="majorBidi"/>
          <w:b/>
          <w:bCs/>
        </w:rPr>
        <w:t xml:space="preserve">. </w:t>
      </w:r>
      <w:r w:rsidRPr="00B977FA">
        <w:rPr>
          <w:rFonts w:asciiTheme="majorBidi" w:eastAsia="Calibri" w:hAnsiTheme="majorBidi" w:cstheme="majorBidi"/>
        </w:rPr>
        <w:t>Sensitivity Analysis of RAWM Test.</w:t>
      </w:r>
      <w:r w:rsidRPr="00B977FA">
        <w:rPr>
          <w:rFonts w:asciiTheme="majorBidi" w:eastAsia="Calibri" w:hAnsiTheme="majorBidi" w:cstheme="majorBidi"/>
          <w:b/>
          <w:bCs/>
        </w:rPr>
        <w:t xml:space="preserve"> </w:t>
      </w:r>
    </w:p>
    <w:p w14:paraId="4852AA5D" w14:textId="079097DB" w:rsidR="00C057B4" w:rsidRPr="00235435" w:rsidRDefault="00C057B4" w:rsidP="00C057B4">
      <w:pPr>
        <w:spacing w:after="0" w:line="480" w:lineRule="auto"/>
        <w:jc w:val="both"/>
        <w:rPr>
          <w:rFonts w:asciiTheme="majorBidi" w:eastAsia="Calibri" w:hAnsiTheme="majorBidi" w:cstheme="majorBidi"/>
        </w:rPr>
      </w:pPr>
      <w:r w:rsidRPr="00B977FA">
        <w:rPr>
          <w:rFonts w:asciiTheme="majorBidi" w:eastAsia="Calibri" w:hAnsiTheme="majorBidi" w:cstheme="majorBidi"/>
        </w:rPr>
        <w:t>Rat memory performance was assessed at (</w:t>
      </w:r>
      <w:r w:rsidRPr="00B977FA">
        <w:rPr>
          <w:rFonts w:asciiTheme="majorBidi" w:eastAsia="Calibri" w:hAnsiTheme="majorBidi" w:cstheme="majorBidi"/>
          <w:b/>
          <w:bCs/>
        </w:rPr>
        <w:t>A</w:t>
      </w:r>
      <w:r w:rsidRPr="00B977FA">
        <w:rPr>
          <w:rFonts w:asciiTheme="majorBidi" w:eastAsia="Calibri" w:hAnsiTheme="majorBidi" w:cstheme="majorBidi"/>
        </w:rPr>
        <w:t>) 30 min, (</w:t>
      </w:r>
      <w:r w:rsidRPr="00B977FA">
        <w:rPr>
          <w:rFonts w:asciiTheme="majorBidi" w:eastAsia="Calibri" w:hAnsiTheme="majorBidi" w:cstheme="majorBidi"/>
          <w:b/>
          <w:bCs/>
        </w:rPr>
        <w:t>B</w:t>
      </w:r>
      <w:r w:rsidRPr="00B977FA">
        <w:rPr>
          <w:rFonts w:asciiTheme="majorBidi" w:eastAsia="Calibri" w:hAnsiTheme="majorBidi" w:cstheme="majorBidi"/>
        </w:rPr>
        <w:t>) 5 h, and (</w:t>
      </w:r>
      <w:r w:rsidRPr="00B977FA">
        <w:rPr>
          <w:rFonts w:asciiTheme="majorBidi" w:eastAsia="Calibri" w:hAnsiTheme="majorBidi" w:cstheme="majorBidi"/>
          <w:b/>
          <w:bCs/>
        </w:rPr>
        <w:t>C</w:t>
      </w:r>
      <w:r w:rsidRPr="00B977FA">
        <w:rPr>
          <w:rFonts w:asciiTheme="majorBidi" w:eastAsia="Calibri" w:hAnsiTheme="majorBidi" w:cstheme="majorBidi"/>
        </w:rPr>
        <w:t>) 24 h post-training. Normality was assessed using the Shapiro–Wilk test and Q–Q plots; as all data were normally distributed, two-way ANOVA followed by Tukey’s multiple comparisons test was performed and revealed the following: (</w:t>
      </w:r>
      <w:r w:rsidRPr="00B977FA">
        <w:rPr>
          <w:rFonts w:asciiTheme="majorBidi" w:eastAsia="Calibri" w:hAnsiTheme="majorBidi" w:cstheme="majorBidi"/>
          <w:b/>
          <w:bCs/>
        </w:rPr>
        <w:t>A</w:t>
      </w:r>
      <w:r w:rsidRPr="00B977FA">
        <w:rPr>
          <w:rFonts w:asciiTheme="majorBidi" w:eastAsia="Calibri" w:hAnsiTheme="majorBidi" w:cstheme="majorBidi"/>
        </w:rPr>
        <w:t>) only sex (but not diet) has a significant effect (F</w:t>
      </w:r>
      <w:r w:rsidRPr="00B977FA">
        <w:rPr>
          <w:rFonts w:asciiTheme="majorBidi" w:eastAsia="Calibri" w:hAnsiTheme="majorBidi" w:cstheme="majorBidi"/>
          <w:vertAlign w:val="subscript"/>
        </w:rPr>
        <w:t xml:space="preserve"> (1, 39)</w:t>
      </w:r>
      <w:r w:rsidRPr="00B977FA">
        <w:rPr>
          <w:rFonts w:asciiTheme="majorBidi" w:eastAsia="Calibri" w:hAnsiTheme="majorBidi" w:cstheme="majorBidi"/>
        </w:rPr>
        <w:t xml:space="preserve"> = 18.64, </w:t>
      </w:r>
      <w:r w:rsidR="00114108" w:rsidRPr="00B977FA">
        <w:rPr>
          <w:rFonts w:asciiTheme="majorBidi" w:eastAsia="Calibri" w:hAnsiTheme="majorBidi" w:cstheme="majorBidi"/>
          <w:i/>
          <w:iCs/>
        </w:rPr>
        <w:t>P</w:t>
      </w:r>
      <w:r w:rsidRPr="00B977FA">
        <w:rPr>
          <w:rFonts w:asciiTheme="majorBidi" w:eastAsia="Calibri" w:hAnsiTheme="majorBidi" w:cstheme="majorBidi"/>
        </w:rPr>
        <w:t xml:space="preserve"> = 0.0001). (</w:t>
      </w:r>
      <w:r w:rsidRPr="00B977FA">
        <w:rPr>
          <w:rFonts w:asciiTheme="majorBidi" w:eastAsia="Calibri" w:hAnsiTheme="majorBidi" w:cstheme="majorBidi"/>
          <w:b/>
          <w:bCs/>
        </w:rPr>
        <w:t>B</w:t>
      </w:r>
      <w:r w:rsidRPr="00B977FA">
        <w:rPr>
          <w:rFonts w:asciiTheme="majorBidi" w:eastAsia="Calibri" w:hAnsiTheme="majorBidi" w:cstheme="majorBidi"/>
        </w:rPr>
        <w:t xml:space="preserve">) Unlike male rat groups, HFDF rats made significantly lower errors than RDF rats (F </w:t>
      </w:r>
      <w:r w:rsidRPr="00B977FA">
        <w:rPr>
          <w:rFonts w:asciiTheme="majorBidi" w:eastAsia="Calibri" w:hAnsiTheme="majorBidi" w:cstheme="majorBidi"/>
          <w:vertAlign w:val="subscript"/>
        </w:rPr>
        <w:t>(1, 39)</w:t>
      </w:r>
      <w:r w:rsidRPr="00B977FA">
        <w:rPr>
          <w:rFonts w:asciiTheme="majorBidi" w:eastAsia="Calibri" w:hAnsiTheme="majorBidi" w:cstheme="majorBidi"/>
        </w:rPr>
        <w:t xml:space="preserve"> = 9.099, </w:t>
      </w:r>
      <w:r w:rsidR="00114108" w:rsidRPr="00B977FA">
        <w:rPr>
          <w:rFonts w:asciiTheme="majorBidi" w:eastAsia="Calibri" w:hAnsiTheme="majorBidi" w:cstheme="majorBidi"/>
          <w:i/>
          <w:iCs/>
        </w:rPr>
        <w:t>P</w:t>
      </w:r>
      <w:r w:rsidRPr="00B977FA">
        <w:rPr>
          <w:rFonts w:asciiTheme="majorBidi" w:eastAsia="Calibri" w:hAnsiTheme="majorBidi" w:cstheme="majorBidi"/>
        </w:rPr>
        <w:t xml:space="preserve"> = 0.0045). (</w:t>
      </w:r>
      <w:r w:rsidRPr="00B977FA">
        <w:rPr>
          <w:rFonts w:asciiTheme="majorBidi" w:eastAsia="Calibri" w:hAnsiTheme="majorBidi" w:cstheme="majorBidi"/>
          <w:b/>
          <w:bCs/>
        </w:rPr>
        <w:t>C</w:t>
      </w:r>
      <w:r w:rsidRPr="00B977FA">
        <w:rPr>
          <w:rFonts w:asciiTheme="majorBidi" w:eastAsia="Calibri" w:hAnsiTheme="majorBidi" w:cstheme="majorBidi"/>
        </w:rPr>
        <w:t xml:space="preserve">) HFD rats of both sexes committed significantly more errors than RD rats (F </w:t>
      </w:r>
      <w:r w:rsidRPr="00B977FA">
        <w:rPr>
          <w:rFonts w:asciiTheme="majorBidi" w:eastAsia="Calibri" w:hAnsiTheme="majorBidi" w:cstheme="majorBidi"/>
          <w:vertAlign w:val="subscript"/>
        </w:rPr>
        <w:t>(1, 39)</w:t>
      </w:r>
      <w:r w:rsidRPr="00B977FA">
        <w:rPr>
          <w:rFonts w:asciiTheme="majorBidi" w:eastAsia="Calibri" w:hAnsiTheme="majorBidi" w:cstheme="majorBidi"/>
        </w:rPr>
        <w:t xml:space="preserve"> = 12.38, </w:t>
      </w:r>
      <w:r w:rsidR="00114108" w:rsidRPr="00B977FA">
        <w:rPr>
          <w:rFonts w:asciiTheme="majorBidi" w:eastAsia="Calibri" w:hAnsiTheme="majorBidi" w:cstheme="majorBidi"/>
          <w:i/>
          <w:iCs/>
        </w:rPr>
        <w:t>P</w:t>
      </w:r>
      <w:r w:rsidRPr="00B977FA">
        <w:rPr>
          <w:rFonts w:asciiTheme="majorBidi" w:eastAsia="Calibri" w:hAnsiTheme="majorBidi" w:cstheme="majorBidi"/>
        </w:rPr>
        <w:t xml:space="preserve"> = 0.0011). RDM: regular diet male; RDF: regular diet female; HFDM: high-fat, high-fructose diet male; HFDF: high-fat, high-fructose diet female. </w:t>
      </w:r>
      <w:r w:rsidR="00630EA2" w:rsidRPr="00B977FA">
        <w:rPr>
          <w:rFonts w:asciiTheme="majorBidi" w:eastAsia="Calibri" w:hAnsiTheme="majorBidi" w:cstheme="majorBidi"/>
        </w:rPr>
        <w:t xml:space="preserve">Error bars represent </w:t>
      </w:r>
      <w:r w:rsidRPr="00B977FA">
        <w:rPr>
          <w:rFonts w:asciiTheme="majorBidi" w:eastAsia="Calibri" w:hAnsiTheme="majorBidi" w:cstheme="majorBidi"/>
        </w:rPr>
        <w:t xml:space="preserve">mean ± SEM of </w:t>
      </w:r>
      <w:r w:rsidR="00DB1F6F" w:rsidRPr="00B977FA">
        <w:rPr>
          <w:rFonts w:asciiTheme="majorBidi" w:eastAsia="Calibri" w:hAnsiTheme="majorBidi" w:cstheme="majorBidi"/>
        </w:rPr>
        <w:t xml:space="preserve"> </w:t>
      </w:r>
      <w:r w:rsidRPr="00B977FA">
        <w:rPr>
          <w:rFonts w:asciiTheme="majorBidi" w:eastAsia="Calibri" w:hAnsiTheme="majorBidi" w:cstheme="majorBidi"/>
          <w:i/>
          <w:iCs/>
        </w:rPr>
        <w:t>N</w:t>
      </w:r>
      <w:r w:rsidRPr="00B977FA">
        <w:rPr>
          <w:rFonts w:asciiTheme="majorBidi" w:eastAsia="Calibri" w:hAnsiTheme="majorBidi" w:cstheme="majorBidi"/>
        </w:rPr>
        <w:t xml:space="preserve"> = 11</w:t>
      </w:r>
      <w:r w:rsidR="00114108" w:rsidRPr="00B977FA">
        <w:rPr>
          <w:rFonts w:asciiTheme="majorBidi" w:eastAsia="Calibri" w:hAnsiTheme="majorBidi" w:cstheme="majorBidi"/>
        </w:rPr>
        <w:t>–</w:t>
      </w:r>
      <w:r w:rsidRPr="00B977FA">
        <w:rPr>
          <w:rFonts w:asciiTheme="majorBidi" w:eastAsia="Calibri" w:hAnsiTheme="majorBidi" w:cstheme="majorBidi"/>
        </w:rPr>
        <w:t>12 rats per group.</w:t>
      </w:r>
    </w:p>
    <w:p w14:paraId="0CC69A14" w14:textId="77777777" w:rsidR="00C057B4" w:rsidRPr="00235435" w:rsidRDefault="00C057B4">
      <w:pPr>
        <w:rPr>
          <w:rFonts w:asciiTheme="majorBidi" w:hAnsiTheme="majorBidi" w:cstheme="majorBidi"/>
        </w:rPr>
      </w:pPr>
    </w:p>
    <w:sectPr w:rsidR="00C057B4" w:rsidRPr="002354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979"/>
    <w:rsid w:val="00075865"/>
    <w:rsid w:val="000B394B"/>
    <w:rsid w:val="00114108"/>
    <w:rsid w:val="0014536B"/>
    <w:rsid w:val="00193E8D"/>
    <w:rsid w:val="001B06F5"/>
    <w:rsid w:val="001B6AE8"/>
    <w:rsid w:val="00215F9D"/>
    <w:rsid w:val="00235435"/>
    <w:rsid w:val="00436E0A"/>
    <w:rsid w:val="004868CD"/>
    <w:rsid w:val="004E2997"/>
    <w:rsid w:val="005A720A"/>
    <w:rsid w:val="00600E18"/>
    <w:rsid w:val="00630EA2"/>
    <w:rsid w:val="006A0EC9"/>
    <w:rsid w:val="006A64E7"/>
    <w:rsid w:val="006E313A"/>
    <w:rsid w:val="007C088F"/>
    <w:rsid w:val="008326F6"/>
    <w:rsid w:val="008900F6"/>
    <w:rsid w:val="008B26BC"/>
    <w:rsid w:val="00934054"/>
    <w:rsid w:val="009E31A6"/>
    <w:rsid w:val="00A1190E"/>
    <w:rsid w:val="00AC5573"/>
    <w:rsid w:val="00B17979"/>
    <w:rsid w:val="00B977FA"/>
    <w:rsid w:val="00BD473D"/>
    <w:rsid w:val="00C057B4"/>
    <w:rsid w:val="00C23B98"/>
    <w:rsid w:val="00C76952"/>
    <w:rsid w:val="00D629EA"/>
    <w:rsid w:val="00DB1F6F"/>
    <w:rsid w:val="00E21F97"/>
    <w:rsid w:val="00E91162"/>
    <w:rsid w:val="00F46A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FD0332"/>
  <w15:chartTrackingRefBased/>
  <w15:docId w15:val="{7F33DBB9-0F67-41AF-A412-900B758BDA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179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B179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79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79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79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79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79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79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79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79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B179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79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79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79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79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79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79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7979"/>
    <w:rPr>
      <w:rFonts w:eastAsiaTheme="majorEastAsia" w:cstheme="majorBidi"/>
      <w:color w:val="272727" w:themeColor="text1" w:themeTint="D8"/>
    </w:rPr>
  </w:style>
  <w:style w:type="paragraph" w:styleId="Title">
    <w:name w:val="Title"/>
    <w:basedOn w:val="Normal"/>
    <w:next w:val="Normal"/>
    <w:link w:val="TitleChar"/>
    <w:uiPriority w:val="10"/>
    <w:qFormat/>
    <w:rsid w:val="00B179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79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79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79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7979"/>
    <w:pPr>
      <w:spacing w:before="160"/>
      <w:jc w:val="center"/>
    </w:pPr>
    <w:rPr>
      <w:i/>
      <w:iCs/>
      <w:color w:val="404040" w:themeColor="text1" w:themeTint="BF"/>
    </w:rPr>
  </w:style>
  <w:style w:type="character" w:customStyle="1" w:styleId="QuoteChar">
    <w:name w:val="Quote Char"/>
    <w:basedOn w:val="DefaultParagraphFont"/>
    <w:link w:val="Quote"/>
    <w:uiPriority w:val="29"/>
    <w:rsid w:val="00B17979"/>
    <w:rPr>
      <w:i/>
      <w:iCs/>
      <w:color w:val="404040" w:themeColor="text1" w:themeTint="BF"/>
    </w:rPr>
  </w:style>
  <w:style w:type="paragraph" w:styleId="ListParagraph">
    <w:name w:val="List Paragraph"/>
    <w:basedOn w:val="Normal"/>
    <w:uiPriority w:val="34"/>
    <w:qFormat/>
    <w:rsid w:val="00B17979"/>
    <w:pPr>
      <w:ind w:left="720"/>
      <w:contextualSpacing/>
    </w:pPr>
  </w:style>
  <w:style w:type="character" w:styleId="IntenseEmphasis">
    <w:name w:val="Intense Emphasis"/>
    <w:basedOn w:val="DefaultParagraphFont"/>
    <w:uiPriority w:val="21"/>
    <w:qFormat/>
    <w:rsid w:val="00B17979"/>
    <w:rPr>
      <w:i/>
      <w:iCs/>
      <w:color w:val="0F4761" w:themeColor="accent1" w:themeShade="BF"/>
    </w:rPr>
  </w:style>
  <w:style w:type="paragraph" w:styleId="IntenseQuote">
    <w:name w:val="Intense Quote"/>
    <w:basedOn w:val="Normal"/>
    <w:next w:val="Normal"/>
    <w:link w:val="IntenseQuoteChar"/>
    <w:uiPriority w:val="30"/>
    <w:qFormat/>
    <w:rsid w:val="00B179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7979"/>
    <w:rPr>
      <w:i/>
      <w:iCs/>
      <w:color w:val="0F4761" w:themeColor="accent1" w:themeShade="BF"/>
    </w:rPr>
  </w:style>
  <w:style w:type="character" w:styleId="IntenseReference">
    <w:name w:val="Intense Reference"/>
    <w:basedOn w:val="DefaultParagraphFont"/>
    <w:uiPriority w:val="32"/>
    <w:qFormat/>
    <w:rsid w:val="00B17979"/>
    <w:rPr>
      <w:b/>
      <w:bCs/>
      <w:smallCaps/>
      <w:color w:val="0F4761" w:themeColor="accent1" w:themeShade="BF"/>
      <w:spacing w:val="5"/>
    </w:rPr>
  </w:style>
  <w:style w:type="table" w:styleId="TableGrid">
    <w:name w:val="Table Grid"/>
    <w:basedOn w:val="TableNormal"/>
    <w:uiPriority w:val="39"/>
    <w:rsid w:val="00B179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D473D"/>
    <w:rPr>
      <w:sz w:val="16"/>
      <w:szCs w:val="16"/>
    </w:rPr>
  </w:style>
  <w:style w:type="paragraph" w:styleId="CommentText">
    <w:name w:val="annotation text"/>
    <w:basedOn w:val="Normal"/>
    <w:link w:val="CommentTextChar"/>
    <w:uiPriority w:val="99"/>
    <w:unhideWhenUsed/>
    <w:rsid w:val="00BD473D"/>
    <w:pPr>
      <w:spacing w:line="240" w:lineRule="auto"/>
    </w:pPr>
    <w:rPr>
      <w:rFonts w:eastAsiaTheme="minorEastAsia"/>
      <w:sz w:val="20"/>
      <w:szCs w:val="20"/>
    </w:rPr>
  </w:style>
  <w:style w:type="character" w:customStyle="1" w:styleId="CommentTextChar">
    <w:name w:val="Comment Text Char"/>
    <w:basedOn w:val="DefaultParagraphFont"/>
    <w:link w:val="CommentText"/>
    <w:uiPriority w:val="99"/>
    <w:rsid w:val="00BD473D"/>
    <w:rPr>
      <w:rFonts w:eastAsiaTheme="minorEastAsia"/>
      <w:sz w:val="20"/>
      <w:szCs w:val="20"/>
    </w:rPr>
  </w:style>
  <w:style w:type="paragraph" w:styleId="Revision">
    <w:name w:val="Revision"/>
    <w:hidden/>
    <w:uiPriority w:val="99"/>
    <w:semiHidden/>
    <w:rsid w:val="006E313A"/>
    <w:pPr>
      <w:spacing w:after="0" w:line="240" w:lineRule="auto"/>
    </w:pPr>
  </w:style>
  <w:style w:type="paragraph" w:styleId="CommentSubject">
    <w:name w:val="annotation subject"/>
    <w:basedOn w:val="CommentText"/>
    <w:next w:val="CommentText"/>
    <w:link w:val="CommentSubjectChar"/>
    <w:uiPriority w:val="99"/>
    <w:semiHidden/>
    <w:unhideWhenUsed/>
    <w:rsid w:val="00075865"/>
    <w:rPr>
      <w:rFonts w:eastAsiaTheme="minorHAnsi"/>
      <w:b/>
      <w:bCs/>
    </w:rPr>
  </w:style>
  <w:style w:type="character" w:customStyle="1" w:styleId="CommentSubjectChar">
    <w:name w:val="Comment Subject Char"/>
    <w:basedOn w:val="CommentTextChar"/>
    <w:link w:val="CommentSubject"/>
    <w:uiPriority w:val="99"/>
    <w:semiHidden/>
    <w:rsid w:val="00075865"/>
    <w:rPr>
      <w:rFonts w:eastAsiaTheme="minorEastAsi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3</Pages>
  <Words>505</Words>
  <Characters>2881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IBTIHAL ALI AL -SMADI</dc:creator>
  <cp:keywords/>
  <dc:description/>
  <cp:lastModifiedBy>IBTIHAL ALI AL -SMADI</cp:lastModifiedBy>
  <cp:revision>31</cp:revision>
  <dcterms:created xsi:type="dcterms:W3CDTF">2026-07-18T08:45:00Z</dcterms:created>
  <dcterms:modified xsi:type="dcterms:W3CDTF">2026-07-21T06:13:00Z</dcterms:modified>
</cp:coreProperties>
</file>