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67603">
      <w:pPr>
        <w:jc w:val="both"/>
        <w:rPr>
          <w:rFonts w:hint="eastAsia" w:ascii="Times New Roman" w:hAnsi="Times New Roman" w:cs="Times New Roman"/>
          <w:b/>
          <w:bCs/>
          <w:sz w:val="30"/>
          <w:szCs w:val="30"/>
        </w:rPr>
      </w:pPr>
      <w:r>
        <w:rPr>
          <w:rFonts w:hint="eastAsia" w:ascii="Times New Roman" w:hAnsi="Times New Roman" w:cs="Times New Roman"/>
          <w:b/>
          <w:bCs/>
          <w:sz w:val="30"/>
          <w:szCs w:val="30"/>
        </w:rPr>
        <w:t>Supplementary materials for:</w:t>
      </w:r>
    </w:p>
    <w:p w14:paraId="42C668C3">
      <w:pPr>
        <w:jc w:val="both"/>
        <w:rPr>
          <w:rFonts w:hint="eastAsia" w:ascii="Times New Roman" w:hAnsi="Times New Roman" w:cs="Times New Roman"/>
          <w:b/>
          <w:bCs/>
          <w:sz w:val="30"/>
          <w:szCs w:val="30"/>
        </w:rPr>
      </w:pPr>
    </w:p>
    <w:p w14:paraId="6E340D20">
      <w:pPr>
        <w:jc w:val="center"/>
        <w:rPr>
          <w:rFonts w:ascii="Times New Roman" w:hAnsi="Times New Roman" w:cs="Times New Roman"/>
          <w:b/>
          <w:bCs/>
          <w:color w:val="auto"/>
          <w:sz w:val="30"/>
          <w:szCs w:val="30"/>
        </w:rPr>
      </w:pPr>
      <w:r>
        <w:rPr>
          <w:rFonts w:hint="eastAsia" w:ascii="Times New Roman" w:hAnsi="Times New Roman" w:cs="Times New Roman"/>
          <w:b/>
          <w:bCs/>
          <w:color w:val="auto"/>
          <w:sz w:val="30"/>
          <w:szCs w:val="30"/>
        </w:rPr>
        <w:t xml:space="preserve">How </w:t>
      </w:r>
      <w:r>
        <w:rPr>
          <w:rFonts w:hint="eastAsia" w:ascii="Times New Roman" w:hAnsi="Times New Roman" w:cs="Times New Roman"/>
          <w:b/>
          <w:bCs/>
          <w:color w:val="auto"/>
          <w:sz w:val="30"/>
          <w:szCs w:val="30"/>
          <w:lang w:val="en-US" w:eastAsia="zh-CN"/>
        </w:rPr>
        <w:t>t</w:t>
      </w:r>
      <w:r>
        <w:rPr>
          <w:rFonts w:hint="eastAsia" w:ascii="Times New Roman" w:hAnsi="Times New Roman" w:cs="Times New Roman"/>
          <w:b/>
          <w:bCs/>
          <w:color w:val="auto"/>
          <w:sz w:val="30"/>
          <w:szCs w:val="30"/>
        </w:rPr>
        <w:t xml:space="preserve">ropical </w:t>
      </w:r>
      <w:r>
        <w:rPr>
          <w:rFonts w:hint="eastAsia" w:ascii="Times New Roman" w:hAnsi="Times New Roman" w:cs="Times New Roman"/>
          <w:b/>
          <w:bCs/>
          <w:color w:val="auto"/>
          <w:sz w:val="30"/>
          <w:szCs w:val="30"/>
          <w:lang w:val="en-US" w:eastAsia="zh-CN"/>
        </w:rPr>
        <w:t>i</w:t>
      </w:r>
      <w:r>
        <w:rPr>
          <w:rFonts w:hint="eastAsia" w:ascii="Times New Roman" w:hAnsi="Times New Roman" w:cs="Times New Roman"/>
          <w:b/>
          <w:bCs/>
          <w:color w:val="auto"/>
          <w:sz w:val="30"/>
          <w:szCs w:val="30"/>
        </w:rPr>
        <w:t xml:space="preserve">nstability </w:t>
      </w:r>
      <w:r>
        <w:rPr>
          <w:rFonts w:hint="eastAsia" w:ascii="Times New Roman" w:hAnsi="Times New Roman" w:cs="Times New Roman"/>
          <w:b/>
          <w:bCs/>
          <w:color w:val="auto"/>
          <w:sz w:val="30"/>
          <w:szCs w:val="30"/>
          <w:lang w:val="en-US" w:eastAsia="zh-CN"/>
        </w:rPr>
        <w:t>w</w:t>
      </w:r>
      <w:r>
        <w:rPr>
          <w:rFonts w:hint="eastAsia" w:ascii="Times New Roman" w:hAnsi="Times New Roman" w:cs="Times New Roman"/>
          <w:b/>
          <w:bCs/>
          <w:color w:val="auto"/>
          <w:sz w:val="30"/>
          <w:szCs w:val="30"/>
        </w:rPr>
        <w:t xml:space="preserve">aves </w:t>
      </w:r>
      <w:r>
        <w:rPr>
          <w:rFonts w:hint="eastAsia" w:ascii="Times New Roman" w:hAnsi="Times New Roman" w:cs="Times New Roman"/>
          <w:b/>
          <w:bCs/>
          <w:color w:val="auto"/>
          <w:sz w:val="30"/>
          <w:szCs w:val="30"/>
          <w:lang w:val="en-US" w:eastAsia="zh-CN"/>
        </w:rPr>
        <w:t>i</w:t>
      </w:r>
      <w:r>
        <w:rPr>
          <w:rFonts w:hint="eastAsia" w:ascii="Times New Roman" w:hAnsi="Times New Roman" w:cs="Times New Roman"/>
          <w:b/>
          <w:bCs/>
          <w:color w:val="auto"/>
          <w:sz w:val="30"/>
          <w:szCs w:val="30"/>
        </w:rPr>
        <w:t xml:space="preserve">mpact the </w:t>
      </w:r>
      <w:r>
        <w:rPr>
          <w:rFonts w:hint="eastAsia" w:ascii="Times New Roman" w:hAnsi="Times New Roman" w:cs="Times New Roman"/>
          <w:b/>
          <w:bCs/>
          <w:color w:val="auto"/>
          <w:sz w:val="30"/>
          <w:szCs w:val="30"/>
          <w:lang w:val="en-US" w:eastAsia="zh-CN"/>
        </w:rPr>
        <w:t>e</w:t>
      </w:r>
      <w:r>
        <w:rPr>
          <w:rFonts w:hint="eastAsia" w:ascii="Times New Roman" w:hAnsi="Times New Roman" w:cs="Times New Roman"/>
          <w:b/>
          <w:bCs/>
          <w:color w:val="auto"/>
          <w:sz w:val="30"/>
          <w:szCs w:val="30"/>
        </w:rPr>
        <w:t xml:space="preserve">quatorial Pacific </w:t>
      </w:r>
      <w:r>
        <w:rPr>
          <w:rFonts w:hint="eastAsia" w:ascii="Times New Roman" w:hAnsi="Times New Roman" w:cs="Times New Roman"/>
          <w:b/>
          <w:bCs/>
          <w:color w:val="auto"/>
          <w:sz w:val="30"/>
          <w:szCs w:val="30"/>
          <w:lang w:val="en-US" w:eastAsia="zh-CN"/>
        </w:rPr>
        <w:t>i</w:t>
      </w:r>
      <w:r>
        <w:rPr>
          <w:rFonts w:hint="eastAsia" w:ascii="Times New Roman" w:hAnsi="Times New Roman" w:cs="Times New Roman"/>
          <w:b/>
          <w:bCs/>
          <w:color w:val="auto"/>
          <w:sz w:val="30"/>
          <w:szCs w:val="30"/>
        </w:rPr>
        <w:t xml:space="preserve">nterannual SST </w:t>
      </w:r>
      <w:r>
        <w:rPr>
          <w:rFonts w:hint="eastAsia" w:ascii="Times New Roman" w:hAnsi="Times New Roman" w:cs="Times New Roman"/>
          <w:b/>
          <w:bCs/>
          <w:color w:val="auto"/>
          <w:sz w:val="30"/>
          <w:szCs w:val="30"/>
          <w:lang w:val="en-US" w:eastAsia="zh-CN"/>
        </w:rPr>
        <w:t>v</w:t>
      </w:r>
      <w:r>
        <w:rPr>
          <w:rFonts w:hint="eastAsia" w:ascii="Times New Roman" w:hAnsi="Times New Roman" w:cs="Times New Roman"/>
          <w:b/>
          <w:bCs/>
          <w:color w:val="auto"/>
          <w:sz w:val="30"/>
          <w:szCs w:val="30"/>
        </w:rPr>
        <w:t xml:space="preserve">ariability and </w:t>
      </w:r>
      <w:r>
        <w:rPr>
          <w:rFonts w:hint="eastAsia" w:ascii="Times New Roman" w:hAnsi="Times New Roman" w:cs="Times New Roman"/>
          <w:b/>
          <w:bCs/>
          <w:color w:val="auto"/>
          <w:sz w:val="30"/>
          <w:szCs w:val="30"/>
          <w:lang w:val="en-US" w:eastAsia="zh-CN"/>
        </w:rPr>
        <w:t>h</w:t>
      </w:r>
      <w:r>
        <w:rPr>
          <w:rFonts w:hint="eastAsia" w:ascii="Times New Roman" w:hAnsi="Times New Roman" w:cs="Times New Roman"/>
          <w:b/>
          <w:bCs/>
          <w:color w:val="auto"/>
          <w:sz w:val="30"/>
          <w:szCs w:val="30"/>
        </w:rPr>
        <w:t xml:space="preserve">eat </w:t>
      </w:r>
      <w:r>
        <w:rPr>
          <w:rFonts w:hint="eastAsia" w:ascii="Times New Roman" w:hAnsi="Times New Roman" w:cs="Times New Roman"/>
          <w:b/>
          <w:bCs/>
          <w:color w:val="auto"/>
          <w:sz w:val="30"/>
          <w:szCs w:val="30"/>
          <w:lang w:val="en-US" w:eastAsia="zh-CN"/>
        </w:rPr>
        <w:t>b</w:t>
      </w:r>
      <w:r>
        <w:rPr>
          <w:rFonts w:hint="eastAsia" w:ascii="Times New Roman" w:hAnsi="Times New Roman" w:cs="Times New Roman"/>
          <w:b/>
          <w:bCs/>
          <w:color w:val="auto"/>
          <w:sz w:val="30"/>
          <w:szCs w:val="30"/>
        </w:rPr>
        <w:t>udget in 2024</w:t>
      </w:r>
    </w:p>
    <w:p w14:paraId="7A2A69C7">
      <w:pPr>
        <w:jc w:val="center"/>
        <w:rPr>
          <w:rFonts w:ascii="Times New Roman" w:hAnsi="Times New Roman" w:cs="Times New Roman"/>
          <w:sz w:val="30"/>
          <w:szCs w:val="30"/>
        </w:rPr>
      </w:pPr>
    </w:p>
    <w:p w14:paraId="6AA33769">
      <w:pPr>
        <w:spacing w:line="480" w:lineRule="auto"/>
        <w:jc w:val="center"/>
        <w:rPr>
          <w:rFonts w:ascii="Times New Roman" w:hAnsi="Times New Roman" w:eastAsia="宋体" w:cs="Times New Roman"/>
          <w:sz w:val="24"/>
        </w:rPr>
      </w:pPr>
      <w:r>
        <w:rPr>
          <w:rFonts w:ascii="Times New Roman" w:hAnsi="Times New Roman" w:cs="Times New Roman"/>
          <w:sz w:val="24"/>
        </w:rPr>
        <w:t>Qiaojun Chen</w:t>
      </w:r>
      <w:r>
        <w:rPr>
          <w:rFonts w:ascii="Times New Roman" w:hAnsi="Times New Roman" w:cs="Times New Roman"/>
          <w:sz w:val="24"/>
          <w:vertAlign w:val="superscript"/>
        </w:rPr>
        <w:t>1</w:t>
      </w:r>
      <w:r>
        <w:rPr>
          <w:rFonts w:ascii="Times New Roman" w:hAnsi="Times New Roman" w:cs="Times New Roman"/>
          <w:sz w:val="24"/>
        </w:rPr>
        <w:t xml:space="preserve">, </w:t>
      </w:r>
      <w:r>
        <w:rPr>
          <w:rFonts w:hint="eastAsia" w:ascii="Times New Roman" w:hAnsi="Times New Roman" w:cs="Times New Roman"/>
          <w:sz w:val="24"/>
        </w:rPr>
        <w:t>Rong-Hua Zhang</w:t>
      </w:r>
      <w:r>
        <w:rPr>
          <w:rFonts w:hint="eastAsia" w:ascii="Times New Roman" w:hAnsi="Times New Roman" w:cs="Times New Roman"/>
          <w:sz w:val="24"/>
          <w:vertAlign w:val="superscript"/>
        </w:rPr>
        <w:t>1</w:t>
      </w:r>
      <w:r>
        <w:rPr>
          <w:rFonts w:ascii="Times New Roman" w:hAnsi="Times New Roman" w:cs="Times New Roman"/>
          <w:sz w:val="24"/>
          <w:vertAlign w:val="superscript"/>
        </w:rPr>
        <w:t>,</w:t>
      </w:r>
      <w:r>
        <w:rPr>
          <w:rFonts w:hint="eastAsia" w:ascii="Times New Roman" w:hAnsi="Times New Roman" w:cs="Times New Roman"/>
          <w:sz w:val="24"/>
          <w:vertAlign w:val="superscript"/>
        </w:rPr>
        <w:t>2</w:t>
      </w:r>
      <w:r>
        <w:rPr>
          <w:rFonts w:ascii="Calibri" w:hAnsi="Calibri" w:eastAsia="Calibri"/>
          <w:color w:val="404040"/>
          <w:spacing w:val="-3"/>
          <w:kern w:val="0"/>
          <w:sz w:val="24"/>
          <w:lang w:eastAsia="en-US"/>
        </w:rPr>
        <w:t>*</w:t>
      </w:r>
      <w:r>
        <w:rPr>
          <w:rFonts w:ascii="Times New Roman" w:hAnsi="Times New Roman" w:cs="Times New Roman"/>
          <w:sz w:val="24"/>
        </w:rPr>
        <w:t xml:space="preserve">, </w:t>
      </w:r>
      <w:r>
        <w:rPr>
          <w:rFonts w:hint="eastAsia" w:ascii="Times New Roman" w:hAnsi="Times New Roman" w:cs="Times New Roman"/>
          <w:sz w:val="24"/>
        </w:rPr>
        <w:t>Luying Yin</w:t>
      </w:r>
      <w:r>
        <w:rPr>
          <w:rFonts w:hint="eastAsia" w:ascii="Times New Roman" w:hAnsi="Times New Roman" w:cs="Times New Roman"/>
          <w:sz w:val="24"/>
          <w:vertAlign w:val="superscript"/>
          <w:lang w:val="en-US" w:eastAsia="zh-CN"/>
        </w:rPr>
        <w:t>3</w:t>
      </w:r>
      <w:r>
        <w:rPr>
          <w:rFonts w:ascii="Times New Roman" w:hAnsi="Times New Roman" w:cs="Times New Roman"/>
          <w:sz w:val="24"/>
        </w:rPr>
        <w:t xml:space="preserve">, </w:t>
      </w:r>
      <w:r>
        <w:rPr>
          <w:rFonts w:hint="eastAsia" w:ascii="Times New Roman" w:hAnsi="Times New Roman" w:cs="Times New Roman"/>
          <w:sz w:val="24"/>
          <w:lang w:val="en-US" w:eastAsia="zh-CN"/>
        </w:rPr>
        <w:t>Hai</w:t>
      </w:r>
      <w:r>
        <w:rPr>
          <w:rFonts w:hint="eastAsia" w:ascii="Times New Roman" w:hAnsi="Times New Roman" w:cs="Times New Roman"/>
          <w:sz w:val="24"/>
        </w:rPr>
        <w:t xml:space="preserve"> </w:t>
      </w:r>
      <w:r>
        <w:rPr>
          <w:rFonts w:hint="eastAsia" w:ascii="Times New Roman" w:hAnsi="Times New Roman" w:cs="Times New Roman"/>
          <w:sz w:val="24"/>
          <w:lang w:val="en-US" w:eastAsia="zh-CN"/>
        </w:rPr>
        <w:t>Zhi</w:t>
      </w:r>
      <w:r>
        <w:rPr>
          <w:rFonts w:hint="eastAsia" w:ascii="Times New Roman" w:hAnsi="Times New Roman" w:cs="Times New Roman"/>
          <w:sz w:val="24"/>
          <w:vertAlign w:val="superscript"/>
          <w:lang w:val="en-US" w:eastAsia="zh-CN"/>
        </w:rPr>
        <w:t>4</w:t>
      </w:r>
      <w:r>
        <w:rPr>
          <w:rFonts w:ascii="Times New Roman" w:hAnsi="Times New Roman" w:cs="Times New Roman"/>
          <w:sz w:val="24"/>
        </w:rPr>
        <w:t xml:space="preserve">, </w:t>
      </w:r>
      <w:r>
        <w:rPr>
          <w:rFonts w:hint="eastAsia" w:ascii="Times New Roman" w:hAnsi="Times New Roman" w:cs="Times New Roman"/>
          <w:sz w:val="24"/>
        </w:rPr>
        <w:t>Yi Liu</w:t>
      </w:r>
      <w:r>
        <w:rPr>
          <w:rFonts w:hint="eastAsia" w:ascii="Times New Roman" w:hAnsi="Times New Roman" w:cs="Times New Roman"/>
          <w:sz w:val="24"/>
          <w:vertAlign w:val="superscript"/>
          <w:lang w:val="en-US" w:eastAsia="zh-CN"/>
        </w:rPr>
        <w:t>1</w:t>
      </w:r>
      <w:bookmarkStart w:id="0" w:name="_GoBack"/>
      <w:bookmarkEnd w:id="0"/>
    </w:p>
    <w:p w14:paraId="1291A392">
      <w:pPr>
        <w:spacing w:line="480" w:lineRule="auto"/>
        <w:jc w:val="center"/>
        <w:rPr>
          <w:rFonts w:ascii="Times New Roman" w:hAnsi="Times New Roman" w:cs="Times New Roman"/>
          <w:sz w:val="24"/>
        </w:rPr>
      </w:pPr>
      <w:r>
        <w:rPr>
          <w:rFonts w:ascii="Times New Roman" w:hAnsi="Times New Roman" w:eastAsia="Calibri" w:cs="Times New Roman"/>
          <w:spacing w:val="-3"/>
          <w:kern w:val="0"/>
          <w:sz w:val="24"/>
          <w:vertAlign w:val="superscript"/>
          <w:lang w:eastAsia="en-US"/>
        </w:rPr>
        <w:t>1</w:t>
      </w:r>
      <w:r>
        <w:rPr>
          <w:rFonts w:ascii="Times New Roman" w:hAnsi="Times New Roman" w:cs="Times New Roman"/>
          <w:sz w:val="24"/>
        </w:rPr>
        <w:t xml:space="preserve"> </w:t>
      </w:r>
      <w:r>
        <w:rPr>
          <w:rFonts w:hint="eastAsia" w:ascii="Times New Roman" w:hAnsi="Times New Roman" w:cs="Times New Roman"/>
          <w:sz w:val="24"/>
        </w:rPr>
        <w:t>State Key Laboratory of Climate System Prediction and Risk Management/School of Marine Sciences, Nanjing University of Information Science and Technology, Nanjing, China</w:t>
      </w:r>
    </w:p>
    <w:p w14:paraId="783CC525">
      <w:pPr>
        <w:spacing w:line="480" w:lineRule="auto"/>
        <w:jc w:val="center"/>
        <w:rPr>
          <w:rFonts w:ascii="Times New Roman" w:hAnsi="Times New Roman" w:eastAsia="Calibri" w:cs="Times New Roman"/>
          <w:spacing w:val="-3"/>
          <w:kern w:val="0"/>
          <w:sz w:val="24"/>
          <w:lang w:eastAsia="en-US"/>
        </w:rPr>
      </w:pPr>
      <w:r>
        <w:rPr>
          <w:rFonts w:ascii="Times New Roman" w:hAnsi="Times New Roman" w:eastAsia="Calibri" w:cs="Times New Roman"/>
          <w:spacing w:val="-3"/>
          <w:kern w:val="0"/>
          <w:sz w:val="24"/>
          <w:vertAlign w:val="superscript"/>
          <w:lang w:eastAsia="en-US"/>
        </w:rPr>
        <w:t>2</w:t>
      </w:r>
      <w:r>
        <w:rPr>
          <w:rFonts w:ascii="Times New Roman" w:hAnsi="Times New Roman" w:eastAsia="Calibri" w:cs="Times New Roman"/>
          <w:spacing w:val="-3"/>
          <w:kern w:val="0"/>
          <w:sz w:val="24"/>
        </w:rPr>
        <w:t xml:space="preserve"> </w:t>
      </w:r>
      <w:r>
        <w:rPr>
          <w:rFonts w:hint="eastAsia" w:ascii="Times New Roman" w:hAnsi="Times New Roman" w:eastAsia="Calibri" w:cs="Times New Roman"/>
          <w:spacing w:val="-3"/>
          <w:kern w:val="0"/>
          <w:sz w:val="24"/>
          <w:lang w:eastAsia="en-US"/>
        </w:rPr>
        <w:t>Laoshan Laboratory, Qingdao, China</w:t>
      </w:r>
    </w:p>
    <w:p w14:paraId="4E64039E">
      <w:pPr>
        <w:spacing w:line="480" w:lineRule="auto"/>
        <w:jc w:val="center"/>
        <w:rPr>
          <w:rFonts w:hint="eastAsia" w:ascii="Times New Roman" w:hAnsi="Times New Roman" w:cs="Times New Roman"/>
          <w:spacing w:val="-3"/>
          <w:kern w:val="0"/>
          <w:sz w:val="24"/>
        </w:rPr>
      </w:pPr>
      <w:r>
        <w:rPr>
          <w:rFonts w:hint="eastAsia" w:ascii="Times New Roman" w:hAnsi="Times New Roman" w:eastAsia="宋体" w:cs="Times New Roman"/>
          <w:spacing w:val="-3"/>
          <w:kern w:val="0"/>
          <w:sz w:val="24"/>
          <w:vertAlign w:val="superscript"/>
          <w:lang w:val="en-US" w:eastAsia="zh-CN"/>
        </w:rPr>
        <w:t>3</w:t>
      </w:r>
      <w:r>
        <w:rPr>
          <w:rFonts w:ascii="Times New Roman" w:hAnsi="Times New Roman" w:eastAsia="Calibri" w:cs="Times New Roman"/>
          <w:spacing w:val="-3"/>
          <w:kern w:val="0"/>
          <w:sz w:val="24"/>
        </w:rPr>
        <w:t xml:space="preserve"> </w:t>
      </w:r>
      <w:r>
        <w:rPr>
          <w:rFonts w:hint="eastAsia" w:ascii="Times New Roman" w:hAnsi="Times New Roman" w:cs="Times New Roman"/>
          <w:spacing w:val="-3"/>
          <w:kern w:val="0"/>
          <w:sz w:val="24"/>
        </w:rPr>
        <w:t>National Supercomputer Center in Tianjin, Tianjin, China</w:t>
      </w:r>
    </w:p>
    <w:p w14:paraId="0042C31A">
      <w:pPr>
        <w:spacing w:line="480" w:lineRule="auto"/>
        <w:jc w:val="center"/>
        <w:rPr>
          <w:rFonts w:ascii="Times New Roman" w:hAnsi="Times New Roman" w:cs="Times New Roman"/>
          <w:spacing w:val="-3"/>
          <w:kern w:val="0"/>
          <w:sz w:val="24"/>
        </w:rPr>
      </w:pPr>
      <w:r>
        <w:rPr>
          <w:rFonts w:hint="eastAsia" w:ascii="Times New Roman" w:hAnsi="Times New Roman" w:eastAsia="宋体" w:cs="Times New Roman"/>
          <w:spacing w:val="-3"/>
          <w:kern w:val="0"/>
          <w:sz w:val="24"/>
          <w:vertAlign w:val="superscript"/>
          <w:lang w:val="en-US" w:eastAsia="zh-CN"/>
        </w:rPr>
        <w:t>4</w:t>
      </w:r>
      <w:r>
        <w:rPr>
          <w:rFonts w:ascii="Times New Roman" w:hAnsi="Times New Roman" w:cs="Times New Roman"/>
          <w:sz w:val="24"/>
        </w:rPr>
        <w:t xml:space="preserve"> </w:t>
      </w:r>
      <w:r>
        <w:rPr>
          <w:rFonts w:hint="eastAsia" w:ascii="Times New Roman" w:hAnsi="Times New Roman" w:cs="Times New Roman"/>
          <w:sz w:val="24"/>
        </w:rPr>
        <w:t>School of Atmospheric Sciences, Nanjing University of Information Science and Technology</w:t>
      </w:r>
      <w:r>
        <w:rPr>
          <w:rFonts w:hint="eastAsia" w:ascii="Times New Roman" w:hAnsi="Times New Roman" w:eastAsia="Calibri" w:cs="Times New Roman"/>
          <w:spacing w:val="-3"/>
          <w:kern w:val="0"/>
          <w:sz w:val="24"/>
          <w:lang w:eastAsia="en-US"/>
        </w:rPr>
        <w:t>, Nanjing,</w:t>
      </w:r>
      <w:r>
        <w:rPr>
          <w:rFonts w:hint="eastAsia" w:ascii="Times New Roman" w:hAnsi="Times New Roman" w:eastAsia="宋体" w:cs="Times New Roman"/>
          <w:spacing w:val="-3"/>
          <w:kern w:val="0"/>
          <w:sz w:val="24"/>
          <w:lang w:val="en-US" w:eastAsia="zh-CN"/>
        </w:rPr>
        <w:t xml:space="preserve"> </w:t>
      </w:r>
      <w:r>
        <w:rPr>
          <w:rFonts w:hint="eastAsia" w:ascii="Times New Roman" w:hAnsi="Times New Roman" w:eastAsia="Calibri" w:cs="Times New Roman"/>
          <w:spacing w:val="-3"/>
          <w:kern w:val="0"/>
          <w:sz w:val="24"/>
          <w:lang w:eastAsia="en-US"/>
        </w:rPr>
        <w:t>China</w:t>
      </w:r>
    </w:p>
    <w:p w14:paraId="20A13156">
      <w:pPr>
        <w:spacing w:line="480" w:lineRule="auto"/>
        <w:ind w:left="2421" w:right="2381"/>
        <w:jc w:val="center"/>
        <w:rPr>
          <w:rFonts w:ascii="Times New Roman" w:hAnsi="Times New Roman" w:eastAsia="Calibri" w:cs="Times New Roman"/>
          <w:spacing w:val="-3"/>
          <w:kern w:val="0"/>
          <w:sz w:val="24"/>
          <w:lang w:eastAsia="en-US"/>
        </w:rPr>
      </w:pPr>
    </w:p>
    <w:p w14:paraId="28FE5785">
      <w:pPr>
        <w:spacing w:line="480" w:lineRule="auto"/>
        <w:ind w:left="2421" w:right="2381"/>
        <w:jc w:val="center"/>
        <w:rPr>
          <w:rFonts w:ascii="Times New Roman" w:hAnsi="Times New Roman" w:eastAsia="Calibri" w:cs="Times New Roman"/>
          <w:spacing w:val="-3"/>
          <w:kern w:val="0"/>
          <w:sz w:val="24"/>
          <w:lang w:eastAsia="en-US"/>
        </w:rPr>
      </w:pPr>
      <w:r>
        <w:rPr>
          <w:rFonts w:ascii="Times New Roman" w:hAnsi="Times New Roman" w:eastAsia="Calibri" w:cs="Times New Roman"/>
          <w:spacing w:val="-3"/>
          <w:kern w:val="0"/>
          <w:sz w:val="24"/>
          <w:lang w:eastAsia="en-US"/>
        </w:rPr>
        <w:t>*Corresponding Author</w:t>
      </w:r>
    </w:p>
    <w:p w14:paraId="476B5082">
      <w:pPr>
        <w:spacing w:line="480" w:lineRule="auto"/>
        <w:ind w:left="2421" w:right="2381"/>
        <w:jc w:val="center"/>
        <w:rPr>
          <w:rFonts w:ascii="Times New Roman" w:hAnsi="Times New Roman" w:eastAsia="Calibri" w:cs="Times New Roman"/>
          <w:spacing w:val="-3"/>
          <w:kern w:val="0"/>
          <w:sz w:val="24"/>
          <w:lang w:eastAsia="en-US"/>
        </w:rPr>
      </w:pPr>
      <w:r>
        <w:rPr>
          <w:rFonts w:ascii="Times New Roman" w:hAnsi="Times New Roman" w:eastAsia="Calibri" w:cs="Times New Roman"/>
          <w:spacing w:val="-3"/>
          <w:kern w:val="0"/>
          <w:sz w:val="24"/>
          <w:lang w:eastAsia="en-US"/>
        </w:rPr>
        <w:t xml:space="preserve">Email address:  </w:t>
      </w:r>
    </w:p>
    <w:p w14:paraId="187B2BC5">
      <w:pPr>
        <w:spacing w:line="480" w:lineRule="auto"/>
        <w:ind w:left="2421" w:right="2381"/>
        <w:jc w:val="center"/>
        <w:rPr>
          <w:rFonts w:ascii="Times New Roman" w:hAnsi="Times New Roman" w:cs="Times New Roman"/>
          <w:spacing w:val="-3"/>
          <w:kern w:val="0"/>
          <w:sz w:val="24"/>
        </w:rPr>
      </w:pPr>
      <w:r>
        <w:rPr>
          <w:rFonts w:hint="eastAsia" w:ascii="Times New Roman" w:hAnsi="Times New Roman" w:eastAsia="Calibri" w:cs="Times New Roman"/>
          <w:spacing w:val="-3"/>
          <w:kern w:val="0"/>
          <w:sz w:val="24"/>
          <w:lang w:eastAsia="en-US"/>
        </w:rPr>
        <w:fldChar w:fldCharType="begin"/>
      </w:r>
      <w:r>
        <w:rPr>
          <w:rFonts w:hint="eastAsia" w:ascii="Times New Roman" w:hAnsi="Times New Roman" w:eastAsia="Calibri" w:cs="Times New Roman"/>
          <w:spacing w:val="-3"/>
          <w:kern w:val="0"/>
          <w:sz w:val="24"/>
          <w:lang w:eastAsia="en-US"/>
        </w:rPr>
        <w:instrText xml:space="preserve"> HYPERLINK "mailto:rzhang@nuist.edu.cn" </w:instrText>
      </w:r>
      <w:r>
        <w:rPr>
          <w:rFonts w:hint="eastAsia" w:ascii="Times New Roman" w:hAnsi="Times New Roman" w:eastAsia="Calibri" w:cs="Times New Roman"/>
          <w:spacing w:val="-3"/>
          <w:kern w:val="0"/>
          <w:sz w:val="24"/>
          <w:lang w:eastAsia="en-US"/>
        </w:rPr>
        <w:fldChar w:fldCharType="separate"/>
      </w:r>
      <w:r>
        <w:rPr>
          <w:rStyle w:val="6"/>
          <w:rFonts w:hint="eastAsia" w:ascii="Times New Roman" w:hAnsi="Times New Roman" w:eastAsia="Calibri" w:cs="Times New Roman"/>
          <w:spacing w:val="-3"/>
          <w:kern w:val="0"/>
          <w:sz w:val="24"/>
          <w:lang w:eastAsia="en-US"/>
        </w:rPr>
        <w:t>rzhang@nuist.edu.cn</w:t>
      </w:r>
      <w:r>
        <w:rPr>
          <w:rFonts w:hint="eastAsia" w:ascii="Times New Roman" w:hAnsi="Times New Roman" w:eastAsia="Calibri" w:cs="Times New Roman"/>
          <w:spacing w:val="-3"/>
          <w:kern w:val="0"/>
          <w:sz w:val="24"/>
          <w:lang w:eastAsia="en-US"/>
        </w:rPr>
        <w:fldChar w:fldCharType="end"/>
      </w:r>
    </w:p>
    <w:p w14:paraId="346F5668">
      <w:pPr>
        <w:spacing w:line="480" w:lineRule="auto"/>
        <w:rPr>
          <w:rFonts w:ascii="Times New Roman" w:hAnsi="Times New Roman" w:cs="Times New Roman"/>
          <w:b/>
          <w:sz w:val="24"/>
          <w:szCs w:val="24"/>
        </w:rPr>
      </w:pPr>
    </w:p>
    <w:p w14:paraId="5BCE0CAF">
      <w:pPr>
        <w:spacing w:line="480" w:lineRule="auto"/>
        <w:rPr>
          <w:rFonts w:ascii="Times New Roman" w:hAnsi="Times New Roman" w:cs="Times New Roman"/>
          <w:b/>
          <w:sz w:val="24"/>
          <w:szCs w:val="24"/>
        </w:rPr>
      </w:pPr>
      <w:r>
        <w:rPr>
          <w:rFonts w:ascii="Times New Roman" w:hAnsi="Times New Roman" w:cs="Times New Roman"/>
          <w:b/>
          <w:sz w:val="24"/>
          <w:szCs w:val="24"/>
        </w:rPr>
        <w:t>Contents</w:t>
      </w:r>
    </w:p>
    <w:p w14:paraId="457FAEBD">
      <w:pPr>
        <w:pStyle w:val="7"/>
        <w:numPr>
          <w:ilvl w:val="0"/>
          <w:numId w:val="1"/>
        </w:numPr>
        <w:spacing w:line="480" w:lineRule="auto"/>
        <w:ind w:firstLineChars="0"/>
        <w:rPr>
          <w:rFonts w:ascii="Times New Roman" w:hAnsi="Times New Roman" w:eastAsia="黑体" w:cs="Times New Roman"/>
          <w:b/>
          <w:sz w:val="24"/>
          <w:szCs w:val="24"/>
        </w:rPr>
      </w:pPr>
      <w:r>
        <w:rPr>
          <w:rFonts w:ascii="Times New Roman" w:hAnsi="Times New Roman" w:eastAsia="黑体" w:cs="Times New Roman"/>
          <w:b/>
          <w:sz w:val="24"/>
          <w:szCs w:val="24"/>
        </w:rPr>
        <w:t>Figure S1-S</w:t>
      </w:r>
      <w:r>
        <w:rPr>
          <w:rFonts w:hint="eastAsia" w:ascii="Times New Roman" w:hAnsi="Times New Roman" w:eastAsia="黑体" w:cs="Times New Roman"/>
          <w:b/>
          <w:sz w:val="24"/>
          <w:szCs w:val="24"/>
          <w:lang w:val="en-US" w:eastAsia="zh-CN"/>
        </w:rPr>
        <w:t>5</w:t>
      </w:r>
    </w:p>
    <w:p w14:paraId="1806AFD8">
      <w:pPr>
        <w:pStyle w:val="7"/>
        <w:numPr>
          <w:ilvl w:val="0"/>
          <w:numId w:val="1"/>
        </w:numPr>
        <w:spacing w:line="480" w:lineRule="auto"/>
        <w:ind w:firstLineChars="0"/>
        <w:rPr>
          <w:rFonts w:ascii="Times New Roman" w:hAnsi="Times New Roman" w:eastAsia="黑体" w:cs="Times New Roman"/>
          <w:b/>
          <w:sz w:val="24"/>
          <w:szCs w:val="24"/>
        </w:rPr>
      </w:pPr>
      <w:r>
        <w:rPr>
          <w:rFonts w:hint="eastAsia" w:ascii="Times New Roman" w:hAnsi="Times New Roman" w:eastAsia="黑体" w:cs="Times New Roman"/>
          <w:b/>
          <w:sz w:val="24"/>
          <w:szCs w:val="24"/>
        </w:rPr>
        <w:t>Table S1</w:t>
      </w:r>
    </w:p>
    <w:p w14:paraId="5515677D">
      <w:pPr>
        <w:rPr>
          <w:rFonts w:hint="eastAsia" w:eastAsiaTheme="minorEastAsia"/>
          <w:b/>
          <w:bCs/>
          <w:lang w:eastAsia="zh-CN"/>
        </w:rPr>
      </w:pPr>
      <w:r>
        <w:rPr>
          <w:rFonts w:hint="eastAsia" w:eastAsiaTheme="minorEastAsia"/>
          <w:b/>
          <w:bCs/>
          <w:lang w:eastAsia="zh-CN"/>
        </w:rPr>
        <w:drawing>
          <wp:inline distT="0" distB="0" distL="114300" distR="114300">
            <wp:extent cx="5260975" cy="1076325"/>
            <wp:effectExtent l="0" t="0" r="6985" b="3175"/>
            <wp:docPr id="8" name="图片 8" descr="P1_FigS1-SSTA_d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P1_FigS1-SSTA_diff"/>
                    <pic:cNvPicPr>
                      <a:picLocks noChangeAspect="1"/>
                    </pic:cNvPicPr>
                  </pic:nvPicPr>
                  <pic:blipFill>
                    <a:blip r:embed="rId5"/>
                    <a:stretch>
                      <a:fillRect/>
                    </a:stretch>
                  </pic:blipFill>
                  <pic:spPr>
                    <a:xfrm>
                      <a:off x="0" y="0"/>
                      <a:ext cx="5260975" cy="1076325"/>
                    </a:xfrm>
                    <a:prstGeom prst="rect">
                      <a:avLst/>
                    </a:prstGeom>
                  </pic:spPr>
                </pic:pic>
              </a:graphicData>
            </a:graphic>
          </wp:inline>
        </w:drawing>
      </w:r>
    </w:p>
    <w:p w14:paraId="6CA52D6B">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eastAsia" w:ascii="Times New Roman" w:hAnsi="Times New Roman" w:cs="Times New Roman"/>
          <w:b/>
          <w:bCs/>
          <w:color w:val="auto"/>
          <w:sz w:val="24"/>
          <w:szCs w:val="24"/>
          <w:lang w:val="en-US" w:eastAsia="zh-CN"/>
        </w:rPr>
        <w:t>Fig. S1</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lang w:val="en-US" w:eastAsia="zh-CN"/>
        </w:rPr>
        <w:t>I</w:t>
      </w:r>
      <w:r>
        <w:rPr>
          <w:rFonts w:hint="default" w:ascii="Times New Roman" w:hAnsi="Times New Roman" w:cs="Times New Roman"/>
          <w:sz w:val="24"/>
          <w:szCs w:val="24"/>
          <w:lang w:val="en-US" w:eastAsia="zh-CN"/>
        </w:rPr>
        <w:t>mpact of TIWs on the climatological mean SST (2009–2024) in the equatorial Pacific. (a) Horizontal distribution of SST difference between the CTRL and FILT. (b) Time series of CTRL (black line), FILT (red line), and their difference (green bars) for SSTA averaged over the Niño3 region (5°S–5°N, 150°–90°W, green box in (a)).</w:t>
      </w:r>
    </w:p>
    <w:p w14:paraId="591418EC">
      <w:pPr>
        <w:rPr>
          <w:rFonts w:hint="eastAsia" w:ascii="Times New Roman" w:hAnsi="Times New Roman" w:cs="Times New Roman"/>
          <w:sz w:val="24"/>
          <w:szCs w:val="24"/>
          <w:lang w:val="en-US" w:eastAsia="zh-CN"/>
        </w:rPr>
      </w:pPr>
    </w:p>
    <w:p w14:paraId="681276ED">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drawing>
          <wp:inline distT="0" distB="0" distL="114300" distR="114300">
            <wp:extent cx="5260975" cy="982980"/>
            <wp:effectExtent l="0" t="0" r="6985" b="10160"/>
            <wp:docPr id="4" name="图片 4" descr="P1_FigS3-ENSO_TIW_SST_d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P1_FigS3-ENSO_TIW_SST_diff"/>
                    <pic:cNvPicPr>
                      <a:picLocks noChangeAspect="1"/>
                    </pic:cNvPicPr>
                  </pic:nvPicPr>
                  <pic:blipFill>
                    <a:blip r:embed="rId6"/>
                    <a:stretch>
                      <a:fillRect/>
                    </a:stretch>
                  </pic:blipFill>
                  <pic:spPr>
                    <a:xfrm>
                      <a:off x="0" y="0"/>
                      <a:ext cx="5260975" cy="982980"/>
                    </a:xfrm>
                    <a:prstGeom prst="rect">
                      <a:avLst/>
                    </a:prstGeom>
                  </pic:spPr>
                </pic:pic>
              </a:graphicData>
            </a:graphic>
          </wp:inline>
        </w:drawing>
      </w:r>
    </w:p>
    <w:p w14:paraId="126E54AB">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bCs/>
          <w:color w:val="auto"/>
          <w:sz w:val="24"/>
          <w:szCs w:val="24"/>
          <w:lang w:val="en-US" w:eastAsia="zh-CN"/>
        </w:rPr>
        <w:t xml:space="preserve">Fig. S2 </w:t>
      </w:r>
      <w:r>
        <w:rPr>
          <w:rFonts w:hint="default" w:ascii="Times New Roman" w:hAnsi="Times New Roman" w:cs="Times New Roman"/>
          <w:b w:val="0"/>
          <w:bCs w:val="0"/>
          <w:color w:val="auto"/>
          <w:sz w:val="24"/>
          <w:szCs w:val="24"/>
          <w:lang w:val="en-US" w:eastAsia="zh-CN"/>
        </w:rPr>
        <w:t xml:space="preserve">Composite differences in interannual SSTA between the CTRL and FILT experiments for </w:t>
      </w:r>
      <w:r>
        <w:rPr>
          <w:rFonts w:hint="eastAsia" w:ascii="Times New Roman" w:hAnsi="Times New Roman" w:cs="Times New Roman"/>
          <w:b w:val="0"/>
          <w:bCs w:val="0"/>
          <w:color w:val="auto"/>
          <w:sz w:val="24"/>
          <w:szCs w:val="24"/>
          <w:lang w:val="en-US" w:eastAsia="zh-CN"/>
        </w:rPr>
        <w:t xml:space="preserve">all </w:t>
      </w:r>
      <w:r>
        <w:rPr>
          <w:rFonts w:hint="default" w:ascii="Times New Roman" w:hAnsi="Times New Roman" w:cs="Times New Roman"/>
          <w:b w:val="0"/>
          <w:bCs w:val="0"/>
          <w:color w:val="auto"/>
          <w:sz w:val="24"/>
          <w:szCs w:val="24"/>
          <w:lang w:val="en-US" w:eastAsia="zh-CN"/>
        </w:rPr>
        <w:t>(a) El Niño and (b) La Niña phases during 2009–2024.</w:t>
      </w:r>
      <w:r>
        <w:rPr>
          <w:rFonts w:hint="eastAsia" w:ascii="Times New Roman" w:hAnsi="Times New Roman" w:cs="Times New Roman"/>
          <w:b w:val="0"/>
          <w:bCs w:val="0"/>
          <w:color w:val="auto"/>
          <w:sz w:val="24"/>
          <w:szCs w:val="24"/>
          <w:lang w:val="en-US" w:eastAsia="zh-CN"/>
        </w:rPr>
        <w:t xml:space="preserve"> The definition of ENSO phase transitions follows Warner and Moum (2019).  </w:t>
      </w:r>
    </w:p>
    <w:p w14:paraId="71D7C24A">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Times New Roman" w:hAnsi="Times New Roman" w:cs="Times New Roman"/>
          <w:b w:val="0"/>
          <w:bCs w:val="0"/>
          <w:color w:val="auto"/>
          <w:sz w:val="24"/>
          <w:szCs w:val="24"/>
          <w:lang w:val="en-US" w:eastAsia="zh-CN"/>
        </w:rPr>
      </w:pPr>
    </w:p>
    <w:p w14:paraId="117B508E">
      <w:pPr>
        <w:rPr>
          <w:rFonts w:hint="eastAsia" w:eastAsiaTheme="minorEastAsia"/>
          <w:b/>
          <w:bCs/>
          <w:lang w:eastAsia="zh-CN"/>
        </w:rPr>
      </w:pPr>
      <w:r>
        <w:rPr>
          <w:rFonts w:hint="eastAsia" w:eastAsiaTheme="minorEastAsia"/>
          <w:b/>
          <w:bCs/>
          <w:lang w:eastAsia="zh-CN"/>
        </w:rPr>
        <w:drawing>
          <wp:inline distT="0" distB="0" distL="114300" distR="114300">
            <wp:extent cx="5268595" cy="3468370"/>
            <wp:effectExtent l="0" t="0" r="10160" b="7620"/>
            <wp:docPr id="5" name="图片 5" descr="P1_F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P1_Fig1"/>
                    <pic:cNvPicPr>
                      <a:picLocks noChangeAspect="1"/>
                    </pic:cNvPicPr>
                  </pic:nvPicPr>
                  <pic:blipFill>
                    <a:blip r:embed="rId7"/>
                    <a:stretch>
                      <a:fillRect/>
                    </a:stretch>
                  </pic:blipFill>
                  <pic:spPr>
                    <a:xfrm>
                      <a:off x="0" y="0"/>
                      <a:ext cx="5268595" cy="3468370"/>
                    </a:xfrm>
                    <a:prstGeom prst="rect">
                      <a:avLst/>
                    </a:prstGeom>
                  </pic:spPr>
                </pic:pic>
              </a:graphicData>
            </a:graphic>
          </wp:inline>
        </w:drawing>
      </w:r>
    </w:p>
    <w:p w14:paraId="46DCD5A7">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4"/>
          <w:lang w:val="en-US" w:eastAsia="zh-CN"/>
        </w:rPr>
      </w:pPr>
      <w:r>
        <w:rPr>
          <w:rFonts w:hint="eastAsia" w:ascii="Times New Roman" w:hAnsi="Times New Roman" w:cs="Times New Roman"/>
          <w:b/>
          <w:bCs/>
          <w:color w:val="auto"/>
          <w:sz w:val="24"/>
          <w:szCs w:val="24"/>
          <w:lang w:val="en-US" w:eastAsia="zh-CN"/>
        </w:rPr>
        <w:t>Fig. S3</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lang w:val="en-US" w:eastAsia="zh-CN"/>
        </w:rPr>
        <w:t>H</w:t>
      </w:r>
      <w:r>
        <w:rPr>
          <w:rFonts w:hint="default" w:ascii="Times New Roman" w:hAnsi="Times New Roman" w:cs="Times New Roman"/>
          <w:sz w:val="24"/>
          <w:szCs w:val="24"/>
          <w:lang w:val="en-US" w:eastAsia="zh-CN"/>
        </w:rPr>
        <w:t xml:space="preserve">orizontal distributions of climatological mean SST from (a) observed OISST and (b) </w:t>
      </w:r>
      <w:r>
        <w:rPr>
          <w:rFonts w:hint="eastAsia" w:ascii="Times New Roman" w:hAnsi="Times New Roman" w:cs="Times New Roman"/>
          <w:sz w:val="24"/>
          <w:szCs w:val="24"/>
          <w:lang w:val="en-US" w:eastAsia="zh-CN"/>
        </w:rPr>
        <w:t>OGCM</w:t>
      </w:r>
      <w:r>
        <w:rPr>
          <w:rFonts w:hint="default" w:ascii="Times New Roman" w:hAnsi="Times New Roman" w:cs="Times New Roman"/>
          <w:sz w:val="24"/>
          <w:szCs w:val="24"/>
          <w:lang w:val="en-US" w:eastAsia="zh-CN"/>
        </w:rPr>
        <w:t xml:space="preserve"> simulation during 2009–2024. (c, d) As in (a, b), but for </w:t>
      </w:r>
      <w:r>
        <w:rPr>
          <w:rFonts w:hint="eastAsia" w:ascii="Times New Roman" w:hAnsi="Times New Roman" w:cs="Times New Roman"/>
          <w:sz w:val="24"/>
          <w:szCs w:val="24"/>
          <w:lang w:val="en-US" w:eastAsia="zh-CN"/>
        </w:rPr>
        <w:t xml:space="preserve">the </w:t>
      </w:r>
      <w:r>
        <w:rPr>
          <w:rFonts w:hint="default" w:ascii="Times New Roman" w:hAnsi="Times New Roman" w:cs="Times New Roman"/>
          <w:sz w:val="24"/>
          <w:szCs w:val="24"/>
          <w:lang w:val="en-US" w:eastAsia="zh-CN"/>
        </w:rPr>
        <w:t>root mean square (RMS) of TIW-induced SST perturbation</w:t>
      </w:r>
      <w:r>
        <w:rPr>
          <w:rFonts w:hint="eastAsia" w:ascii="Times New Roman" w:hAnsi="Times New Roman" w:cs="Times New Roman"/>
          <w:sz w:val="24"/>
          <w:szCs w:val="24"/>
          <w:lang w:val="en-US" w:eastAsia="zh-CN"/>
        </w:rPr>
        <w:t xml:space="preserve">s </w:t>
      </w:r>
      <w:r>
        <w:rPr>
          <w:rFonts w:hint="default" w:ascii="Times New Roman" w:hAnsi="Times New Roman" w:cs="Times New Roman"/>
          <w:sz w:val="24"/>
          <w:szCs w:val="24"/>
          <w:lang w:val="en-US" w:eastAsia="zh-CN"/>
        </w:rPr>
        <w:t>(SST</w:t>
      </w:r>
      <w:r>
        <w:rPr>
          <w:rFonts w:hint="default" w:ascii="Times New Roman" w:hAnsi="Times New Roman" w:cs="Times New Roman"/>
          <w:sz w:val="24"/>
          <w:szCs w:val="24"/>
          <w:vertAlign w:val="subscript"/>
          <w:lang w:val="en-US" w:eastAsia="zh-CN"/>
        </w:rPr>
        <w:t>TIW</w:t>
      </w:r>
      <w:r>
        <w:rPr>
          <w:rFonts w:hint="default" w:ascii="Times New Roman" w:hAnsi="Times New Roman" w:cs="Times New Roman"/>
          <w:sz w:val="24"/>
          <w:szCs w:val="24"/>
          <w:lang w:val="en-US" w:eastAsia="zh-CN"/>
        </w:rPr>
        <w:t>, i.e., TIW intensity). (e) Interannual variability of observed (black) and simulated (red) TIW intensity averaged over the region (2°S–6°N, 160°–100°W, green box in (</w:t>
      </w:r>
      <w:r>
        <w:rPr>
          <w:rFonts w:hint="eastAsia" w:ascii="Times New Roman" w:hAnsi="Times New Roman" w:cs="Times New Roman"/>
          <w:sz w:val="24"/>
          <w:szCs w:val="24"/>
          <w:lang w:val="en-US" w:eastAsia="zh-CN"/>
        </w:rPr>
        <w:t>c</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lang w:val="en-US" w:eastAsia="zh-CN"/>
        </w:rPr>
        <w:t>)).</w:t>
      </w:r>
    </w:p>
    <w:p w14:paraId="3F93C1BE">
      <w:pPr>
        <w:rPr>
          <w:rFonts w:hint="eastAsia" w:eastAsiaTheme="minorEastAsia"/>
          <w:b/>
          <w:bCs/>
          <w:lang w:eastAsia="zh-CN"/>
        </w:rPr>
      </w:pPr>
    </w:p>
    <w:p w14:paraId="1D1C7A0E">
      <w:pPr>
        <w:rPr>
          <w:rFonts w:hint="eastAsia" w:eastAsiaTheme="minorEastAsia"/>
          <w:lang w:eastAsia="zh-CN"/>
        </w:rPr>
      </w:pPr>
      <w:r>
        <w:rPr>
          <w:rFonts w:hint="eastAsia" w:eastAsiaTheme="minorEastAsia"/>
          <w:lang w:eastAsia="zh-CN"/>
        </w:rPr>
        <w:drawing>
          <wp:inline distT="0" distB="0" distL="114300" distR="114300">
            <wp:extent cx="5271770" cy="1156335"/>
            <wp:effectExtent l="0" t="0" r="6985" b="9525"/>
            <wp:docPr id="2" name="图片 2" descr="FigS2-SST_diff+Mg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S2-SST_diff+Mgrand"/>
                    <pic:cNvPicPr>
                      <a:picLocks noChangeAspect="1"/>
                    </pic:cNvPicPr>
                  </pic:nvPicPr>
                  <pic:blipFill>
                    <a:blip r:embed="rId8"/>
                    <a:stretch>
                      <a:fillRect/>
                    </a:stretch>
                  </pic:blipFill>
                  <pic:spPr>
                    <a:xfrm>
                      <a:off x="0" y="0"/>
                      <a:ext cx="5271770" cy="1156335"/>
                    </a:xfrm>
                    <a:prstGeom prst="rect">
                      <a:avLst/>
                    </a:prstGeom>
                  </pic:spPr>
                </pic:pic>
              </a:graphicData>
            </a:graphic>
          </wp:inline>
        </w:drawing>
      </w:r>
    </w:p>
    <w:p w14:paraId="2491DE47">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eastAsia" w:ascii="Times New Roman" w:hAnsi="Times New Roman" w:cs="Times New Roman"/>
          <w:b/>
          <w:bCs/>
          <w:color w:val="auto"/>
          <w:sz w:val="24"/>
          <w:szCs w:val="24"/>
          <w:lang w:val="en-US" w:eastAsia="zh-CN"/>
        </w:rPr>
        <w:t>Fig. S4</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lang w:val="en-US" w:eastAsia="zh-CN"/>
        </w:rPr>
        <w:t>Impac</w:t>
      </w:r>
      <w:r>
        <w:rPr>
          <w:rFonts w:hint="default" w:ascii="Times New Roman" w:hAnsi="Times New Roman" w:cs="Times New Roman"/>
          <w:sz w:val="24"/>
          <w:szCs w:val="24"/>
          <w:lang w:val="en-US" w:eastAsia="zh-CN"/>
        </w:rPr>
        <w:t>t of TIWs on interannual SST variability in 2024. (a) Horizontal distribution of SST difference between the CTRL and FILT in boreal summer (July–August). (b) Time series of meridional SST gradient for CTRL (black line), FILT (red line), and their difference (green bars)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calculated as the SST difference between the equatorial (1°S–4°N, 160°–120°W, solid-line green box) and off-equatorial (4°–6°N, 160°–120°W, dashed-line green box) regions.</w:t>
      </w:r>
    </w:p>
    <w:p w14:paraId="46DA2917">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14:paraId="57804DF0">
      <w:pPr>
        <w:rPr>
          <w:rFonts w:hint="eastAsia" w:eastAsiaTheme="minorEastAsia"/>
          <w:lang w:eastAsia="zh-CN"/>
        </w:rPr>
      </w:pPr>
      <w:r>
        <w:rPr>
          <w:rFonts w:hint="eastAsia" w:eastAsiaTheme="minorEastAsia"/>
          <w:lang w:eastAsia="zh-CN"/>
        </w:rPr>
        <w:drawing>
          <wp:inline distT="0" distB="0" distL="114300" distR="114300">
            <wp:extent cx="5264785" cy="1356360"/>
            <wp:effectExtent l="0" t="0" r="3175" b="3810"/>
            <wp:docPr id="1" name="图片 1" descr="FigS1-SSTA HB_tot+bg+ti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S1-SSTA HB_tot+bg+tiw"/>
                    <pic:cNvPicPr>
                      <a:picLocks noChangeAspect="1"/>
                    </pic:cNvPicPr>
                  </pic:nvPicPr>
                  <pic:blipFill>
                    <a:blip r:embed="rId9"/>
                    <a:stretch>
                      <a:fillRect/>
                    </a:stretch>
                  </pic:blipFill>
                  <pic:spPr>
                    <a:xfrm>
                      <a:off x="0" y="0"/>
                      <a:ext cx="5264785" cy="1356360"/>
                    </a:xfrm>
                    <a:prstGeom prst="rect">
                      <a:avLst/>
                    </a:prstGeom>
                  </pic:spPr>
                </pic:pic>
              </a:graphicData>
            </a:graphic>
          </wp:inline>
        </w:drawing>
      </w:r>
    </w:p>
    <w:p w14:paraId="6AD354CD">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default" w:ascii="Times New Roman" w:hAnsi="Times New Roman" w:cs="Times New Roman"/>
          <w:lang w:val="en-US" w:eastAsia="zh-CN"/>
        </w:rPr>
      </w:pPr>
      <w:r>
        <w:rPr>
          <w:rFonts w:hint="eastAsia" w:ascii="Times New Roman" w:hAnsi="Times New Roman" w:cs="Times New Roman"/>
          <w:b/>
          <w:bCs/>
          <w:color w:val="auto"/>
          <w:sz w:val="24"/>
          <w:szCs w:val="24"/>
          <w:lang w:val="en-US" w:eastAsia="zh-CN"/>
        </w:rPr>
        <w:t xml:space="preserve">Fig. S5 </w:t>
      </w:r>
      <w:r>
        <w:rPr>
          <w:rFonts w:hint="eastAsia" w:ascii="Times New Roman" w:hAnsi="Times New Roman" w:cs="Times New Roman"/>
          <w:color w:val="auto"/>
          <w:sz w:val="24"/>
          <w:szCs w:val="24"/>
          <w:lang w:val="en-US" w:eastAsia="zh-CN"/>
        </w:rPr>
        <w:t>Hori</w:t>
      </w:r>
      <w:r>
        <w:rPr>
          <w:rFonts w:hint="eastAsia" w:ascii="Times New Roman" w:hAnsi="Times New Roman" w:cs="Times New Roman"/>
          <w:sz w:val="24"/>
          <w:szCs w:val="24"/>
          <w:lang w:val="en-US" w:eastAsia="zh-CN"/>
        </w:rPr>
        <w:t>zontal distributions of the anomalous SST budget terms calculated from daily outputs of the OGCM simulat</w:t>
      </w:r>
      <w:r>
        <w:rPr>
          <w:rFonts w:hint="default" w:ascii="Times New Roman" w:hAnsi="Times New Roman" w:cs="Times New Roman"/>
          <w:sz w:val="24"/>
          <w:szCs w:val="24"/>
          <w:lang w:val="en-US" w:eastAsia="zh-CN"/>
        </w:rPr>
        <w:t>ions in July–August of 2024. (a)–(c) Zonal (Zadv) and (d)–(f) meridional (Madv) components of the heat advection, decomposed into (left) total parts, (middle) background parts, and (right) TIW perturbation parts.</w:t>
      </w:r>
      <w:r>
        <w:rPr>
          <w:rFonts w:hint="default" w:ascii="Times New Roman" w:hAnsi="Times New Roman" w:cs="Times New Roman"/>
          <w:lang w:val="en-US" w:eastAsia="zh-CN"/>
        </w:rPr>
        <w:t xml:space="preserve"> </w:t>
      </w:r>
    </w:p>
    <w:p w14:paraId="146E4A05">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4"/>
          <w:lang w:val="en-US" w:eastAsia="zh-CN"/>
        </w:rPr>
      </w:pPr>
    </w:p>
    <w:p w14:paraId="4FD43D2A">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4"/>
          <w:lang w:val="en-US" w:eastAsia="zh-CN"/>
        </w:rPr>
      </w:pPr>
    </w:p>
    <w:p w14:paraId="73B17F94">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4"/>
          <w:lang w:val="en-US" w:eastAsia="zh-CN"/>
        </w:rPr>
      </w:pPr>
    </w:p>
    <w:p w14:paraId="0F37F213">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4"/>
          <w:lang w:val="en-US" w:eastAsia="zh-CN"/>
        </w:rPr>
      </w:pPr>
    </w:p>
    <w:p w14:paraId="04801438">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4"/>
          <w:lang w:val="en-US" w:eastAsia="zh-CN"/>
        </w:rPr>
      </w:pPr>
      <w:r>
        <w:rPr>
          <w:rFonts w:ascii="Times New Roman" w:hAnsi="Times New Roman"/>
          <w:b/>
          <w:sz w:val="24"/>
          <w:szCs w:val="24"/>
        </w:rPr>
        <w:t>Table S1</w:t>
      </w:r>
      <w:r>
        <w:rPr>
          <w:rFonts w:ascii="Times New Roman" w:hAnsi="Times New Roman"/>
          <w:sz w:val="24"/>
          <w:szCs w:val="24"/>
        </w:rPr>
        <w:t xml:space="preserve"> </w:t>
      </w:r>
      <w:r>
        <w:rPr>
          <w:rFonts w:hint="eastAsia" w:ascii="Times New Roman" w:hAnsi="Times New Roman"/>
          <w:sz w:val="24"/>
          <w:szCs w:val="24"/>
        </w:rPr>
        <w:t>Composite differences in SSTA (CTRL</w:t>
      </w:r>
      <w:r>
        <w:rPr>
          <w:rFonts w:hint="eastAsia" w:ascii="Times New Roman" w:hAnsi="Times New Roman"/>
          <w:sz w:val="24"/>
          <w:szCs w:val="24"/>
          <w:lang w:val="en-US" w:eastAsia="zh-CN"/>
        </w:rPr>
        <w:t xml:space="preserve"> </w:t>
      </w:r>
      <w:r>
        <w:rPr>
          <w:rFonts w:hint="default" w:ascii="Times New Roman" w:hAnsi="Times New Roman" w:cs="Times New Roman"/>
          <w:color w:val="000000"/>
          <w:kern w:val="0"/>
          <w:sz w:val="24"/>
          <w:szCs w:val="24"/>
          <w:lang w:bidi="ar"/>
        </w:rPr>
        <w:t>−</w:t>
      </w:r>
      <w:r>
        <w:rPr>
          <w:rFonts w:hint="eastAsia" w:ascii="Times New Roman" w:hAnsi="Times New Roman"/>
          <w:sz w:val="24"/>
          <w:szCs w:val="24"/>
          <w:lang w:val="en-US" w:eastAsia="zh-CN"/>
        </w:rPr>
        <w:t xml:space="preserve"> </w:t>
      </w:r>
      <w:r>
        <w:rPr>
          <w:rFonts w:hint="eastAsia" w:ascii="Times New Roman" w:hAnsi="Times New Roman"/>
          <w:sz w:val="24"/>
          <w:szCs w:val="24"/>
        </w:rPr>
        <w:t xml:space="preserve">FILT) </w:t>
      </w:r>
      <w:r>
        <w:rPr>
          <w:rFonts w:hint="default" w:ascii="Times New Roman" w:hAnsi="Times New Roman" w:cs="Times New Roman"/>
          <w:sz w:val="24"/>
          <w:szCs w:val="24"/>
          <w:lang w:val="en-US" w:eastAsia="zh-CN"/>
        </w:rPr>
        <w:t>averaged</w:t>
      </w:r>
      <w:r>
        <w:rPr>
          <w:rFonts w:hint="eastAsia" w:ascii="Times New Roman" w:hAnsi="Times New Roman" w:cs="Times New Roman"/>
          <w:sz w:val="24"/>
          <w:szCs w:val="24"/>
          <w:lang w:val="en-US" w:eastAsia="zh-CN"/>
        </w:rPr>
        <w:t xml:space="preserve"> </w:t>
      </w:r>
      <w:r>
        <w:rPr>
          <w:rFonts w:hint="eastAsia" w:ascii="Times New Roman" w:hAnsi="Times New Roman"/>
          <w:sz w:val="24"/>
          <w:szCs w:val="24"/>
          <w:lang w:val="en-US" w:eastAsia="zh-CN"/>
        </w:rPr>
        <w:t>over</w:t>
      </w:r>
      <w:r>
        <w:rPr>
          <w:rFonts w:hint="eastAsia" w:ascii="Times New Roman" w:hAnsi="Times New Roman"/>
          <w:sz w:val="24"/>
          <w:szCs w:val="24"/>
        </w:rPr>
        <w:t xml:space="preserve"> the Niño3 region during El Niño and La Niña phases for the period </w:t>
      </w:r>
      <w:r>
        <w:rPr>
          <w:rFonts w:hint="default" w:ascii="Times New Roman" w:hAnsi="Times New Roman" w:cs="Times New Roman"/>
          <w:sz w:val="24"/>
          <w:szCs w:val="24"/>
        </w:rPr>
        <w:t>2009–2024</w:t>
      </w:r>
      <w:r>
        <w:rPr>
          <w:rFonts w:hint="eastAsia" w:ascii="Times New Roman" w:hAnsi="Times New Roman"/>
          <w:sz w:val="24"/>
          <w:szCs w:val="24"/>
        </w:rPr>
        <w:t>.</w:t>
      </w:r>
    </w:p>
    <w:tbl>
      <w:tblPr>
        <w:tblStyle w:val="4"/>
        <w:tblW w:w="70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37"/>
        <w:gridCol w:w="1114"/>
        <w:gridCol w:w="1207"/>
        <w:gridCol w:w="1257"/>
        <w:gridCol w:w="1946"/>
      </w:tblGrid>
      <w:tr w14:paraId="7A857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1537" w:type="dxa"/>
            <w:vMerge w:val="restart"/>
            <w:tcBorders>
              <w:top w:val="single" w:color="000000" w:sz="12" w:space="0"/>
              <w:left w:val="nil"/>
              <w:bottom w:val="single" w:color="000000" w:sz="4" w:space="0"/>
              <w:right w:val="nil"/>
            </w:tcBorders>
            <w:shd w:val="clear" w:color="auto" w:fill="auto"/>
            <w:noWrap/>
            <w:vAlign w:val="center"/>
          </w:tcPr>
          <w:p w14:paraId="43415B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 xml:space="preserve">ENSO </w:t>
            </w:r>
            <w:r>
              <w:rPr>
                <w:rFonts w:hint="default" w:ascii="Times New Roman" w:hAnsi="Times New Roman" w:eastAsia="宋体" w:cs="Times New Roman"/>
                <w:i w:val="0"/>
                <w:iCs w:val="0"/>
                <w:color w:val="000000"/>
                <w:kern w:val="0"/>
                <w:sz w:val="24"/>
                <w:szCs w:val="24"/>
                <w:u w:val="none"/>
                <w:lang w:val="en-US" w:eastAsia="zh-CN" w:bidi="ar"/>
              </w:rPr>
              <w:t>phase</w:t>
            </w:r>
          </w:p>
        </w:tc>
        <w:tc>
          <w:tcPr>
            <w:tcW w:w="3578" w:type="dxa"/>
            <w:gridSpan w:val="3"/>
            <w:tcBorders>
              <w:top w:val="single" w:color="000000" w:sz="12" w:space="0"/>
              <w:left w:val="nil"/>
              <w:bottom w:val="nil"/>
              <w:right w:val="nil"/>
            </w:tcBorders>
            <w:shd w:val="clear" w:color="auto" w:fill="auto"/>
            <w:noWrap/>
            <w:vAlign w:val="center"/>
          </w:tcPr>
          <w:p w14:paraId="5DD37D0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Niño3 SSTA (℃)</w:t>
            </w:r>
          </w:p>
        </w:tc>
        <w:tc>
          <w:tcPr>
            <w:tcW w:w="1946" w:type="dxa"/>
            <w:vMerge w:val="restart"/>
            <w:tcBorders>
              <w:top w:val="single" w:color="000000" w:sz="12" w:space="0"/>
              <w:left w:val="nil"/>
              <w:bottom w:val="single" w:color="000000" w:sz="4" w:space="0"/>
              <w:right w:val="nil"/>
            </w:tcBorders>
            <w:shd w:val="clear" w:color="auto" w:fill="auto"/>
            <w:noWrap/>
            <w:vAlign w:val="center"/>
          </w:tcPr>
          <w:p w14:paraId="04D90B7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C</w:t>
            </w:r>
            <w:r>
              <w:rPr>
                <w:rFonts w:hint="default" w:ascii="Times New Roman" w:hAnsi="Times New Roman" w:eastAsia="宋体" w:cs="Times New Roman"/>
                <w:i w:val="0"/>
                <w:iCs w:val="0"/>
                <w:color w:val="000000"/>
                <w:kern w:val="0"/>
                <w:sz w:val="24"/>
                <w:szCs w:val="24"/>
                <w:u w:val="none"/>
                <w:lang w:val="en-US" w:eastAsia="zh-CN" w:bidi="ar"/>
              </w:rPr>
              <w:t>ontribution (%)</w:t>
            </w:r>
          </w:p>
        </w:tc>
      </w:tr>
      <w:tr w14:paraId="76668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537" w:type="dxa"/>
            <w:vMerge w:val="continue"/>
            <w:tcBorders>
              <w:top w:val="single" w:color="000000" w:sz="12" w:space="0"/>
              <w:left w:val="nil"/>
              <w:bottom w:val="single" w:color="000000" w:sz="4" w:space="0"/>
              <w:right w:val="nil"/>
            </w:tcBorders>
            <w:shd w:val="clear" w:color="auto" w:fill="auto"/>
            <w:noWrap/>
            <w:vAlign w:val="center"/>
          </w:tcPr>
          <w:p w14:paraId="7F2F1BFD">
            <w:pPr>
              <w:jc w:val="center"/>
              <w:rPr>
                <w:rFonts w:hint="eastAsia" w:ascii="宋体" w:hAnsi="宋体" w:eastAsia="宋体" w:cs="宋体"/>
                <w:i w:val="0"/>
                <w:iCs w:val="0"/>
                <w:color w:val="000000"/>
                <w:sz w:val="24"/>
                <w:szCs w:val="24"/>
                <w:u w:val="none"/>
              </w:rPr>
            </w:pPr>
          </w:p>
        </w:tc>
        <w:tc>
          <w:tcPr>
            <w:tcW w:w="1114" w:type="dxa"/>
            <w:tcBorders>
              <w:top w:val="nil"/>
              <w:left w:val="nil"/>
              <w:bottom w:val="single" w:color="000000" w:sz="4" w:space="0"/>
              <w:right w:val="nil"/>
            </w:tcBorders>
            <w:shd w:val="clear" w:color="auto" w:fill="auto"/>
            <w:noWrap/>
            <w:vAlign w:val="center"/>
          </w:tcPr>
          <w:p w14:paraId="2EB1D14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CTRL</w:t>
            </w:r>
          </w:p>
        </w:tc>
        <w:tc>
          <w:tcPr>
            <w:tcW w:w="1207" w:type="dxa"/>
            <w:tcBorders>
              <w:top w:val="nil"/>
              <w:left w:val="nil"/>
              <w:bottom w:val="single" w:color="000000" w:sz="4" w:space="0"/>
              <w:right w:val="nil"/>
            </w:tcBorders>
            <w:shd w:val="clear" w:color="auto" w:fill="auto"/>
            <w:noWrap/>
            <w:vAlign w:val="center"/>
          </w:tcPr>
          <w:p w14:paraId="25EA22E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FILT</w:t>
            </w:r>
          </w:p>
        </w:tc>
        <w:tc>
          <w:tcPr>
            <w:tcW w:w="1257" w:type="dxa"/>
            <w:tcBorders>
              <w:top w:val="nil"/>
              <w:left w:val="nil"/>
              <w:bottom w:val="single" w:color="000000" w:sz="4" w:space="0"/>
              <w:right w:val="nil"/>
            </w:tcBorders>
            <w:shd w:val="clear" w:color="auto" w:fill="auto"/>
            <w:noWrap/>
            <w:vAlign w:val="center"/>
          </w:tcPr>
          <w:p w14:paraId="5A225E8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Difference</w:t>
            </w:r>
          </w:p>
        </w:tc>
        <w:tc>
          <w:tcPr>
            <w:tcW w:w="1946" w:type="dxa"/>
            <w:vMerge w:val="continue"/>
            <w:tcBorders>
              <w:top w:val="single" w:color="000000" w:sz="12" w:space="0"/>
              <w:left w:val="nil"/>
              <w:bottom w:val="single" w:color="000000" w:sz="4" w:space="0"/>
              <w:right w:val="nil"/>
            </w:tcBorders>
            <w:shd w:val="clear" w:color="auto" w:fill="auto"/>
            <w:noWrap/>
            <w:vAlign w:val="center"/>
          </w:tcPr>
          <w:p w14:paraId="49FBD9E5">
            <w:pPr>
              <w:jc w:val="center"/>
              <w:rPr>
                <w:rFonts w:hint="default" w:ascii="Times New Roman" w:hAnsi="Times New Roman" w:eastAsia="宋体" w:cs="Times New Roman"/>
                <w:i w:val="0"/>
                <w:iCs w:val="0"/>
                <w:color w:val="000000"/>
                <w:sz w:val="24"/>
                <w:szCs w:val="24"/>
                <w:u w:val="none"/>
              </w:rPr>
            </w:pPr>
          </w:p>
        </w:tc>
      </w:tr>
      <w:tr w14:paraId="0DC57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537" w:type="dxa"/>
            <w:tcBorders>
              <w:top w:val="nil"/>
              <w:left w:val="nil"/>
              <w:bottom w:val="nil"/>
              <w:right w:val="nil"/>
            </w:tcBorders>
            <w:shd w:val="clear" w:color="auto" w:fill="auto"/>
            <w:noWrap/>
            <w:vAlign w:val="center"/>
          </w:tcPr>
          <w:p w14:paraId="365BE7F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El Niño</w:t>
            </w:r>
          </w:p>
        </w:tc>
        <w:tc>
          <w:tcPr>
            <w:tcW w:w="1114" w:type="dxa"/>
            <w:tcBorders>
              <w:top w:val="nil"/>
              <w:left w:val="nil"/>
              <w:bottom w:val="nil"/>
              <w:right w:val="nil"/>
            </w:tcBorders>
            <w:shd w:val="clear" w:color="auto" w:fill="auto"/>
            <w:noWrap/>
            <w:vAlign w:val="center"/>
          </w:tcPr>
          <w:p w14:paraId="073E963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w:t>
            </w:r>
            <w:r>
              <w:rPr>
                <w:rFonts w:hint="eastAsia" w:ascii="Times New Roman" w:hAnsi="Times New Roman" w:eastAsia="宋体" w:cs="Times New Roman"/>
                <w:i w:val="0"/>
                <w:iCs w:val="0"/>
                <w:color w:val="000000"/>
                <w:kern w:val="0"/>
                <w:sz w:val="24"/>
                <w:szCs w:val="24"/>
                <w:u w:val="none"/>
                <w:lang w:val="en-US" w:eastAsia="zh-CN" w:bidi="ar"/>
              </w:rPr>
              <w:t>4</w:t>
            </w:r>
            <w:r>
              <w:rPr>
                <w:rFonts w:hint="default" w:ascii="Times New Roman" w:hAnsi="Times New Roman" w:eastAsia="宋体" w:cs="Times New Roman"/>
                <w:i w:val="0"/>
                <w:iCs w:val="0"/>
                <w:color w:val="000000"/>
                <w:kern w:val="0"/>
                <w:sz w:val="24"/>
                <w:szCs w:val="24"/>
                <w:u w:val="none"/>
                <w:lang w:val="en-US" w:eastAsia="zh-CN" w:bidi="ar"/>
              </w:rPr>
              <w:t xml:space="preserve"> </w:t>
            </w:r>
          </w:p>
        </w:tc>
        <w:tc>
          <w:tcPr>
            <w:tcW w:w="1207" w:type="dxa"/>
            <w:tcBorders>
              <w:top w:val="nil"/>
              <w:left w:val="nil"/>
              <w:bottom w:val="nil"/>
              <w:right w:val="nil"/>
            </w:tcBorders>
            <w:shd w:val="clear" w:color="auto" w:fill="auto"/>
            <w:noWrap/>
            <w:vAlign w:val="center"/>
          </w:tcPr>
          <w:p w14:paraId="79A967F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w:t>
            </w:r>
            <w:r>
              <w:rPr>
                <w:rFonts w:hint="eastAsia" w:ascii="Times New Roman" w:hAnsi="Times New Roman" w:eastAsia="宋体" w:cs="Times New Roman"/>
                <w:i w:val="0"/>
                <w:iCs w:val="0"/>
                <w:color w:val="000000"/>
                <w:kern w:val="0"/>
                <w:sz w:val="24"/>
                <w:szCs w:val="24"/>
                <w:u w:val="none"/>
                <w:lang w:val="en-US" w:eastAsia="zh-CN" w:bidi="ar"/>
              </w:rPr>
              <w:t>7</w:t>
            </w:r>
            <w:r>
              <w:rPr>
                <w:rFonts w:hint="default" w:ascii="Times New Roman" w:hAnsi="Times New Roman" w:eastAsia="宋体" w:cs="Times New Roman"/>
                <w:i w:val="0"/>
                <w:iCs w:val="0"/>
                <w:color w:val="000000"/>
                <w:kern w:val="0"/>
                <w:sz w:val="24"/>
                <w:szCs w:val="24"/>
                <w:u w:val="none"/>
                <w:lang w:val="en-US" w:eastAsia="zh-CN" w:bidi="ar"/>
              </w:rPr>
              <w:t xml:space="preserve"> </w:t>
            </w:r>
          </w:p>
        </w:tc>
        <w:tc>
          <w:tcPr>
            <w:tcW w:w="1257" w:type="dxa"/>
            <w:tcBorders>
              <w:top w:val="nil"/>
              <w:left w:val="nil"/>
              <w:bottom w:val="nil"/>
              <w:right w:val="nil"/>
            </w:tcBorders>
            <w:shd w:val="clear" w:color="auto" w:fill="auto"/>
            <w:noWrap/>
            <w:vAlign w:val="center"/>
          </w:tcPr>
          <w:p w14:paraId="69F0A8C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w:t>
            </w:r>
            <w:r>
              <w:rPr>
                <w:rFonts w:hint="eastAsia" w:ascii="Times New Roman" w:hAnsi="Times New Roman" w:eastAsia="宋体" w:cs="Times New Roman"/>
                <w:i w:val="0"/>
                <w:iCs w:val="0"/>
                <w:color w:val="000000"/>
                <w:kern w:val="0"/>
                <w:sz w:val="24"/>
                <w:szCs w:val="24"/>
                <w:u w:val="none"/>
                <w:lang w:val="en-US" w:eastAsia="zh-CN" w:bidi="ar"/>
              </w:rPr>
              <w:t>7</w:t>
            </w:r>
            <w:r>
              <w:rPr>
                <w:rFonts w:hint="default" w:ascii="Times New Roman" w:hAnsi="Times New Roman" w:eastAsia="宋体" w:cs="Times New Roman"/>
                <w:i w:val="0"/>
                <w:iCs w:val="0"/>
                <w:color w:val="000000"/>
                <w:kern w:val="0"/>
                <w:sz w:val="24"/>
                <w:szCs w:val="24"/>
                <w:u w:val="none"/>
                <w:lang w:val="en-US" w:eastAsia="zh-CN" w:bidi="ar"/>
              </w:rPr>
              <w:t xml:space="preserve"> </w:t>
            </w:r>
          </w:p>
        </w:tc>
        <w:tc>
          <w:tcPr>
            <w:tcW w:w="1946" w:type="dxa"/>
            <w:tcBorders>
              <w:top w:val="nil"/>
              <w:left w:val="nil"/>
              <w:bottom w:val="nil"/>
              <w:right w:val="nil"/>
            </w:tcBorders>
            <w:shd w:val="clear" w:color="auto" w:fill="auto"/>
            <w:noWrap/>
            <w:vAlign w:val="center"/>
          </w:tcPr>
          <w:p w14:paraId="28F0364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Times New Roman" w:hAnsi="Times New Roman" w:eastAsia="宋体" w:cs="Times New Roman"/>
                <w:i w:val="0"/>
                <w:iCs w:val="0"/>
                <w:color w:val="000000"/>
                <w:kern w:val="0"/>
                <w:sz w:val="24"/>
                <w:szCs w:val="24"/>
                <w:u w:val="none"/>
                <w:lang w:val="en-US" w:eastAsia="zh-CN" w:bidi="ar"/>
              </w:rPr>
              <w:t>3</w:t>
            </w:r>
            <w:r>
              <w:rPr>
                <w:rFonts w:hint="default" w:ascii="Times New Roman" w:hAnsi="Times New Roman" w:eastAsia="宋体" w:cs="Times New Roman"/>
                <w:i w:val="0"/>
                <w:iCs w:val="0"/>
                <w:color w:val="000000"/>
                <w:kern w:val="0"/>
                <w:sz w:val="24"/>
                <w:szCs w:val="24"/>
                <w:u w:val="none"/>
                <w:lang w:val="en-US" w:eastAsia="zh-CN" w:bidi="ar"/>
              </w:rPr>
              <w:t>%</w:t>
            </w:r>
          </w:p>
        </w:tc>
      </w:tr>
      <w:tr w14:paraId="63BCE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1537" w:type="dxa"/>
            <w:tcBorders>
              <w:top w:val="nil"/>
              <w:left w:val="nil"/>
              <w:bottom w:val="single" w:color="000000" w:sz="12" w:space="0"/>
              <w:right w:val="nil"/>
            </w:tcBorders>
            <w:shd w:val="clear" w:color="auto" w:fill="auto"/>
            <w:noWrap/>
            <w:vAlign w:val="center"/>
          </w:tcPr>
          <w:p w14:paraId="637397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 Niña</w:t>
            </w:r>
          </w:p>
        </w:tc>
        <w:tc>
          <w:tcPr>
            <w:tcW w:w="1114" w:type="dxa"/>
            <w:tcBorders>
              <w:top w:val="nil"/>
              <w:left w:val="nil"/>
              <w:bottom w:val="single" w:color="000000" w:sz="12" w:space="0"/>
              <w:right w:val="nil"/>
            </w:tcBorders>
            <w:shd w:val="clear" w:color="auto" w:fill="auto"/>
            <w:noWrap/>
            <w:vAlign w:val="center"/>
          </w:tcPr>
          <w:p w14:paraId="1E4F1CF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cs="Times New Roman"/>
                <w:color w:val="000000"/>
                <w:kern w:val="0"/>
                <w:sz w:val="24"/>
                <w:szCs w:val="24"/>
                <w:lang w:bidi="ar"/>
              </w:rPr>
              <w:t>−</w:t>
            </w:r>
            <w:r>
              <w:rPr>
                <w:rFonts w:hint="default" w:ascii="Times New Roman" w:hAnsi="Times New Roman" w:eastAsia="宋体" w:cs="Times New Roman"/>
                <w:i w:val="0"/>
                <w:iCs w:val="0"/>
                <w:color w:val="000000"/>
                <w:kern w:val="0"/>
                <w:sz w:val="24"/>
                <w:szCs w:val="24"/>
                <w:u w:val="none"/>
                <w:lang w:val="en-US" w:eastAsia="zh-CN" w:bidi="ar"/>
              </w:rPr>
              <w:t xml:space="preserve">0.61 </w:t>
            </w:r>
          </w:p>
        </w:tc>
        <w:tc>
          <w:tcPr>
            <w:tcW w:w="1207" w:type="dxa"/>
            <w:tcBorders>
              <w:top w:val="nil"/>
              <w:left w:val="nil"/>
              <w:bottom w:val="single" w:color="000000" w:sz="12" w:space="0"/>
              <w:right w:val="nil"/>
            </w:tcBorders>
            <w:shd w:val="clear" w:color="auto" w:fill="auto"/>
            <w:noWrap/>
            <w:vAlign w:val="center"/>
          </w:tcPr>
          <w:p w14:paraId="63A3ABC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cs="Times New Roman"/>
                <w:color w:val="000000"/>
                <w:kern w:val="0"/>
                <w:sz w:val="24"/>
                <w:szCs w:val="24"/>
                <w:lang w:bidi="ar"/>
              </w:rPr>
              <w:t>−</w:t>
            </w:r>
            <w:r>
              <w:rPr>
                <w:rFonts w:hint="default" w:ascii="Times New Roman" w:hAnsi="Times New Roman" w:eastAsia="宋体" w:cs="Times New Roman"/>
                <w:i w:val="0"/>
                <w:iCs w:val="0"/>
                <w:color w:val="000000"/>
                <w:kern w:val="0"/>
                <w:sz w:val="24"/>
                <w:szCs w:val="24"/>
                <w:u w:val="none"/>
                <w:lang w:val="en-US" w:eastAsia="zh-CN" w:bidi="ar"/>
              </w:rPr>
              <w:t>0.9</w:t>
            </w:r>
            <w:r>
              <w:rPr>
                <w:rFonts w:hint="eastAsia" w:ascii="Times New Roman" w:hAnsi="Times New Roman" w:eastAsia="宋体" w:cs="Times New Roman"/>
                <w:i w:val="0"/>
                <w:iCs w:val="0"/>
                <w:color w:val="000000"/>
                <w:kern w:val="0"/>
                <w:sz w:val="24"/>
                <w:szCs w:val="24"/>
                <w:u w:val="none"/>
                <w:lang w:val="en-US" w:eastAsia="zh-CN" w:bidi="ar"/>
              </w:rPr>
              <w:t>7</w:t>
            </w:r>
            <w:r>
              <w:rPr>
                <w:rFonts w:hint="default" w:ascii="Times New Roman" w:hAnsi="Times New Roman" w:eastAsia="宋体" w:cs="Times New Roman"/>
                <w:i w:val="0"/>
                <w:iCs w:val="0"/>
                <w:color w:val="000000"/>
                <w:kern w:val="0"/>
                <w:sz w:val="24"/>
                <w:szCs w:val="24"/>
                <w:u w:val="none"/>
                <w:lang w:val="en-US" w:eastAsia="zh-CN" w:bidi="ar"/>
              </w:rPr>
              <w:t xml:space="preserve"> </w:t>
            </w:r>
          </w:p>
        </w:tc>
        <w:tc>
          <w:tcPr>
            <w:tcW w:w="1257" w:type="dxa"/>
            <w:tcBorders>
              <w:top w:val="nil"/>
              <w:left w:val="nil"/>
              <w:bottom w:val="single" w:color="000000" w:sz="12" w:space="0"/>
              <w:right w:val="nil"/>
            </w:tcBorders>
            <w:shd w:val="clear" w:color="auto" w:fill="auto"/>
            <w:noWrap/>
            <w:vAlign w:val="center"/>
          </w:tcPr>
          <w:p w14:paraId="508AA74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w:t>
            </w:r>
            <w:r>
              <w:rPr>
                <w:rFonts w:hint="eastAsia" w:ascii="Times New Roman" w:hAnsi="Times New Roman" w:eastAsia="宋体" w:cs="Times New Roman"/>
                <w:i w:val="0"/>
                <w:iCs w:val="0"/>
                <w:color w:val="000000"/>
                <w:kern w:val="0"/>
                <w:sz w:val="24"/>
                <w:szCs w:val="24"/>
                <w:u w:val="none"/>
                <w:lang w:val="en-US" w:eastAsia="zh-CN" w:bidi="ar"/>
              </w:rPr>
              <w:t>6</w:t>
            </w:r>
            <w:r>
              <w:rPr>
                <w:rFonts w:hint="default" w:ascii="Times New Roman" w:hAnsi="Times New Roman" w:eastAsia="宋体" w:cs="Times New Roman"/>
                <w:i w:val="0"/>
                <w:iCs w:val="0"/>
                <w:color w:val="000000"/>
                <w:kern w:val="0"/>
                <w:sz w:val="24"/>
                <w:szCs w:val="24"/>
                <w:u w:val="none"/>
                <w:lang w:val="en-US" w:eastAsia="zh-CN" w:bidi="ar"/>
              </w:rPr>
              <w:t xml:space="preserve"> </w:t>
            </w:r>
          </w:p>
        </w:tc>
        <w:tc>
          <w:tcPr>
            <w:tcW w:w="1946" w:type="dxa"/>
            <w:tcBorders>
              <w:top w:val="nil"/>
              <w:left w:val="nil"/>
              <w:bottom w:val="single" w:color="000000" w:sz="12" w:space="0"/>
              <w:right w:val="nil"/>
            </w:tcBorders>
            <w:shd w:val="clear" w:color="auto" w:fill="auto"/>
            <w:noWrap/>
            <w:vAlign w:val="center"/>
          </w:tcPr>
          <w:p w14:paraId="4918395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cs="Times New Roman"/>
                <w:color w:val="000000"/>
                <w:kern w:val="0"/>
                <w:sz w:val="24"/>
                <w:szCs w:val="24"/>
                <w:lang w:bidi="ar"/>
              </w:rPr>
              <w:t>−</w:t>
            </w:r>
            <w:r>
              <w:rPr>
                <w:rFonts w:hint="default" w:ascii="Times New Roman" w:hAnsi="Times New Roman" w:eastAsia="宋体" w:cs="Times New Roman"/>
                <w:i w:val="0"/>
                <w:iCs w:val="0"/>
                <w:color w:val="000000"/>
                <w:kern w:val="0"/>
                <w:sz w:val="24"/>
                <w:szCs w:val="24"/>
                <w:u w:val="none"/>
                <w:lang w:val="en-US" w:eastAsia="zh-CN" w:bidi="ar"/>
              </w:rPr>
              <w:t>37.5%</w:t>
            </w:r>
          </w:p>
        </w:tc>
      </w:tr>
    </w:tbl>
    <w:p w14:paraId="5040261A">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4"/>
          <w:lang w:val="en-US" w:eastAsia="zh-CN"/>
        </w:rPr>
      </w:pP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C5A1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18AC0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D18AC0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524038"/>
    <w:multiLevelType w:val="multilevel"/>
    <w:tmpl w:val="02524038"/>
    <w:lvl w:ilvl="0" w:tentative="0">
      <w:start w:val="1"/>
      <w:numFmt w:val="decimal"/>
      <w:lvlText w:val="%1."/>
      <w:lvlJc w:val="left"/>
      <w:pPr>
        <w:ind w:left="360" w:hanging="360"/>
      </w:pPr>
      <w:rPr>
        <w:rFonts w:hint="default" w:eastAsiaTheme="min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3B21C8"/>
    <w:rsid w:val="0A840127"/>
    <w:rsid w:val="0EA81ECE"/>
    <w:rsid w:val="0F56171E"/>
    <w:rsid w:val="186A4164"/>
    <w:rsid w:val="1ADE159D"/>
    <w:rsid w:val="201F747B"/>
    <w:rsid w:val="32CF2EAD"/>
    <w:rsid w:val="4B0615DA"/>
    <w:rsid w:val="4DDE6AE1"/>
    <w:rsid w:val="51DA01C5"/>
    <w:rsid w:val="58D40BED"/>
    <w:rsid w:val="58D638DB"/>
    <w:rsid w:val="5D172B4A"/>
    <w:rsid w:val="5D5D4BDC"/>
    <w:rsid w:val="5FD52F29"/>
    <w:rsid w:val="62D93BCC"/>
    <w:rsid w:val="671E5E61"/>
    <w:rsid w:val="680753E2"/>
    <w:rsid w:val="6D164E4E"/>
    <w:rsid w:val="6D612222"/>
    <w:rsid w:val="71F33DE0"/>
    <w:rsid w:val="773B21C8"/>
    <w:rsid w:val="795D254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unhideWhenUsed/>
    <w:qFormat/>
    <w:uiPriority w:val="99"/>
    <w:rPr>
      <w:color w:val="0000FF"/>
      <w:u w:val="single"/>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141</Words>
  <Characters>856</Characters>
  <Lines>0</Lines>
  <Paragraphs>0</Paragraphs>
  <TotalTime>0</TotalTime>
  <ScaleCrop>false</ScaleCrop>
  <LinksUpToDate>false</LinksUpToDate>
  <CharactersWithSpaces>985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2026-05-14T06:57:00Z</dcterms:created>
  <dc:creator>J</dc:creator>
  <cp:lastModifiedBy>J</cp:lastModifiedBy>
  <dcterms:modified xsi:type="dcterms:W3CDTF">2026-10-03T06:40:55Z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29B7C2A92DCA431386596D6163970B4C_11</vt:lpwstr>
  </property>
  <property fmtid="{D5CDD505-2E9C-101B-9397-08002B2CF9AE}" pid="4" name="KSOTemplateDocerSaveRecord">
    <vt:lpwstr>eyJoZGlkIjoiYjkyZmNhZmMwYTRkMzdjNDc0ZDBiODA4ZTNmNjg2YzYiLCJ1c2VySWQiOiI0MzEyODY4ODYifQ==</vt:lpwstr>
  </property>
</Properties>
</file>