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DAA4B1" w14:textId="1796AC0A" w:rsidR="0066499B"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p w14:paraId="426F4F4A" w14:textId="77777777" w:rsidR="004A4A79" w:rsidRPr="004A4A79" w:rsidRDefault="004A4A79" w:rsidP="004A4A79">
      <w:pPr>
        <w:spacing w:line="360" w:lineRule="auto"/>
        <w:rPr>
          <w:rFonts w:ascii="Calibri" w:hAnsi="Calibri" w:cs="Calibri"/>
          <w:sz w:val="22"/>
          <w:szCs w:val="22"/>
        </w:rPr>
      </w:pPr>
      <w:r w:rsidRPr="004A4A79">
        <w:rPr>
          <w:rFonts w:ascii="Calibri" w:hAnsi="Calibri" w:cs="Calibri"/>
          <w:sz w:val="22"/>
          <w:szCs w:val="22"/>
        </w:rPr>
        <w:t xml:space="preserve">This manuscript reports a post hoc secondary analysis of the ANDROMEDA-SHOCK-2 </w:t>
      </w:r>
      <w:proofErr w:type="spellStart"/>
      <w:r w:rsidRPr="004A4A79">
        <w:rPr>
          <w:rFonts w:ascii="Calibri" w:hAnsi="Calibri" w:cs="Calibri"/>
          <w:sz w:val="22"/>
          <w:szCs w:val="22"/>
        </w:rPr>
        <w:t>randomised</w:t>
      </w:r>
      <w:proofErr w:type="spellEnd"/>
      <w:r w:rsidRPr="004A4A79">
        <w:rPr>
          <w:rFonts w:ascii="Calibri" w:hAnsi="Calibri" w:cs="Calibri"/>
          <w:sz w:val="22"/>
          <w:szCs w:val="22"/>
        </w:rPr>
        <w:t xml:space="preserve"> clinical trial. CONSORT items concerning the original trial design and conduct are addressed by reference to the parent trial report, published protocol, and statistical analysis plan [1–3]. The secondary analysis did not involve new participant recruitment, treatment allocation, or intervention delivery.</w:t>
      </w:r>
    </w:p>
    <w:p w14:paraId="4892CA7F" w14:textId="77777777" w:rsidR="004A4A79" w:rsidRPr="009C6FD6" w:rsidRDefault="004A4A79" w:rsidP="00B36D6D">
      <w:pPr>
        <w:spacing w:line="360" w:lineRule="auto"/>
        <w:jc w:val="both"/>
        <w:rPr>
          <w:rFonts w:ascii="Calibri" w:eastAsia="Calibri" w:hAnsi="Calibri" w:cs="Calibri"/>
          <w:b/>
          <w:color w:val="000000"/>
          <w:sz w:val="22"/>
          <w:szCs w:val="22"/>
          <w:lang w:val="en-GB"/>
        </w:rPr>
      </w:pP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074BD832" w:rsidR="00B36D6D" w:rsidRPr="009C6FD6" w:rsidRDefault="00690D73">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4</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4FD17789" w:rsidR="00B36D6D" w:rsidRPr="009C6FD6" w:rsidRDefault="00690D73">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4</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41244F71" w:rsidR="00B36D6D" w:rsidRPr="009C6FD6" w:rsidRDefault="00690D73">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4,8</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2EC24AE7" w:rsidR="00B36D6D" w:rsidRPr="00050F7B" w:rsidRDefault="00050F7B">
            <w:pPr>
              <w:spacing w:line="240" w:lineRule="auto"/>
              <w:rPr>
                <w:rFonts w:ascii="Calibri" w:eastAsia="Calibri" w:hAnsi="Calibri" w:cs="Calibri"/>
                <w:color w:val="000000"/>
                <w:sz w:val="22"/>
                <w:szCs w:val="22"/>
                <w:lang w:val="en-GB"/>
              </w:rPr>
            </w:pPr>
            <w:r w:rsidRPr="00050F7B">
              <w:rPr>
                <w:rFonts w:ascii="Calibri" w:hAnsi="Calibri" w:cs="Calibri"/>
                <w:sz w:val="22"/>
                <w:szCs w:val="22"/>
              </w:rPr>
              <w:t>Reported in the parent trial protocol and statistical analysis plan [2,3]. No new trial protocol was developed for this secondary analysis.</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6D3DED09" w:rsidR="00B36D6D" w:rsidRPr="009C6FD6" w:rsidRDefault="00690D73">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8</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30C3D883" w:rsidR="00B36D6D" w:rsidRPr="009C6FD6" w:rsidRDefault="008C5EE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8, 18</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3EC3FF7D" w:rsidR="00B36D6D" w:rsidRPr="009C6FD6" w:rsidRDefault="008C5EE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18</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lastRenderedPageBreak/>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6EC358B1" w:rsidR="00B36D6D" w:rsidRPr="009C6FD6" w:rsidRDefault="008C5EE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7,8</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1767BA85" w:rsidR="00B36D6D" w:rsidRPr="009C6FD6" w:rsidRDefault="008C5EE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8</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14A35E08" w:rsidR="00B36D6D" w:rsidRPr="009C6FD6" w:rsidRDefault="008C5EE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8</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5B0E34AB" w:rsidR="00B36D6D" w:rsidRPr="00050F7B" w:rsidRDefault="00050F7B">
            <w:pPr>
              <w:spacing w:line="240" w:lineRule="auto"/>
              <w:rPr>
                <w:rFonts w:ascii="Calibri" w:eastAsia="Calibri" w:hAnsi="Calibri" w:cs="Calibri"/>
                <w:color w:val="000000"/>
                <w:sz w:val="22"/>
                <w:szCs w:val="22"/>
                <w:lang w:val="en-GB"/>
              </w:rPr>
            </w:pPr>
            <w:r w:rsidRPr="00050F7B">
              <w:rPr>
                <w:rFonts w:ascii="Calibri" w:hAnsi="Calibri" w:cs="Calibri"/>
                <w:sz w:val="22"/>
                <w:szCs w:val="22"/>
              </w:rPr>
              <w:t>Parent trial design: see the published protocol [2] and statistical analysis plan [3]. This report presents a post hoc analysis of that trial.</w:t>
            </w:r>
            <w:r w:rsidR="008C5EE2" w:rsidRPr="00050F7B">
              <w:rPr>
                <w:rFonts w:ascii="Calibri" w:eastAsia="Calibri" w:hAnsi="Calibri" w:cs="Calibri"/>
                <w:color w:val="000000"/>
                <w:sz w:val="22"/>
                <w:szCs w:val="22"/>
                <w:lang w:val="en-GB"/>
              </w:rPr>
              <w:t xml:space="preserve"> </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6E1C29DD" w:rsidR="00B36D6D" w:rsidRPr="009C6FD6" w:rsidRDefault="008C5EE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9,10,11,12</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3067EBE5" w:rsidR="00B36D6D" w:rsidRPr="00050F7B" w:rsidRDefault="00050F7B">
            <w:pPr>
              <w:spacing w:line="240" w:lineRule="auto"/>
              <w:rPr>
                <w:rFonts w:ascii="Calibri" w:eastAsia="Calibri" w:hAnsi="Calibri" w:cs="Calibri"/>
                <w:color w:val="000000"/>
                <w:sz w:val="22"/>
                <w:szCs w:val="22"/>
                <w:lang w:val="en-GB"/>
              </w:rPr>
            </w:pPr>
            <w:r w:rsidRPr="00050F7B">
              <w:rPr>
                <w:rFonts w:ascii="Calibri" w:hAnsi="Calibri" w:cs="Calibri"/>
                <w:sz w:val="22"/>
                <w:szCs w:val="22"/>
              </w:rPr>
              <w:t xml:space="preserve">Parent trial sites and setting: see Methods, Trial Design, Setting, and Oversight, and Supplement 2, </w:t>
            </w:r>
            <w:proofErr w:type="spellStart"/>
            <w:r w:rsidRPr="00050F7B">
              <w:rPr>
                <w:rFonts w:ascii="Calibri" w:hAnsi="Calibri" w:cs="Calibri"/>
                <w:sz w:val="22"/>
                <w:szCs w:val="22"/>
              </w:rPr>
              <w:t>eTable</w:t>
            </w:r>
            <w:proofErr w:type="spellEnd"/>
            <w:r w:rsidRPr="00050F7B">
              <w:rPr>
                <w:rFonts w:ascii="Calibri" w:hAnsi="Calibri" w:cs="Calibri"/>
                <w:sz w:val="22"/>
                <w:szCs w:val="22"/>
              </w:rPr>
              <w:t xml:space="preserve"> 1 [1].</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5FEE393E" w:rsidR="00B36D6D" w:rsidRPr="00050F7B" w:rsidRDefault="00050F7B">
            <w:pPr>
              <w:spacing w:line="240" w:lineRule="auto"/>
              <w:rPr>
                <w:rFonts w:ascii="Calibri" w:eastAsia="Calibri" w:hAnsi="Calibri" w:cs="Calibri"/>
                <w:color w:val="000000"/>
                <w:sz w:val="22"/>
                <w:szCs w:val="22"/>
                <w:lang w:val="en-GB"/>
              </w:rPr>
            </w:pPr>
            <w:r w:rsidRPr="00050F7B">
              <w:rPr>
                <w:rFonts w:ascii="Calibri" w:hAnsi="Calibri" w:cs="Calibri"/>
                <w:sz w:val="22"/>
                <w:szCs w:val="22"/>
              </w:rPr>
              <w:t>Original eligibility criteria: see the parent trial protocol [2] and Methods, Patients and Eligibility Criteria [1]. No new participants were recruited for this analysis.</w:t>
            </w:r>
          </w:p>
        </w:tc>
      </w:tr>
      <w:tr w:rsidR="00050F7B" w:rsidRPr="009C6FD6" w14:paraId="2E19841C" w14:textId="09E33AE1" w:rsidTr="0037039A">
        <w:trPr>
          <w:trHeight w:val="276"/>
        </w:trPr>
        <w:tc>
          <w:tcPr>
            <w:tcW w:w="2547" w:type="dxa"/>
            <w:vMerge/>
            <w:vAlign w:val="center"/>
          </w:tcPr>
          <w:p w14:paraId="37DCF479" w14:textId="77777777" w:rsidR="00050F7B" w:rsidRPr="009C6FD6" w:rsidRDefault="00050F7B" w:rsidP="00050F7B">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050F7B" w:rsidRPr="009C6FD6" w:rsidRDefault="00050F7B" w:rsidP="00050F7B">
            <w:pPr>
              <w:spacing w:line="240" w:lineRule="auto"/>
              <w:rPr>
                <w:rFonts w:ascii="Calibri" w:eastAsia="Calibri" w:hAnsi="Calibri" w:cs="Calibri"/>
                <w:color w:val="000000"/>
                <w:sz w:val="22"/>
                <w:szCs w:val="22"/>
                <w:lang w:val="en-GB"/>
              </w:rPr>
            </w:pPr>
            <w:r w:rsidRPr="00050F7B">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vAlign w:val="center"/>
          </w:tcPr>
          <w:p w14:paraId="6D568B99" w14:textId="6566B6A4" w:rsidR="00050F7B" w:rsidRPr="00050F7B" w:rsidRDefault="00050F7B" w:rsidP="00050F7B">
            <w:pPr>
              <w:spacing w:line="240" w:lineRule="auto"/>
              <w:rPr>
                <w:rFonts w:ascii="Calibri" w:eastAsia="Calibri" w:hAnsi="Calibri" w:cs="Calibri"/>
                <w:color w:val="000000"/>
                <w:sz w:val="22"/>
                <w:szCs w:val="22"/>
                <w:lang w:val="en-GB"/>
              </w:rPr>
            </w:pPr>
            <w:r w:rsidRPr="00050F7B">
              <w:rPr>
                <w:rFonts w:ascii="Calibri" w:hAnsi="Calibri" w:cs="Calibri"/>
                <w:sz w:val="22"/>
                <w:szCs w:val="22"/>
              </w:rPr>
              <w:t>Training of intervention providers: see Methods, Protocol Training and Adherence [1]. Training and intervention delivery were undertaken within the parent trial.</w:t>
            </w:r>
          </w:p>
        </w:tc>
      </w:tr>
      <w:tr w:rsidR="00050F7B" w:rsidRPr="009C6FD6" w14:paraId="72C268E0" w14:textId="2C365FD3" w:rsidTr="00BC3998">
        <w:trPr>
          <w:trHeight w:val="463"/>
        </w:trPr>
        <w:tc>
          <w:tcPr>
            <w:tcW w:w="2547" w:type="dxa"/>
          </w:tcPr>
          <w:p w14:paraId="23EE01E3" w14:textId="2BBC8976"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59366848" w:rsidR="00050F7B" w:rsidRPr="00050F7B" w:rsidRDefault="00050F7B" w:rsidP="00050F7B">
            <w:pPr>
              <w:spacing w:line="240" w:lineRule="auto"/>
              <w:rPr>
                <w:rFonts w:ascii="Calibri" w:eastAsia="Calibri" w:hAnsi="Calibri" w:cs="Calibri"/>
                <w:color w:val="000000"/>
                <w:sz w:val="22"/>
                <w:szCs w:val="22"/>
                <w:lang w:val="en-GB"/>
              </w:rPr>
            </w:pPr>
            <w:r w:rsidRPr="00050F7B">
              <w:rPr>
                <w:rFonts w:ascii="Calibri" w:hAnsi="Calibri" w:cs="Calibri"/>
                <w:sz w:val="22"/>
                <w:szCs w:val="22"/>
              </w:rPr>
              <w:t xml:space="preserve">Parent trial intervention </w:t>
            </w:r>
            <w:r w:rsidRPr="00050F7B">
              <w:rPr>
                <w:rFonts w:ascii="Calibri" w:hAnsi="Calibri" w:cs="Calibri"/>
                <w:sz w:val="22"/>
                <w:szCs w:val="22"/>
              </w:rPr>
              <w:lastRenderedPageBreak/>
              <w:t>and comparator: see the published protocol [2] and Figure 2 of the primary report [1]. The present analysis did not introduce a new intervention.</w:t>
            </w:r>
          </w:p>
        </w:tc>
      </w:tr>
      <w:tr w:rsidR="00050F7B" w:rsidRPr="009C6FD6" w14:paraId="2D3DE58D" w14:textId="4C478C59" w:rsidTr="00BC3998">
        <w:trPr>
          <w:trHeight w:val="614"/>
        </w:trPr>
        <w:tc>
          <w:tcPr>
            <w:tcW w:w="2547" w:type="dxa"/>
          </w:tcPr>
          <w:p w14:paraId="273E4E1D"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Outcomes</w:t>
            </w:r>
          </w:p>
        </w:tc>
        <w:tc>
          <w:tcPr>
            <w:tcW w:w="992" w:type="dxa"/>
          </w:tcPr>
          <w:p w14:paraId="1C478860"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050F7B" w:rsidRPr="009C6FD6" w:rsidRDefault="00050F7B" w:rsidP="00050F7B">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5A93786B" w:rsidR="00050F7B" w:rsidRPr="009C6FD6" w:rsidRDefault="00050F7B" w:rsidP="00050F7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9,10,11,12</w:t>
            </w:r>
          </w:p>
        </w:tc>
      </w:tr>
      <w:tr w:rsidR="00050F7B" w:rsidRPr="009C6FD6" w14:paraId="58D124DA" w14:textId="000F135E" w:rsidTr="00BC3998">
        <w:trPr>
          <w:trHeight w:val="339"/>
        </w:trPr>
        <w:tc>
          <w:tcPr>
            <w:tcW w:w="2547" w:type="dxa"/>
          </w:tcPr>
          <w:p w14:paraId="3A9C2505"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050F7B" w:rsidRPr="00050F7B" w:rsidRDefault="00050F7B" w:rsidP="00050F7B">
            <w:pPr>
              <w:spacing w:line="240" w:lineRule="auto"/>
              <w:rPr>
                <w:rFonts w:ascii="Calibri" w:eastAsia="Calibri" w:hAnsi="Calibri" w:cs="Calibri"/>
                <w:color w:val="000000"/>
                <w:sz w:val="22"/>
                <w:szCs w:val="22"/>
                <w:lang w:val="en-GB"/>
              </w:rPr>
            </w:pPr>
            <w:r w:rsidRPr="00050F7B">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572B6C4C" w:rsidR="00050F7B" w:rsidRPr="00050F7B" w:rsidRDefault="00050F7B" w:rsidP="00050F7B">
            <w:pPr>
              <w:spacing w:line="240" w:lineRule="auto"/>
              <w:jc w:val="both"/>
              <w:rPr>
                <w:rFonts w:ascii="Calibri" w:eastAsia="Calibri" w:hAnsi="Calibri" w:cs="Calibri"/>
                <w:color w:val="000000"/>
                <w:sz w:val="22"/>
                <w:szCs w:val="22"/>
                <w:lang w:val="en-GB"/>
              </w:rPr>
            </w:pPr>
            <w:r w:rsidRPr="00050F7B">
              <w:rPr>
                <w:rFonts w:ascii="Calibri" w:hAnsi="Calibri" w:cs="Calibri"/>
                <w:sz w:val="22"/>
                <w:szCs w:val="22"/>
              </w:rPr>
              <w:t>Safety procedures belonged to the parent trial; see the study protocol [2] and the Study interventions section of the statistical analysis plan [3].</w:t>
            </w:r>
          </w:p>
        </w:tc>
      </w:tr>
      <w:tr w:rsidR="00050F7B" w:rsidRPr="009C6FD6" w14:paraId="62973BF2" w14:textId="49BAA2F8" w:rsidTr="00BC3998">
        <w:trPr>
          <w:trHeight w:val="273"/>
        </w:trPr>
        <w:tc>
          <w:tcPr>
            <w:tcW w:w="2547" w:type="dxa"/>
            <w:vMerge w:val="restart"/>
          </w:tcPr>
          <w:p w14:paraId="6A7FA313"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Sample size</w:t>
            </w:r>
          </w:p>
        </w:tc>
        <w:tc>
          <w:tcPr>
            <w:tcW w:w="992" w:type="dxa"/>
          </w:tcPr>
          <w:p w14:paraId="3D9FEE9D"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050F7B" w:rsidRPr="00050F7B" w:rsidRDefault="00050F7B" w:rsidP="00050F7B">
            <w:pPr>
              <w:spacing w:line="240" w:lineRule="auto"/>
              <w:rPr>
                <w:rFonts w:ascii="Calibri" w:eastAsia="Calibri" w:hAnsi="Calibri" w:cs="Calibri"/>
                <w:color w:val="000000"/>
                <w:sz w:val="22"/>
                <w:szCs w:val="22"/>
                <w:lang w:val="en-GB"/>
              </w:rPr>
            </w:pPr>
            <w:r w:rsidRPr="00050F7B">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1930958C" w:rsidR="00050F7B" w:rsidRPr="00050F7B" w:rsidRDefault="00050F7B" w:rsidP="00050F7B">
            <w:pPr>
              <w:spacing w:line="240" w:lineRule="auto"/>
              <w:rPr>
                <w:rFonts w:ascii="Calibri" w:eastAsia="Calibri" w:hAnsi="Calibri" w:cs="Calibri"/>
                <w:color w:val="000000"/>
                <w:sz w:val="22"/>
                <w:szCs w:val="22"/>
                <w:lang w:val="en-GB"/>
              </w:rPr>
            </w:pPr>
            <w:r w:rsidRPr="00050F7B">
              <w:rPr>
                <w:rFonts w:ascii="Calibri" w:hAnsi="Calibri" w:cs="Calibri"/>
                <w:sz w:val="22"/>
                <w:szCs w:val="22"/>
              </w:rPr>
              <w:t>The sample size was determined for the parent trial; see the published protocol [2], sample-size section. This secondary analysis did not determine the original recruitment target.</w:t>
            </w:r>
          </w:p>
        </w:tc>
      </w:tr>
      <w:tr w:rsidR="00050F7B" w:rsidRPr="009C6FD6" w14:paraId="365605D7" w14:textId="7252FE1E" w:rsidTr="00BC3998">
        <w:trPr>
          <w:trHeight w:val="273"/>
        </w:trPr>
        <w:tc>
          <w:tcPr>
            <w:tcW w:w="2547" w:type="dxa"/>
            <w:vMerge/>
          </w:tcPr>
          <w:p w14:paraId="5EE3997D" w14:textId="77777777" w:rsidR="00050F7B" w:rsidRPr="009C6FD6" w:rsidRDefault="00050F7B" w:rsidP="00050F7B">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050F7B" w:rsidRPr="00050F7B" w:rsidRDefault="00050F7B" w:rsidP="00050F7B">
            <w:pPr>
              <w:spacing w:line="240" w:lineRule="auto"/>
              <w:rPr>
                <w:rFonts w:ascii="Calibri" w:eastAsia="Calibri" w:hAnsi="Calibri" w:cs="Calibri"/>
                <w:color w:val="000000"/>
                <w:sz w:val="22"/>
                <w:szCs w:val="22"/>
                <w:lang w:val="en-GB"/>
              </w:rPr>
            </w:pPr>
            <w:r w:rsidRPr="00050F7B">
              <w:rPr>
                <w:rFonts w:ascii="Calibri" w:eastAsia="Calibri" w:hAnsi="Calibri" w:cs="Calibri"/>
                <w:color w:val="000000"/>
                <w:sz w:val="22"/>
                <w:szCs w:val="22"/>
                <w:lang w:val="en-GB"/>
              </w:rPr>
              <w:t>Explanation of any interim analyses and stopping guidelines</w:t>
            </w:r>
          </w:p>
        </w:tc>
        <w:tc>
          <w:tcPr>
            <w:tcW w:w="1417" w:type="dxa"/>
          </w:tcPr>
          <w:p w14:paraId="74EBB045" w14:textId="616AE99A" w:rsidR="00050F7B" w:rsidRPr="00050F7B" w:rsidRDefault="00050F7B" w:rsidP="00050F7B">
            <w:pPr>
              <w:spacing w:line="240" w:lineRule="auto"/>
              <w:rPr>
                <w:rFonts w:ascii="Calibri" w:eastAsia="Calibri" w:hAnsi="Calibri" w:cs="Calibri"/>
                <w:color w:val="000000"/>
                <w:sz w:val="22"/>
                <w:szCs w:val="22"/>
                <w:lang w:val="en-GB"/>
              </w:rPr>
            </w:pPr>
            <w:r w:rsidRPr="00050F7B">
              <w:rPr>
                <w:rFonts w:ascii="Calibri" w:hAnsi="Calibri" w:cs="Calibri"/>
                <w:sz w:val="22"/>
                <w:szCs w:val="22"/>
              </w:rPr>
              <w:t>Parent trial interim analyses and monitoring: see Methods, Trial Design, Setting, and Oversight [1] and the parent statistical analysis plan [3].</w:t>
            </w:r>
          </w:p>
        </w:tc>
      </w:tr>
      <w:tr w:rsidR="00050F7B" w:rsidRPr="009C6FD6" w14:paraId="7CF31D29" w14:textId="10D62C26" w:rsidTr="00BC3998">
        <w:trPr>
          <w:trHeight w:val="276"/>
        </w:trPr>
        <w:tc>
          <w:tcPr>
            <w:tcW w:w="2547" w:type="dxa"/>
          </w:tcPr>
          <w:p w14:paraId="1D2AE3FF"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050F7B" w:rsidRPr="009C6FD6" w:rsidRDefault="00050F7B" w:rsidP="00050F7B">
            <w:pPr>
              <w:spacing w:line="240" w:lineRule="auto"/>
              <w:rPr>
                <w:rFonts w:ascii="Calibri" w:eastAsia="Calibri" w:hAnsi="Calibri" w:cs="Calibri"/>
                <w:color w:val="000000"/>
                <w:sz w:val="22"/>
                <w:szCs w:val="22"/>
                <w:lang w:val="en-GB"/>
              </w:rPr>
            </w:pPr>
          </w:p>
        </w:tc>
      </w:tr>
      <w:tr w:rsidR="00050F7B" w:rsidRPr="009C6FD6" w14:paraId="4537F87A" w14:textId="569C9680" w:rsidTr="00BC3998">
        <w:trPr>
          <w:trHeight w:val="266"/>
        </w:trPr>
        <w:tc>
          <w:tcPr>
            <w:tcW w:w="2547" w:type="dxa"/>
            <w:vMerge w:val="restart"/>
          </w:tcPr>
          <w:p w14:paraId="15B2BB96" w14:textId="77777777" w:rsidR="00050F7B" w:rsidRPr="009C6FD6" w:rsidRDefault="00050F7B" w:rsidP="00050F7B">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Sequence generation</w:t>
            </w:r>
          </w:p>
        </w:tc>
        <w:tc>
          <w:tcPr>
            <w:tcW w:w="992" w:type="dxa"/>
          </w:tcPr>
          <w:p w14:paraId="04D32F8E"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7AE309A4" w:rsidR="00050F7B" w:rsidRPr="00050F7B" w:rsidRDefault="00050F7B" w:rsidP="00050F7B">
            <w:pPr>
              <w:spacing w:line="240" w:lineRule="auto"/>
              <w:rPr>
                <w:rFonts w:ascii="Calibri" w:eastAsia="Calibri" w:hAnsi="Calibri" w:cs="Calibri"/>
                <w:color w:val="000000"/>
                <w:sz w:val="22"/>
                <w:szCs w:val="22"/>
                <w:lang w:val="en-GB"/>
              </w:rPr>
            </w:pPr>
            <w:r w:rsidRPr="00050F7B">
              <w:rPr>
                <w:rFonts w:ascii="Calibri" w:hAnsi="Calibri" w:cs="Calibri"/>
                <w:sz w:val="22"/>
                <w:szCs w:val="22"/>
              </w:rPr>
              <w:t>Random sequence generation was undertaken in the parent trial; see Randomization in the published statistical analysis plan [3]. No new randomization was performed for this analysis.</w:t>
            </w:r>
          </w:p>
        </w:tc>
      </w:tr>
      <w:tr w:rsidR="00050F7B" w:rsidRPr="009C6FD6" w14:paraId="14EC82C6" w14:textId="3CED05A8" w:rsidTr="00054433">
        <w:trPr>
          <w:trHeight w:val="285"/>
        </w:trPr>
        <w:tc>
          <w:tcPr>
            <w:tcW w:w="2547" w:type="dxa"/>
            <w:vMerge/>
          </w:tcPr>
          <w:p w14:paraId="0F443EBC" w14:textId="77777777" w:rsidR="00050F7B" w:rsidRPr="009C6FD6" w:rsidRDefault="00050F7B" w:rsidP="00050F7B">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vAlign w:val="center"/>
          </w:tcPr>
          <w:p w14:paraId="6BFED71E" w14:textId="1DC2CB12" w:rsidR="00050F7B" w:rsidRPr="00050F7B" w:rsidRDefault="00050F7B" w:rsidP="00050F7B">
            <w:pPr>
              <w:spacing w:line="240" w:lineRule="auto"/>
              <w:rPr>
                <w:rFonts w:ascii="Calibri" w:eastAsia="Calibri" w:hAnsi="Calibri" w:cs="Calibri"/>
                <w:color w:val="000000"/>
                <w:sz w:val="22"/>
                <w:szCs w:val="22"/>
                <w:lang w:val="en-GB"/>
              </w:rPr>
            </w:pPr>
            <w:r w:rsidRPr="00050F7B">
              <w:rPr>
                <w:rFonts w:ascii="Calibri" w:hAnsi="Calibri" w:cs="Calibri"/>
                <w:sz w:val="22"/>
                <w:szCs w:val="22"/>
              </w:rPr>
              <w:t xml:space="preserve">Type of randomization and restrictions: see Randomization in the parent trial statistical analysis plan [3]. The original treatment allocation </w:t>
            </w:r>
            <w:r w:rsidRPr="00050F7B">
              <w:rPr>
                <w:rFonts w:ascii="Calibri" w:hAnsi="Calibri" w:cs="Calibri"/>
                <w:sz w:val="22"/>
                <w:szCs w:val="22"/>
              </w:rPr>
              <w:lastRenderedPageBreak/>
              <w:t>was retained.</w:t>
            </w:r>
          </w:p>
        </w:tc>
      </w:tr>
      <w:tr w:rsidR="00050F7B" w:rsidRPr="009C6FD6" w14:paraId="30B7CE14" w14:textId="2A8F98FA" w:rsidTr="00E9122B">
        <w:trPr>
          <w:trHeight w:val="544"/>
        </w:trPr>
        <w:tc>
          <w:tcPr>
            <w:tcW w:w="2547" w:type="dxa"/>
          </w:tcPr>
          <w:p w14:paraId="50619AAE" w14:textId="77777777" w:rsidR="00050F7B" w:rsidRPr="009C6FD6" w:rsidRDefault="00050F7B" w:rsidP="00050F7B">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Allocation concealment mechanism</w:t>
            </w:r>
          </w:p>
        </w:tc>
        <w:tc>
          <w:tcPr>
            <w:tcW w:w="992" w:type="dxa"/>
          </w:tcPr>
          <w:p w14:paraId="4B77DA41"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vAlign w:val="center"/>
          </w:tcPr>
          <w:p w14:paraId="61EC8B0E" w14:textId="3D62542A" w:rsidR="00050F7B" w:rsidRPr="00050F7B" w:rsidRDefault="00050F7B" w:rsidP="00050F7B">
            <w:pPr>
              <w:spacing w:line="240" w:lineRule="auto"/>
              <w:rPr>
                <w:rFonts w:ascii="Calibri" w:eastAsia="Calibri" w:hAnsi="Calibri" w:cs="Calibri"/>
                <w:color w:val="000000"/>
                <w:sz w:val="22"/>
                <w:szCs w:val="22"/>
                <w:lang w:val="en-GB"/>
              </w:rPr>
            </w:pPr>
            <w:r w:rsidRPr="00050F7B">
              <w:rPr>
                <w:rFonts w:ascii="Calibri" w:hAnsi="Calibri" w:cs="Calibri"/>
                <w:sz w:val="22"/>
                <w:szCs w:val="22"/>
              </w:rPr>
              <w:t>Allocation concealment was implemented in the parent trial; see Randomization in the published statistical analysis plan [3] and primary report [1].</w:t>
            </w:r>
          </w:p>
        </w:tc>
      </w:tr>
      <w:tr w:rsidR="00050F7B" w:rsidRPr="009C6FD6" w14:paraId="685356C7" w14:textId="4A9F88ED" w:rsidTr="00BC3998">
        <w:trPr>
          <w:trHeight w:val="558"/>
        </w:trPr>
        <w:tc>
          <w:tcPr>
            <w:tcW w:w="2547" w:type="dxa"/>
          </w:tcPr>
          <w:p w14:paraId="1669B1E1" w14:textId="77777777" w:rsidR="00050F7B" w:rsidRPr="009C6FD6" w:rsidRDefault="00050F7B" w:rsidP="00050F7B">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32DC74B0" w:rsidR="00050F7B" w:rsidRPr="009C6FD6" w:rsidRDefault="00265C49" w:rsidP="00050F7B">
            <w:pPr>
              <w:spacing w:line="240" w:lineRule="auto"/>
              <w:rPr>
                <w:rFonts w:ascii="Calibri" w:eastAsia="Calibri" w:hAnsi="Calibri" w:cs="Calibri"/>
                <w:color w:val="000000"/>
                <w:sz w:val="22"/>
                <w:szCs w:val="22"/>
                <w:lang w:val="en-GB"/>
              </w:rPr>
            </w:pPr>
            <w:r w:rsidRPr="00265C49">
              <w:rPr>
                <w:rFonts w:ascii="Calibri" w:eastAsia="Calibri" w:hAnsi="Calibri" w:cs="Calibri"/>
                <w:color w:val="000000"/>
                <w:sz w:val="22"/>
                <w:szCs w:val="22"/>
                <w:lang w:val="en-GB"/>
              </w:rPr>
              <w:t>Recruitment and treatment assignment were undertaken within the parent trial. Allocation concealment was maintained through central web-based randomisati</w:t>
            </w:r>
            <w:r w:rsidRPr="00265C49">
              <w:rPr>
                <w:rFonts w:ascii="Calibri" w:eastAsia="Calibri" w:hAnsi="Calibri" w:cs="Calibri"/>
                <w:color w:val="000000"/>
                <w:sz w:val="22"/>
                <w:szCs w:val="22"/>
                <w:lang w:val="en-GB"/>
              </w:rPr>
              <w:lastRenderedPageBreak/>
              <w:t>on using Castor EDC, as described in the parent trial report and statistical analysis plan. No new recruitment or randomisation was performed for this secondary analysis.</w:t>
            </w:r>
          </w:p>
        </w:tc>
      </w:tr>
      <w:tr w:rsidR="00050F7B" w:rsidRPr="00050F7B" w14:paraId="14AA8C84" w14:textId="0364F565" w:rsidTr="00BC3998">
        <w:trPr>
          <w:trHeight w:val="251"/>
        </w:trPr>
        <w:tc>
          <w:tcPr>
            <w:tcW w:w="2547" w:type="dxa"/>
            <w:vMerge w:val="restart"/>
          </w:tcPr>
          <w:p w14:paraId="60350122"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Blinding</w:t>
            </w:r>
          </w:p>
        </w:tc>
        <w:tc>
          <w:tcPr>
            <w:tcW w:w="992" w:type="dxa"/>
          </w:tcPr>
          <w:p w14:paraId="6C796451"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49E096A9" w:rsidR="00050F7B" w:rsidRPr="00050F7B" w:rsidRDefault="00050F7B" w:rsidP="00050F7B">
            <w:pPr>
              <w:spacing w:line="240" w:lineRule="auto"/>
              <w:rPr>
                <w:rFonts w:ascii="Calibri" w:eastAsia="Calibri" w:hAnsi="Calibri" w:cs="Calibri"/>
                <w:color w:val="000000"/>
                <w:sz w:val="22"/>
                <w:szCs w:val="22"/>
                <w:lang w:val="en-GB"/>
              </w:rPr>
            </w:pPr>
            <w:r w:rsidRPr="00050F7B">
              <w:rPr>
                <w:rFonts w:ascii="Calibri" w:hAnsi="Calibri" w:cs="Calibri"/>
                <w:sz w:val="22"/>
                <w:szCs w:val="22"/>
              </w:rPr>
              <w:t>Parent trial blinding: see Methods, Randomization [1]. This statement refers to the original trial participants and clinicians.</w:t>
            </w:r>
          </w:p>
        </w:tc>
      </w:tr>
      <w:tr w:rsidR="00050F7B" w:rsidRPr="009C6FD6" w14:paraId="19571F76" w14:textId="1258F279" w:rsidTr="00BC3998">
        <w:trPr>
          <w:trHeight w:val="274"/>
        </w:trPr>
        <w:tc>
          <w:tcPr>
            <w:tcW w:w="2547" w:type="dxa"/>
            <w:vMerge/>
          </w:tcPr>
          <w:p w14:paraId="6DDD68BC" w14:textId="77777777" w:rsidR="00050F7B" w:rsidRPr="009C6FD6" w:rsidRDefault="00050F7B" w:rsidP="00050F7B">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2655F22A" w:rsidR="00050F7B" w:rsidRPr="00050F7B" w:rsidRDefault="00050F7B" w:rsidP="00050F7B">
            <w:pPr>
              <w:spacing w:line="240" w:lineRule="auto"/>
              <w:rPr>
                <w:rFonts w:ascii="Calibri" w:eastAsia="Calibri" w:hAnsi="Calibri" w:cs="Calibri"/>
                <w:color w:val="000000"/>
                <w:sz w:val="22"/>
                <w:szCs w:val="22"/>
                <w:lang w:val="en-GB"/>
              </w:rPr>
            </w:pPr>
            <w:r w:rsidRPr="00050F7B">
              <w:rPr>
                <w:rFonts w:ascii="Calibri" w:hAnsi="Calibri" w:cs="Calibri"/>
                <w:sz w:val="22"/>
                <w:szCs w:val="22"/>
              </w:rPr>
              <w:t xml:space="preserve">Not applicable to blinding of participants and treating </w:t>
            </w:r>
            <w:r w:rsidRPr="00050F7B">
              <w:rPr>
                <w:rFonts w:ascii="Calibri" w:hAnsi="Calibri" w:cs="Calibri"/>
                <w:sz w:val="22"/>
                <w:szCs w:val="22"/>
              </w:rPr>
              <w:lastRenderedPageBreak/>
              <w:t xml:space="preserve">clinicians: the parent trial was </w:t>
            </w:r>
            <w:proofErr w:type="gramStart"/>
            <w:r w:rsidRPr="00050F7B">
              <w:rPr>
                <w:rFonts w:ascii="Calibri" w:hAnsi="Calibri" w:cs="Calibri"/>
                <w:sz w:val="22"/>
                <w:szCs w:val="22"/>
              </w:rPr>
              <w:t>open-label [1]</w:t>
            </w:r>
            <w:proofErr w:type="gramEnd"/>
            <w:r w:rsidRPr="00050F7B">
              <w:rPr>
                <w:rFonts w:ascii="Calibri" w:hAnsi="Calibri" w:cs="Calibri"/>
                <w:sz w:val="22"/>
                <w:szCs w:val="22"/>
              </w:rPr>
              <w:t>.</w:t>
            </w:r>
          </w:p>
        </w:tc>
      </w:tr>
      <w:tr w:rsidR="00050F7B" w:rsidRPr="009C6FD6" w14:paraId="039E9794" w14:textId="27F927CF" w:rsidTr="00BC3998">
        <w:trPr>
          <w:trHeight w:val="225"/>
        </w:trPr>
        <w:tc>
          <w:tcPr>
            <w:tcW w:w="2547" w:type="dxa"/>
            <w:vMerge w:val="restart"/>
          </w:tcPr>
          <w:p w14:paraId="3E5EB1A2"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Statistical methods</w:t>
            </w:r>
          </w:p>
        </w:tc>
        <w:tc>
          <w:tcPr>
            <w:tcW w:w="992" w:type="dxa"/>
          </w:tcPr>
          <w:p w14:paraId="51D15D6E"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68E0A54F" w:rsidR="00050F7B" w:rsidRPr="009C6FD6" w:rsidRDefault="00C77613" w:rsidP="00050F7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10,11</w:t>
            </w:r>
          </w:p>
        </w:tc>
      </w:tr>
      <w:tr w:rsidR="00050F7B" w:rsidRPr="009C6FD6" w14:paraId="06CA6CC2" w14:textId="6A3DF668" w:rsidTr="00BC3998">
        <w:trPr>
          <w:trHeight w:val="225"/>
        </w:trPr>
        <w:tc>
          <w:tcPr>
            <w:tcW w:w="2547" w:type="dxa"/>
            <w:vMerge/>
          </w:tcPr>
          <w:p w14:paraId="7629AC0E" w14:textId="77777777" w:rsidR="00050F7B" w:rsidRPr="009C6FD6" w:rsidRDefault="00050F7B" w:rsidP="00050F7B">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26259FBE" w:rsidR="00050F7B" w:rsidRPr="009C6FD6" w:rsidRDefault="002E1656" w:rsidP="00050F7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10,11</w:t>
            </w:r>
          </w:p>
        </w:tc>
      </w:tr>
      <w:tr w:rsidR="00050F7B" w:rsidRPr="009C6FD6" w14:paraId="35065EEA" w14:textId="6378B8ED" w:rsidTr="00BC3998">
        <w:trPr>
          <w:trHeight w:val="225"/>
        </w:trPr>
        <w:tc>
          <w:tcPr>
            <w:tcW w:w="2547" w:type="dxa"/>
            <w:vMerge/>
          </w:tcPr>
          <w:p w14:paraId="1EBB0B65" w14:textId="77777777" w:rsidR="00050F7B" w:rsidRPr="009C6FD6" w:rsidRDefault="00050F7B" w:rsidP="00050F7B">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0F64C09E" w:rsidR="00050F7B" w:rsidRPr="009C6FD6" w:rsidRDefault="00265C49" w:rsidP="00050F7B">
            <w:pPr>
              <w:spacing w:line="240" w:lineRule="auto"/>
              <w:rPr>
                <w:rFonts w:ascii="Calibri" w:eastAsia="Calibri" w:hAnsi="Calibri" w:cs="Calibri"/>
                <w:color w:val="000000"/>
                <w:sz w:val="22"/>
                <w:szCs w:val="22"/>
                <w:lang w:val="en-GB"/>
              </w:rPr>
            </w:pPr>
            <w:r w:rsidRPr="00265C49">
              <w:rPr>
                <w:rFonts w:ascii="Calibri" w:eastAsia="Calibri" w:hAnsi="Calibri" w:cs="Calibri"/>
                <w:color w:val="000000"/>
                <w:sz w:val="22"/>
                <w:szCs w:val="22"/>
                <w:lang w:val="en-GB"/>
              </w:rPr>
              <w:t>The parent trial’s prespecified approach to missing outcome data is described in its published statistical analysis plan, which planned imputation by chained equations if missing outcome data occurred.</w:t>
            </w:r>
            <w:r>
              <w:rPr>
                <w:rFonts w:ascii="Calibri" w:eastAsia="Calibri" w:hAnsi="Calibri" w:cs="Calibri"/>
                <w:color w:val="000000"/>
                <w:sz w:val="22"/>
                <w:szCs w:val="22"/>
                <w:lang w:val="en-GB"/>
              </w:rPr>
              <w:t xml:space="preserve"> </w:t>
            </w:r>
            <w:r w:rsidRPr="00265C49">
              <w:rPr>
                <w:rFonts w:ascii="Calibri" w:eastAsia="Calibri" w:hAnsi="Calibri" w:cs="Calibri"/>
                <w:color w:val="000000"/>
                <w:sz w:val="22"/>
                <w:szCs w:val="22"/>
                <w:lang w:val="en-GB"/>
              </w:rPr>
              <w:t xml:space="preserve">No additional imputation was performed for this </w:t>
            </w:r>
            <w:r w:rsidRPr="00265C49">
              <w:rPr>
                <w:rFonts w:ascii="Calibri" w:eastAsia="Calibri" w:hAnsi="Calibri" w:cs="Calibri"/>
                <w:color w:val="000000"/>
                <w:sz w:val="22"/>
                <w:szCs w:val="22"/>
                <w:lang w:val="en-GB"/>
              </w:rPr>
              <w:lastRenderedPageBreak/>
              <w:t>secondary analysis.</w:t>
            </w:r>
          </w:p>
        </w:tc>
      </w:tr>
      <w:tr w:rsidR="00050F7B" w:rsidRPr="009C6FD6" w14:paraId="1498BEBC" w14:textId="2FFF5282" w:rsidTr="00BC3998">
        <w:trPr>
          <w:trHeight w:val="257"/>
        </w:trPr>
        <w:tc>
          <w:tcPr>
            <w:tcW w:w="2547" w:type="dxa"/>
            <w:vMerge/>
          </w:tcPr>
          <w:p w14:paraId="50741365" w14:textId="77777777" w:rsidR="00050F7B" w:rsidRPr="009C6FD6" w:rsidRDefault="00050F7B" w:rsidP="00050F7B">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118672C2" w:rsidR="00050F7B" w:rsidRPr="009C6FD6" w:rsidRDefault="002E1656" w:rsidP="00050F7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9</w:t>
            </w:r>
          </w:p>
        </w:tc>
      </w:tr>
      <w:tr w:rsidR="00050F7B" w:rsidRPr="009C6FD6" w14:paraId="3F41CCB8" w14:textId="1F7EE013" w:rsidTr="00BC3998">
        <w:trPr>
          <w:trHeight w:val="276"/>
        </w:trPr>
        <w:tc>
          <w:tcPr>
            <w:tcW w:w="12895" w:type="dxa"/>
            <w:gridSpan w:val="3"/>
            <w:shd w:val="clear" w:color="auto" w:fill="BDD7EE"/>
            <w:vAlign w:val="bottom"/>
          </w:tcPr>
          <w:p w14:paraId="42D9F967" w14:textId="77777777" w:rsidR="00050F7B" w:rsidRPr="009C6FD6" w:rsidRDefault="00050F7B" w:rsidP="00050F7B">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050F7B" w:rsidRPr="009C6FD6" w:rsidRDefault="00050F7B" w:rsidP="00050F7B">
            <w:pPr>
              <w:spacing w:line="240" w:lineRule="auto"/>
              <w:rPr>
                <w:rFonts w:ascii="Calibri" w:eastAsia="Calibri" w:hAnsi="Calibri" w:cs="Calibri"/>
                <w:b/>
                <w:color w:val="000000"/>
                <w:sz w:val="22"/>
                <w:szCs w:val="22"/>
                <w:lang w:val="en-GB"/>
              </w:rPr>
            </w:pPr>
          </w:p>
        </w:tc>
      </w:tr>
      <w:tr w:rsidR="00050F7B" w:rsidRPr="009C6FD6" w14:paraId="510F8ECC" w14:textId="46810026" w:rsidTr="00BC3998">
        <w:trPr>
          <w:trHeight w:val="409"/>
        </w:trPr>
        <w:tc>
          <w:tcPr>
            <w:tcW w:w="2547" w:type="dxa"/>
            <w:vMerge w:val="restart"/>
          </w:tcPr>
          <w:p w14:paraId="5A5782B0"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4992D4F6" w:rsidR="00050F7B" w:rsidRPr="00050F7B" w:rsidRDefault="00050F7B" w:rsidP="00050F7B">
            <w:pPr>
              <w:spacing w:line="240" w:lineRule="auto"/>
              <w:rPr>
                <w:rFonts w:ascii="Calibri" w:eastAsia="Calibri" w:hAnsi="Calibri" w:cs="Calibri"/>
                <w:color w:val="000000"/>
                <w:sz w:val="22"/>
                <w:szCs w:val="22"/>
                <w:lang w:val="en-GB"/>
              </w:rPr>
            </w:pPr>
            <w:r w:rsidRPr="00050F7B">
              <w:rPr>
                <w:rFonts w:ascii="Calibri" w:hAnsi="Calibri" w:cs="Calibri"/>
                <w:sz w:val="22"/>
                <w:szCs w:val="22"/>
              </w:rPr>
              <w:t>Original recruitment, allocation, and post-randomization exclusions: see Figure 1 and Results, Patient Characteristics, in the parent trial report [1].</w:t>
            </w:r>
          </w:p>
        </w:tc>
      </w:tr>
      <w:tr w:rsidR="00050F7B" w:rsidRPr="009C6FD6" w14:paraId="2FE65AFD" w14:textId="4A45C52E" w:rsidTr="00BC3998">
        <w:trPr>
          <w:trHeight w:val="189"/>
        </w:trPr>
        <w:tc>
          <w:tcPr>
            <w:tcW w:w="2547" w:type="dxa"/>
            <w:vMerge/>
          </w:tcPr>
          <w:p w14:paraId="5CE6010C" w14:textId="77777777" w:rsidR="00050F7B" w:rsidRPr="009C6FD6" w:rsidRDefault="00050F7B" w:rsidP="00050F7B">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3DFB1E5C" w:rsidR="00050F7B" w:rsidRPr="00050F7B" w:rsidRDefault="00050F7B" w:rsidP="00050F7B">
            <w:pPr>
              <w:spacing w:line="240" w:lineRule="auto"/>
              <w:rPr>
                <w:rFonts w:ascii="Calibri" w:eastAsia="Calibri" w:hAnsi="Calibri" w:cs="Calibri"/>
                <w:color w:val="000000"/>
                <w:sz w:val="22"/>
                <w:szCs w:val="22"/>
                <w:lang w:val="en-GB"/>
              </w:rPr>
            </w:pPr>
            <w:r w:rsidRPr="00050F7B">
              <w:rPr>
                <w:rFonts w:ascii="Calibri" w:hAnsi="Calibri" w:cs="Calibri"/>
                <w:sz w:val="22"/>
                <w:szCs w:val="22"/>
              </w:rPr>
              <w:t>Original recruitment, allocation, and post-randomization exclusions: see Figure 1 and Results, Patient Characteristics, in the parent trial report [1].</w:t>
            </w:r>
          </w:p>
        </w:tc>
      </w:tr>
      <w:tr w:rsidR="00050F7B" w:rsidRPr="009C6FD6" w14:paraId="59CD0FA1" w14:textId="30780657" w:rsidTr="00BC3998">
        <w:trPr>
          <w:trHeight w:val="221"/>
        </w:trPr>
        <w:tc>
          <w:tcPr>
            <w:tcW w:w="2547" w:type="dxa"/>
            <w:vMerge w:val="restart"/>
          </w:tcPr>
          <w:p w14:paraId="333D7287"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Recruitment</w:t>
            </w:r>
          </w:p>
        </w:tc>
        <w:tc>
          <w:tcPr>
            <w:tcW w:w="992" w:type="dxa"/>
          </w:tcPr>
          <w:p w14:paraId="575F7DFB"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66834841" w:rsidR="00050F7B" w:rsidRPr="00050F7B" w:rsidRDefault="00050F7B" w:rsidP="00050F7B">
            <w:pPr>
              <w:spacing w:line="240" w:lineRule="auto"/>
              <w:rPr>
                <w:rFonts w:ascii="Calibri" w:eastAsia="Calibri" w:hAnsi="Calibri" w:cs="Calibri"/>
                <w:color w:val="000000"/>
                <w:sz w:val="22"/>
                <w:szCs w:val="22"/>
                <w:lang w:val="en-GB"/>
              </w:rPr>
            </w:pPr>
            <w:r w:rsidRPr="00050F7B">
              <w:rPr>
                <w:rFonts w:ascii="Calibri" w:hAnsi="Calibri" w:cs="Calibri"/>
                <w:sz w:val="22"/>
                <w:szCs w:val="22"/>
              </w:rPr>
              <w:t>Recruitment and follow-up dates refer to the parent trial; see Methods, Trial Design, Setting, and Oversight [1]. No additional recruitment occurred for this secondary analysis.</w:t>
            </w:r>
          </w:p>
        </w:tc>
      </w:tr>
      <w:tr w:rsidR="00050F7B" w:rsidRPr="009C6FD6" w14:paraId="09AF0A77" w14:textId="6EA02291" w:rsidTr="00BC3998">
        <w:trPr>
          <w:trHeight w:val="276"/>
        </w:trPr>
        <w:tc>
          <w:tcPr>
            <w:tcW w:w="2547" w:type="dxa"/>
            <w:vMerge/>
          </w:tcPr>
          <w:p w14:paraId="2ADD8395" w14:textId="77777777" w:rsidR="00050F7B" w:rsidRPr="009C6FD6" w:rsidRDefault="00050F7B" w:rsidP="00050F7B">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77777777" w:rsidR="00050F7B" w:rsidRPr="009C6FD6" w:rsidRDefault="00050F7B" w:rsidP="00050F7B">
            <w:pPr>
              <w:spacing w:line="240" w:lineRule="auto"/>
              <w:rPr>
                <w:rFonts w:ascii="Calibri" w:eastAsia="Calibri" w:hAnsi="Calibri" w:cs="Calibri"/>
                <w:color w:val="000000"/>
                <w:sz w:val="22"/>
                <w:szCs w:val="22"/>
                <w:lang w:val="en-GB"/>
              </w:rPr>
            </w:pPr>
          </w:p>
        </w:tc>
      </w:tr>
      <w:tr w:rsidR="00050F7B" w:rsidRPr="009C6FD6" w14:paraId="6606AF75" w14:textId="11598C32" w:rsidTr="00BC3998">
        <w:trPr>
          <w:trHeight w:val="441"/>
        </w:trPr>
        <w:tc>
          <w:tcPr>
            <w:tcW w:w="2547" w:type="dxa"/>
            <w:vMerge w:val="restart"/>
          </w:tcPr>
          <w:p w14:paraId="1B3138DF" w14:textId="6EF71583"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Intervention and comparator as they were </w:t>
            </w:r>
            <w:proofErr w:type="gramStart"/>
            <w:r w:rsidRPr="009C6FD6">
              <w:rPr>
                <w:rFonts w:ascii="Calibri" w:eastAsia="Calibri" w:hAnsi="Calibri" w:cs="Calibri"/>
                <w:color w:val="000000"/>
                <w:sz w:val="22"/>
                <w:szCs w:val="22"/>
                <w:lang w:val="en-GB"/>
              </w:rPr>
              <w:t>actually administered</w:t>
            </w:r>
            <w:proofErr w:type="gramEnd"/>
            <w:r w:rsidRPr="009C6FD6">
              <w:rPr>
                <w:rFonts w:ascii="Calibri" w:eastAsia="Calibri" w:hAnsi="Calibri" w:cs="Calibri"/>
                <w:color w:val="000000"/>
                <w:sz w:val="22"/>
                <w:szCs w:val="22"/>
                <w:lang w:val="en-GB"/>
              </w:rPr>
              <w:t xml:space="preserve">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3161D0BB" w:rsidR="00050F7B" w:rsidRPr="00050F7B" w:rsidRDefault="00050F7B" w:rsidP="00050F7B">
            <w:pPr>
              <w:spacing w:line="240" w:lineRule="auto"/>
              <w:rPr>
                <w:rFonts w:ascii="Calibri" w:eastAsia="Calibri" w:hAnsi="Calibri" w:cs="Calibri"/>
                <w:color w:val="000000"/>
                <w:sz w:val="22"/>
                <w:szCs w:val="22"/>
                <w:lang w:val="en-GB"/>
              </w:rPr>
            </w:pPr>
            <w:r w:rsidRPr="00050F7B">
              <w:rPr>
                <w:rFonts w:ascii="Calibri" w:hAnsi="Calibri" w:cs="Calibri"/>
                <w:sz w:val="22"/>
                <w:szCs w:val="22"/>
              </w:rPr>
              <w:t xml:space="preserve">Parent trial intervention delivery and protocol adherence: see Methods, Protocol Training and Adherence, and Supplement 2, </w:t>
            </w:r>
            <w:proofErr w:type="spellStart"/>
            <w:r w:rsidRPr="00050F7B">
              <w:rPr>
                <w:rFonts w:ascii="Calibri" w:hAnsi="Calibri" w:cs="Calibri"/>
                <w:sz w:val="22"/>
                <w:szCs w:val="22"/>
              </w:rPr>
              <w:t>eTable</w:t>
            </w:r>
            <w:proofErr w:type="spellEnd"/>
            <w:r w:rsidRPr="00050F7B">
              <w:rPr>
                <w:rFonts w:ascii="Calibri" w:hAnsi="Calibri" w:cs="Calibri"/>
                <w:sz w:val="22"/>
                <w:szCs w:val="22"/>
              </w:rPr>
              <w:t xml:space="preserve"> 7 [1].</w:t>
            </w:r>
          </w:p>
        </w:tc>
      </w:tr>
      <w:tr w:rsidR="00050F7B" w:rsidRPr="009C6FD6" w14:paraId="033933B9" w14:textId="20F8F7EA" w:rsidTr="00BC3998">
        <w:trPr>
          <w:trHeight w:val="243"/>
        </w:trPr>
        <w:tc>
          <w:tcPr>
            <w:tcW w:w="2547" w:type="dxa"/>
            <w:vMerge/>
          </w:tcPr>
          <w:p w14:paraId="29860036" w14:textId="77777777" w:rsidR="00050F7B" w:rsidRPr="009C6FD6" w:rsidRDefault="00050F7B" w:rsidP="00050F7B">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64BF3615" w:rsidR="00050F7B" w:rsidRPr="00050F7B" w:rsidRDefault="00050F7B" w:rsidP="00050F7B">
            <w:pPr>
              <w:spacing w:line="240" w:lineRule="auto"/>
              <w:rPr>
                <w:rFonts w:ascii="Calibri" w:eastAsia="Calibri" w:hAnsi="Calibri" w:cs="Calibri"/>
                <w:color w:val="000000"/>
                <w:sz w:val="22"/>
                <w:szCs w:val="22"/>
                <w:lang w:val="en-GB"/>
              </w:rPr>
            </w:pPr>
            <w:r w:rsidRPr="00050F7B">
              <w:rPr>
                <w:rFonts w:ascii="Calibri" w:hAnsi="Calibri" w:cs="Calibri"/>
                <w:sz w:val="22"/>
                <w:szCs w:val="22"/>
              </w:rPr>
              <w:t xml:space="preserve">Care delivered during the parent trial: see Table 2 and Supplement 2, </w:t>
            </w:r>
            <w:proofErr w:type="spellStart"/>
            <w:r w:rsidRPr="00050F7B">
              <w:rPr>
                <w:rFonts w:ascii="Calibri" w:hAnsi="Calibri" w:cs="Calibri"/>
                <w:sz w:val="22"/>
                <w:szCs w:val="22"/>
              </w:rPr>
              <w:t>eTables</w:t>
            </w:r>
            <w:proofErr w:type="spellEnd"/>
            <w:r w:rsidRPr="00050F7B">
              <w:rPr>
                <w:rFonts w:ascii="Calibri" w:hAnsi="Calibri" w:cs="Calibri"/>
                <w:sz w:val="22"/>
                <w:szCs w:val="22"/>
              </w:rPr>
              <w:t xml:space="preserve"> 15 and 16 [1].</w:t>
            </w:r>
          </w:p>
        </w:tc>
      </w:tr>
      <w:tr w:rsidR="00050F7B" w:rsidRPr="009C6FD6" w14:paraId="63F6DFC5" w14:textId="1190F9BE" w:rsidTr="00BC3998">
        <w:trPr>
          <w:trHeight w:val="243"/>
        </w:trPr>
        <w:tc>
          <w:tcPr>
            <w:tcW w:w="2547" w:type="dxa"/>
          </w:tcPr>
          <w:p w14:paraId="4482000C"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5502F39D" w:rsidR="00050F7B" w:rsidRPr="009C6FD6" w:rsidRDefault="002E1656" w:rsidP="00050F7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24</w:t>
            </w:r>
          </w:p>
        </w:tc>
      </w:tr>
      <w:tr w:rsidR="00050F7B" w:rsidRPr="009C6FD6" w14:paraId="7EA4CB43" w14:textId="300BD440" w:rsidTr="00BC3998">
        <w:trPr>
          <w:trHeight w:val="416"/>
        </w:trPr>
        <w:tc>
          <w:tcPr>
            <w:tcW w:w="2547" w:type="dxa"/>
          </w:tcPr>
          <w:p w14:paraId="10F375E4"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050F7B" w:rsidRPr="009C6FD6" w:rsidRDefault="00050F7B" w:rsidP="00050F7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050F7B" w:rsidRPr="009C6FD6" w:rsidRDefault="00050F7B" w:rsidP="00050F7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050F7B" w:rsidRPr="009C6FD6" w:rsidRDefault="00050F7B" w:rsidP="00050F7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050F7B" w:rsidRPr="009C6FD6" w:rsidRDefault="00050F7B" w:rsidP="00050F7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757FD171" w:rsidR="00050F7B" w:rsidRPr="009C6FD6" w:rsidRDefault="00C77613" w:rsidP="00050F7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11,12</w:t>
            </w:r>
          </w:p>
        </w:tc>
      </w:tr>
      <w:tr w:rsidR="00050F7B" w:rsidRPr="009C6FD6" w14:paraId="313A3717" w14:textId="655B1818" w:rsidTr="00BC3998">
        <w:trPr>
          <w:trHeight w:val="204"/>
        </w:trPr>
        <w:tc>
          <w:tcPr>
            <w:tcW w:w="2547" w:type="dxa"/>
          </w:tcPr>
          <w:p w14:paraId="1316CD24"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0BF050CF" w:rsidR="00050F7B" w:rsidRPr="00050F7B" w:rsidRDefault="00050F7B" w:rsidP="00050F7B">
            <w:pPr>
              <w:spacing w:line="240" w:lineRule="auto"/>
              <w:rPr>
                <w:rFonts w:ascii="Calibri" w:eastAsia="Calibri" w:hAnsi="Calibri" w:cs="Calibri"/>
                <w:color w:val="000000"/>
                <w:sz w:val="22"/>
                <w:szCs w:val="22"/>
                <w:lang w:val="en-GB"/>
              </w:rPr>
            </w:pPr>
            <w:r w:rsidRPr="00050F7B">
              <w:rPr>
                <w:rFonts w:ascii="Calibri" w:hAnsi="Calibri" w:cs="Calibri"/>
                <w:sz w:val="22"/>
                <w:szCs w:val="22"/>
              </w:rPr>
              <w:t>Parent trial safety results: see Results, Protocol Interventions and Outcomes [1]. These are the original trial safety findings, not a new safety analysis.</w:t>
            </w:r>
          </w:p>
        </w:tc>
      </w:tr>
      <w:tr w:rsidR="00050F7B" w:rsidRPr="009C6FD6" w14:paraId="16C77604" w14:textId="1EA17D7C" w:rsidTr="00BC3998">
        <w:trPr>
          <w:trHeight w:val="416"/>
        </w:trPr>
        <w:tc>
          <w:tcPr>
            <w:tcW w:w="2547" w:type="dxa"/>
          </w:tcPr>
          <w:p w14:paraId="216037D6"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Ancillary analyses</w:t>
            </w:r>
          </w:p>
        </w:tc>
        <w:tc>
          <w:tcPr>
            <w:tcW w:w="992" w:type="dxa"/>
          </w:tcPr>
          <w:p w14:paraId="034AD55A"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40914D2F" w:rsidR="00050F7B" w:rsidRPr="009C6FD6" w:rsidRDefault="00C77613" w:rsidP="00050F7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12,13</w:t>
            </w:r>
          </w:p>
        </w:tc>
      </w:tr>
      <w:tr w:rsidR="00050F7B" w:rsidRPr="009C6FD6" w14:paraId="17517AC6" w14:textId="26728EA0" w:rsidTr="00BC3998">
        <w:trPr>
          <w:trHeight w:val="276"/>
        </w:trPr>
        <w:tc>
          <w:tcPr>
            <w:tcW w:w="12895" w:type="dxa"/>
            <w:gridSpan w:val="3"/>
            <w:shd w:val="clear" w:color="auto" w:fill="BDD7EE"/>
          </w:tcPr>
          <w:p w14:paraId="7D072CE0" w14:textId="77777777" w:rsidR="00050F7B" w:rsidRPr="009C6FD6" w:rsidRDefault="00050F7B" w:rsidP="00050F7B">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050F7B" w:rsidRPr="009C6FD6" w:rsidRDefault="00050F7B" w:rsidP="00050F7B">
            <w:pPr>
              <w:spacing w:line="240" w:lineRule="auto"/>
              <w:rPr>
                <w:rFonts w:ascii="Calibri" w:eastAsia="Calibri" w:hAnsi="Calibri" w:cs="Calibri"/>
                <w:b/>
                <w:color w:val="000000"/>
                <w:sz w:val="22"/>
                <w:szCs w:val="22"/>
                <w:lang w:val="en-GB"/>
              </w:rPr>
            </w:pPr>
          </w:p>
        </w:tc>
      </w:tr>
      <w:tr w:rsidR="00050F7B" w:rsidRPr="009C6FD6" w14:paraId="56AC46E8" w14:textId="20AF5CCE" w:rsidTr="00BC3998">
        <w:trPr>
          <w:trHeight w:val="281"/>
        </w:trPr>
        <w:tc>
          <w:tcPr>
            <w:tcW w:w="2547" w:type="dxa"/>
          </w:tcPr>
          <w:p w14:paraId="2BDFB8E6"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09A7A651" w:rsidR="00050F7B" w:rsidRPr="009C6FD6" w:rsidRDefault="00C77613" w:rsidP="00050F7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14,15,16</w:t>
            </w:r>
          </w:p>
        </w:tc>
      </w:tr>
      <w:tr w:rsidR="00050F7B" w:rsidRPr="009C6FD6" w14:paraId="29285F40" w14:textId="396FEF7D" w:rsidTr="00BC3998">
        <w:trPr>
          <w:trHeight w:val="281"/>
        </w:trPr>
        <w:tc>
          <w:tcPr>
            <w:tcW w:w="2547" w:type="dxa"/>
          </w:tcPr>
          <w:p w14:paraId="2A291D81"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050F7B" w:rsidRPr="009C6FD6" w:rsidRDefault="00050F7B" w:rsidP="00050F7B">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050F7B" w:rsidRPr="009C6FD6" w:rsidRDefault="00050F7B" w:rsidP="00050F7B">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54428312" w:rsidR="00050F7B" w:rsidRPr="009C6FD6" w:rsidRDefault="00C77613" w:rsidP="00050F7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 17</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p w14:paraId="5D53AE32" w14:textId="77777777" w:rsidR="004A4A79" w:rsidRDefault="004A4A79" w:rsidP="00B36D6D">
      <w:pPr>
        <w:pStyle w:val="TableNote"/>
        <w:tabs>
          <w:tab w:val="left" w:pos="4830"/>
        </w:tabs>
        <w:spacing w:line="240" w:lineRule="auto"/>
        <w:rPr>
          <w:rFonts w:ascii="Calibri" w:hAnsi="Calibri" w:cs="Calibri"/>
          <w:sz w:val="20"/>
        </w:rPr>
      </w:pPr>
    </w:p>
    <w:p w14:paraId="63FB7EFD" w14:textId="61DCD428" w:rsidR="004A4A79" w:rsidRPr="004A4A79" w:rsidRDefault="004A4A79" w:rsidP="004A4A79">
      <w:pPr>
        <w:pStyle w:val="Heading1"/>
        <w:spacing w:after="0" w:line="360" w:lineRule="auto"/>
        <w:jc w:val="both"/>
      </w:pPr>
      <w:r w:rsidRPr="004A4A79">
        <w:t>Referenc</w:t>
      </w:r>
      <w:r w:rsidRPr="004A4A79">
        <w:t>es</w:t>
      </w:r>
    </w:p>
    <w:p w14:paraId="42438E65" w14:textId="77777777" w:rsidR="004A4A79" w:rsidRPr="004A4A79" w:rsidRDefault="004A4A79" w:rsidP="004A4A79">
      <w:pPr>
        <w:spacing w:line="360" w:lineRule="auto"/>
        <w:jc w:val="both"/>
        <w:rPr>
          <w:rFonts w:ascii="Calibri" w:hAnsi="Calibri" w:cs="Calibri"/>
          <w:sz w:val="22"/>
          <w:szCs w:val="22"/>
        </w:rPr>
      </w:pPr>
      <w:r w:rsidRPr="004A4A79">
        <w:rPr>
          <w:rFonts w:ascii="Calibri" w:hAnsi="Calibri" w:cs="Calibri"/>
          <w:sz w:val="22"/>
          <w:szCs w:val="22"/>
        </w:rPr>
        <w:t xml:space="preserve">[1] ANDROMEDA-SHOCK-2 Investigators. Personalized Hemodynamic Resuscitation Targeting Capillary Refill Time in Early Septic Shock: The ANDROMEDA-SHOCK-2 Randomized Clinical Trial. JAMA. </w:t>
      </w:r>
      <w:proofErr w:type="gramStart"/>
      <w:r w:rsidRPr="004A4A79">
        <w:rPr>
          <w:rFonts w:ascii="Calibri" w:hAnsi="Calibri" w:cs="Calibri"/>
          <w:sz w:val="22"/>
          <w:szCs w:val="22"/>
        </w:rPr>
        <w:t>2025;334:1988</w:t>
      </w:r>
      <w:proofErr w:type="gramEnd"/>
      <w:r w:rsidRPr="004A4A79">
        <w:rPr>
          <w:rFonts w:ascii="Calibri" w:hAnsi="Calibri" w:cs="Calibri"/>
          <w:sz w:val="22"/>
          <w:szCs w:val="22"/>
        </w:rPr>
        <w:t>–1999. doi:10.1001/jama.2025.20402. https://jamanetwork.com/journals/jama/fullarticle/2840823</w:t>
      </w:r>
    </w:p>
    <w:p w14:paraId="34BA9468" w14:textId="77777777" w:rsidR="004A4A79" w:rsidRPr="004A4A79" w:rsidRDefault="004A4A79" w:rsidP="004A4A79">
      <w:pPr>
        <w:spacing w:line="360" w:lineRule="auto"/>
        <w:jc w:val="both"/>
        <w:rPr>
          <w:rFonts w:ascii="Calibri" w:hAnsi="Calibri" w:cs="Calibri"/>
          <w:sz w:val="22"/>
          <w:szCs w:val="22"/>
        </w:rPr>
      </w:pPr>
      <w:r w:rsidRPr="004A4A79">
        <w:rPr>
          <w:rFonts w:ascii="Calibri" w:hAnsi="Calibri" w:cs="Calibri"/>
          <w:sz w:val="22"/>
          <w:szCs w:val="22"/>
        </w:rPr>
        <w:t xml:space="preserve">[2] Kattan E, et al. Hemodynamic phenotype-based, capillary refill time-targeted resuscitation in early septic shock: The ANDROMEDA-SHOCK-2 Randomized Clinical Trial study protocol. Rev Bras Ter </w:t>
      </w:r>
      <w:proofErr w:type="spellStart"/>
      <w:r w:rsidRPr="004A4A79">
        <w:rPr>
          <w:rFonts w:ascii="Calibri" w:hAnsi="Calibri" w:cs="Calibri"/>
          <w:sz w:val="22"/>
          <w:szCs w:val="22"/>
        </w:rPr>
        <w:t>Intensiva</w:t>
      </w:r>
      <w:proofErr w:type="spellEnd"/>
      <w:r w:rsidRPr="004A4A79">
        <w:rPr>
          <w:rFonts w:ascii="Calibri" w:hAnsi="Calibri" w:cs="Calibri"/>
          <w:sz w:val="22"/>
          <w:szCs w:val="22"/>
        </w:rPr>
        <w:t xml:space="preserve">. </w:t>
      </w:r>
      <w:proofErr w:type="gramStart"/>
      <w:r w:rsidRPr="004A4A79">
        <w:rPr>
          <w:rFonts w:ascii="Calibri" w:hAnsi="Calibri" w:cs="Calibri"/>
          <w:sz w:val="22"/>
          <w:szCs w:val="22"/>
        </w:rPr>
        <w:t>2022;34:96</w:t>
      </w:r>
      <w:proofErr w:type="gramEnd"/>
      <w:r w:rsidRPr="004A4A79">
        <w:rPr>
          <w:rFonts w:ascii="Calibri" w:hAnsi="Calibri" w:cs="Calibri"/>
          <w:sz w:val="22"/>
          <w:szCs w:val="22"/>
        </w:rPr>
        <w:t>–106. doi:10.5935/0103-507X.20220004-en. https://pmc.ncbi.nlm.nih.gov/articles/PMC9345585/</w:t>
      </w:r>
    </w:p>
    <w:p w14:paraId="74DC19D8" w14:textId="77777777" w:rsidR="004A4A79" w:rsidRPr="004A4A79" w:rsidRDefault="004A4A79" w:rsidP="004A4A79">
      <w:pPr>
        <w:spacing w:line="360" w:lineRule="auto"/>
        <w:jc w:val="both"/>
        <w:rPr>
          <w:rFonts w:ascii="Calibri" w:hAnsi="Calibri" w:cs="Calibri"/>
          <w:sz w:val="22"/>
          <w:szCs w:val="22"/>
        </w:rPr>
      </w:pPr>
      <w:r w:rsidRPr="004A4A79">
        <w:rPr>
          <w:rFonts w:ascii="Calibri" w:hAnsi="Calibri" w:cs="Calibri"/>
          <w:sz w:val="22"/>
          <w:szCs w:val="22"/>
        </w:rPr>
        <w:t>[3] Orozco N, et al. Statistical analysis plan for hemodynamic phenotype-based, capillary refill time-targeted resuscitation in early septic shock: the ANDROMEDA-SHOCK-2 randomized clinical trial. Crit Care Sci. 2025;</w:t>
      </w:r>
      <w:proofErr w:type="gramStart"/>
      <w:r w:rsidRPr="004A4A79">
        <w:rPr>
          <w:rFonts w:ascii="Calibri" w:hAnsi="Calibri" w:cs="Calibri"/>
          <w:sz w:val="22"/>
          <w:szCs w:val="22"/>
        </w:rPr>
        <w:t>37:e</w:t>
      </w:r>
      <w:proofErr w:type="gramEnd"/>
      <w:r w:rsidRPr="004A4A79">
        <w:rPr>
          <w:rFonts w:ascii="Calibri" w:hAnsi="Calibri" w:cs="Calibri"/>
          <w:sz w:val="22"/>
          <w:szCs w:val="22"/>
        </w:rPr>
        <w:t>20250140. doi:10.62675/2965-2774.20250140. https://pmc.ncbi.nlm.nih.gov/articles/PMC11805453/</w:t>
      </w:r>
    </w:p>
    <w:p w14:paraId="58FAB365" w14:textId="77777777" w:rsidR="004A4A79" w:rsidRPr="00B36D6D" w:rsidRDefault="004A4A79" w:rsidP="00B36D6D">
      <w:pPr>
        <w:pStyle w:val="TableNote"/>
        <w:tabs>
          <w:tab w:val="left" w:pos="4830"/>
        </w:tabs>
        <w:spacing w:line="240" w:lineRule="auto"/>
        <w:rPr>
          <w:rFonts w:ascii="Calibri" w:hAnsi="Calibri" w:cs="Calibri"/>
          <w:sz w:val="20"/>
        </w:rPr>
      </w:pPr>
    </w:p>
    <w:sectPr w:rsidR="004A4A79"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57AAE6" w14:textId="77777777" w:rsidR="00A758CB" w:rsidRDefault="00A758CB" w:rsidP="00B70CED">
      <w:pPr>
        <w:spacing w:line="240" w:lineRule="auto"/>
      </w:pPr>
      <w:r>
        <w:separator/>
      </w:r>
    </w:p>
  </w:endnote>
  <w:endnote w:type="continuationSeparator" w:id="0">
    <w:p w14:paraId="167E1453" w14:textId="77777777" w:rsidR="00A758CB" w:rsidRDefault="00A758CB"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779A9C" w14:textId="77777777" w:rsidR="00A758CB" w:rsidRDefault="00A758CB" w:rsidP="00B70CED">
      <w:pPr>
        <w:spacing w:line="240" w:lineRule="auto"/>
      </w:pPr>
      <w:r>
        <w:separator/>
      </w:r>
    </w:p>
  </w:footnote>
  <w:footnote w:type="continuationSeparator" w:id="0">
    <w:p w14:paraId="7051C859" w14:textId="77777777" w:rsidR="00A758CB" w:rsidRDefault="00A758CB"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0F7B"/>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5C49"/>
    <w:rsid w:val="00266404"/>
    <w:rsid w:val="002667FC"/>
    <w:rsid w:val="002765EE"/>
    <w:rsid w:val="0028555C"/>
    <w:rsid w:val="00287E07"/>
    <w:rsid w:val="00293348"/>
    <w:rsid w:val="002A082E"/>
    <w:rsid w:val="002A133F"/>
    <w:rsid w:val="002B02D2"/>
    <w:rsid w:val="002B4C02"/>
    <w:rsid w:val="002B613D"/>
    <w:rsid w:val="002E1656"/>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A4A79"/>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98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0D73"/>
    <w:rsid w:val="006942F5"/>
    <w:rsid w:val="00696760"/>
    <w:rsid w:val="00696CFF"/>
    <w:rsid w:val="006A1C20"/>
    <w:rsid w:val="006A61B0"/>
    <w:rsid w:val="006B1F99"/>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5EE2"/>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758CB"/>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77613"/>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rsid w:val="00BF3C2F"/>
    <w:rPr>
      <w:color w:val="CC0000"/>
      <w:u w:val="single"/>
    </w:rPr>
  </w:style>
  <w:style w:type="paragraph" w:styleId="CommentSubject">
    <w:name w:val="annotation subject"/>
    <w:basedOn w:val="CommentText"/>
    <w:next w:val="CommentText"/>
    <w:link w:val="CommentSubjectChar"/>
    <w:uiPriority w:val="99"/>
    <w:semiHidden/>
    <w:unhideWhenUsed/>
    <w:rsid w:val="00E279B6"/>
    <w:rPr>
      <w:b/>
      <w:bCs/>
    </w:rPr>
  </w:style>
  <w:style w:type="character" w:customStyle="1" w:styleId="CommentSubjectChar">
    <w:name w:val="Comment Subject Char"/>
    <w:basedOn w:val="CommentTextChar"/>
    <w:link w:val="CommentSubject"/>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DefaultParagraphFon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DefaultParagraphFont"/>
    <w:link w:val="EndNoteBibliography"/>
    <w:rsid w:val="00657676"/>
    <w:rPr>
      <w:noProof/>
      <w:lang w:val="en-GB"/>
    </w:rPr>
  </w:style>
  <w:style w:type="character" w:styleId="UnresolvedMention">
    <w:name w:val="Unresolved Mention"/>
    <w:basedOn w:val="DefaultParagraphFont"/>
    <w:uiPriority w:val="99"/>
    <w:semiHidden/>
    <w:unhideWhenUsed/>
    <w:rsid w:val="00657676"/>
    <w:rPr>
      <w:color w:val="605E5C"/>
      <w:shd w:val="clear" w:color="auto" w:fill="E1DFDD"/>
    </w:rPr>
  </w:style>
  <w:style w:type="character" w:customStyle="1" w:styleId="cf01">
    <w:name w:val="cf01"/>
    <w:basedOn w:val="DefaultParagraphFont"/>
    <w:rsid w:val="00C645F1"/>
    <w:rPr>
      <w:rFonts w:ascii="Segoe UI" w:hAnsi="Segoe UI" w:cs="Segoe UI" w:hint="default"/>
      <w:sz w:val="18"/>
      <w:szCs w:val="18"/>
    </w:rPr>
  </w:style>
  <w:style w:type="paragraph" w:styleId="BalloonText">
    <w:name w:val="Balloon Text"/>
    <w:basedOn w:val="Normal"/>
    <w:link w:val="BalloonTextChar"/>
    <w:uiPriority w:val="99"/>
    <w:semiHidden/>
    <w:unhideWhenUsed/>
    <w:rsid w:val="00F82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04E"/>
    <w:rPr>
      <w:rFonts w:ascii="Segoe UI" w:hAnsi="Segoe UI" w:cs="Segoe UI"/>
      <w:sz w:val="18"/>
      <w:szCs w:val="18"/>
    </w:rPr>
  </w:style>
  <w:style w:type="paragraph" w:styleId="ListParagraph">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Header">
    <w:name w:val="header"/>
    <w:basedOn w:val="Normal"/>
    <w:link w:val="HeaderChar"/>
    <w:uiPriority w:val="99"/>
    <w:unhideWhenUsed/>
    <w:rsid w:val="00B70CED"/>
    <w:pPr>
      <w:tabs>
        <w:tab w:val="center" w:pos="4513"/>
        <w:tab w:val="right" w:pos="9026"/>
      </w:tabs>
      <w:spacing w:line="240" w:lineRule="auto"/>
    </w:pPr>
  </w:style>
  <w:style w:type="character" w:customStyle="1" w:styleId="HeaderChar">
    <w:name w:val="Header Char"/>
    <w:basedOn w:val="DefaultParagraphFont"/>
    <w:link w:val="Header"/>
    <w:uiPriority w:val="99"/>
    <w:rsid w:val="00B70CED"/>
  </w:style>
  <w:style w:type="paragraph" w:styleId="Footer">
    <w:name w:val="footer"/>
    <w:basedOn w:val="Normal"/>
    <w:link w:val="FooterChar"/>
    <w:uiPriority w:val="99"/>
    <w:unhideWhenUsed/>
    <w:rsid w:val="00B70CED"/>
    <w:pPr>
      <w:tabs>
        <w:tab w:val="center" w:pos="4513"/>
        <w:tab w:val="right" w:pos="9026"/>
      </w:tabs>
      <w:spacing w:line="240" w:lineRule="auto"/>
    </w:pPr>
  </w:style>
  <w:style w:type="character" w:customStyle="1" w:styleId="FooterChar">
    <w:name w:val="Footer Char"/>
    <w:basedOn w:val="DefaultParagraphFont"/>
    <w:link w:val="Footer"/>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DefaultParagraphFont"/>
    <w:rsid w:val="00893C4F"/>
  </w:style>
  <w:style w:type="character" w:styleId="FollowedHyperlink">
    <w:name w:val="FollowedHyperlink"/>
    <w:basedOn w:val="DefaultParagraphFont"/>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eGrid">
    <w:name w:val="Table Grid"/>
    <w:basedOn w:val="Table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1758</Words>
  <Characters>10026</Characters>
  <Application>Microsoft Office Word</Application>
  <DocSecurity>0</DocSecurity>
  <Lines>83</Lines>
  <Paragraphs>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Maria Paola Lubo Lopez</cp:lastModifiedBy>
  <cp:revision>2</cp:revision>
  <cp:lastPrinted>2024-03-26T08:52:00Z</cp:lastPrinted>
  <dcterms:created xsi:type="dcterms:W3CDTF">2026-09-30T14:56:00Z</dcterms:created>
  <dcterms:modified xsi:type="dcterms:W3CDTF">2026-09-30T14:56:00Z</dcterms:modified>
</cp:coreProperties>
</file>