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0CBD5" w14:textId="77777777" w:rsidR="00644855" w:rsidRPr="00644855" w:rsidRDefault="00644855" w:rsidP="00716BBA">
      <w:pPr>
        <w:spacing w:before="200" w:after="120"/>
        <w:rPr>
          <w:rFonts w:ascii="Times New Roman" w:hAnsi="Times New Roman" w:cs="Times New Roman"/>
          <w:b/>
          <w:bCs/>
          <w:color w:val="000000" w:themeColor="text1"/>
        </w:rPr>
      </w:pPr>
      <w:r w:rsidRPr="00644855">
        <w:rPr>
          <w:rFonts w:ascii="Times New Roman" w:hAnsi="Times New Roman" w:cs="Times New Roman"/>
          <w:b/>
          <w:bCs/>
          <w:color w:val="000000" w:themeColor="text1"/>
        </w:rPr>
        <w:t xml:space="preserve">Category A: Diagnosis and Classification </w:t>
      </w:r>
    </w:p>
    <w:p w14:paraId="4FC7C925" w14:textId="5807B03C" w:rsidR="00EB6F05" w:rsidRPr="00C30C82" w:rsidRDefault="00000000" w:rsidP="00716BBA">
      <w:pPr>
        <w:spacing w:before="200" w:after="120"/>
        <w:rPr>
          <w:rFonts w:ascii="Times New Roman" w:hAnsi="Times New Roman" w:cs="Times New Roman"/>
          <w:color w:val="EE0000"/>
          <w:sz w:val="20"/>
          <w:szCs w:val="20"/>
        </w:rPr>
      </w:pPr>
      <w:r w:rsidRPr="00C30C82">
        <w:rPr>
          <w:rFonts w:ascii="Times New Roman" w:hAnsi="Times New Roman" w:cs="Times New Roman"/>
          <w:b/>
          <w:color w:val="EE0000"/>
          <w:sz w:val="20"/>
          <w:szCs w:val="20"/>
        </w:rPr>
        <w:t>Q1. What are the minimum entry criteria and required symptom duration for establishing a diagnosis of Juvenile Idiopathic Arthritis?</w:t>
      </w:r>
    </w:p>
    <w:p w14:paraId="3E7C7153" w14:textId="77777777" w:rsidR="00EB6F05" w:rsidRPr="00C30C82" w:rsidRDefault="00000000" w:rsidP="00716BBA">
      <w:pPr>
        <w:spacing w:before="160" w:after="60"/>
        <w:rPr>
          <w:rFonts w:ascii="Times New Roman" w:hAnsi="Times New Roman" w:cs="Times New Roman"/>
          <w:color w:val="EE0000"/>
          <w:sz w:val="20"/>
          <w:szCs w:val="20"/>
        </w:rPr>
      </w:pPr>
      <w:r w:rsidRPr="00C30C82">
        <w:rPr>
          <w:rFonts w:ascii="Times New Roman" w:hAnsi="Times New Roman" w:cs="Times New Roman"/>
          <w:b/>
          <w:color w:val="EE0000"/>
          <w:sz w:val="20"/>
          <w:szCs w:val="20"/>
        </w:rPr>
        <w:t>MODEL X</w:t>
      </w:r>
    </w:p>
    <w:p w14:paraId="471451AC"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According to current international pediatric rheumatology guidelines (ILAR classification criteria), the minimum entry criteria and required symptom duration for establishing a diagnosis of Juvenile Idiopathic Arthritis (JIA) are:</w:t>
      </w:r>
    </w:p>
    <w:p w14:paraId="718E0920"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Age at Onset: Arthritis must develop before the 16th birthday.</w:t>
      </w:r>
    </w:p>
    <w:p w14:paraId="71010210"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Symptom Duration: Objective arthritis must be persistently present for a minimum duration of 6 consecutive weeks.</w:t>
      </w:r>
    </w:p>
    <w:p w14:paraId="4EB9202A"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Exclusionary Criteria: Other known causes of childhood arthritis (e.g., reactive, infectious, neoplastic, or other systemic autoimmune diseases) must be thoroughly excluded</w:t>
      </w:r>
    </w:p>
    <w:p w14:paraId="2F13CAF1" w14:textId="77777777" w:rsidR="00EB6F05" w:rsidRPr="00716BBA" w:rsidRDefault="00000000" w:rsidP="00716BBA">
      <w:pPr>
        <w:spacing w:before="160" w:after="60"/>
        <w:rPr>
          <w:rFonts w:ascii="Times New Roman" w:hAnsi="Times New Roman" w:cs="Times New Roman"/>
          <w:color w:val="EE0000"/>
          <w:sz w:val="20"/>
          <w:szCs w:val="20"/>
        </w:rPr>
      </w:pPr>
      <w:r w:rsidRPr="00716BBA">
        <w:rPr>
          <w:rFonts w:ascii="Times New Roman" w:hAnsi="Times New Roman" w:cs="Times New Roman"/>
          <w:b/>
          <w:color w:val="EE0000"/>
          <w:sz w:val="20"/>
          <w:szCs w:val="20"/>
        </w:rPr>
        <w:t>MODEL Y</w:t>
      </w:r>
    </w:p>
    <w:p w14:paraId="255D57AB"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Age of Onset: Under 16 years.</w:t>
      </w:r>
    </w:p>
    <w:p w14:paraId="08F905FA"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Arthritis Definition: Must be present in one or more joints, defined as joint swelling, or joint pain with limitation of motion accompanied by warmth, redness, or tenderness.</w:t>
      </w:r>
    </w:p>
    <w:p w14:paraId="54670CE7"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Symptom Duration: Minimum 6 weeks of continuous arthritis.</w:t>
      </w:r>
    </w:p>
    <w:p w14:paraId="1066E5E5"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Exclusionary Criteria: All other identifiable causes of childhood arthritis must be excluded. This exclusion is fundamental; JIA is a diagnosis of exclusion.</w:t>
      </w:r>
    </w:p>
    <w:p w14:paraId="568E2BDA" w14:textId="77777777" w:rsidR="00EB6F05" w:rsidRPr="00716BBA" w:rsidRDefault="00000000" w:rsidP="00716BBA">
      <w:pPr>
        <w:spacing w:before="160" w:after="60"/>
        <w:rPr>
          <w:rFonts w:ascii="Times New Roman" w:hAnsi="Times New Roman" w:cs="Times New Roman"/>
          <w:color w:val="EE0000"/>
          <w:sz w:val="20"/>
          <w:szCs w:val="20"/>
        </w:rPr>
      </w:pPr>
      <w:r w:rsidRPr="00716BBA">
        <w:rPr>
          <w:rFonts w:ascii="Times New Roman" w:hAnsi="Times New Roman" w:cs="Times New Roman"/>
          <w:b/>
          <w:color w:val="EE0000"/>
          <w:sz w:val="20"/>
          <w:szCs w:val="20"/>
        </w:rPr>
        <w:t>MODEL Z</w:t>
      </w:r>
    </w:p>
    <w:p w14:paraId="273523BD"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Juvenile idiopathic arthritis is classified when there is:</w:t>
      </w:r>
    </w:p>
    <w:p w14:paraId="3CA8BF76"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Onset before 16 years of age</w:t>
      </w:r>
    </w:p>
    <w:p w14:paraId="30C5D561"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Arthritis in at least one joint</w:t>
      </w:r>
    </w:p>
    <w:p w14:paraId="3097B6F7"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Persistence for at least 6 weeks</w:t>
      </w:r>
    </w:p>
    <w:p w14:paraId="4752FB92"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No identifiable alternative cause</w:t>
      </w:r>
    </w:p>
    <w:p w14:paraId="5589E1B6"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Arthritis should be based on objective findings, not pain alone. It is defined by joint swelling, or by limited range of motion with pain, tenderness, and/or warmth.</w:t>
      </w:r>
    </w:p>
    <w:p w14:paraId="25A4DC82"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The required duration is at least 6 weeks of persistent arthritis. This duration helps exclude transient causes such as post-infectious arthritis, viral arthritis, trauma, or self-limited reactive conditions.</w:t>
      </w:r>
    </w:p>
    <w:p w14:paraId="40AC3574"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A diagnosis of JIA also requires exclusion of other diseases that can mimic childhood arthritis, especially infection, malignancy, trauma, orthopedic disorders, inflammatory bowel disease–associated arthritis, connective tissue diseases, vasculitis, and autoinflammatory syndromes.</w:t>
      </w:r>
    </w:p>
    <w:p w14:paraId="298B6EE5"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One important nuance is systemic JIA. In traditional ILAR criteria, arthritis is still required. In newer PRINTO classification, systemic JIA/Still’s disease can be classified based on characteristic fever and systemic features, even if arthritis is absent at presentation.</w:t>
      </w:r>
    </w:p>
    <w:p w14:paraId="652A132B"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The core answer is: childhood-onset arthritis before age 16, lasting at least 6 weeks, after exclusion of other causes.</w:t>
      </w:r>
    </w:p>
    <w:p w14:paraId="1A2E3982" w14:textId="77777777" w:rsidR="00EB6F05" w:rsidRPr="00716BBA" w:rsidRDefault="00EB6F05" w:rsidP="00716BBA">
      <w:pPr>
        <w:spacing w:after="60"/>
        <w:rPr>
          <w:rFonts w:ascii="Times New Roman" w:hAnsi="Times New Roman" w:cs="Times New Roman"/>
          <w:sz w:val="20"/>
          <w:szCs w:val="20"/>
        </w:rPr>
      </w:pPr>
    </w:p>
    <w:p w14:paraId="7A60DE61" w14:textId="77777777" w:rsidR="00EB6F05" w:rsidRPr="00716BBA" w:rsidRDefault="00000000" w:rsidP="00716BBA">
      <w:pPr>
        <w:spacing w:before="200" w:after="120"/>
        <w:rPr>
          <w:rFonts w:ascii="Times New Roman" w:hAnsi="Times New Roman" w:cs="Times New Roman"/>
          <w:color w:val="EE0000"/>
          <w:sz w:val="20"/>
          <w:szCs w:val="20"/>
        </w:rPr>
      </w:pPr>
      <w:r w:rsidRPr="00716BBA">
        <w:rPr>
          <w:rFonts w:ascii="Times New Roman" w:hAnsi="Times New Roman" w:cs="Times New Roman"/>
          <w:b/>
          <w:color w:val="EE0000"/>
          <w:sz w:val="20"/>
          <w:szCs w:val="20"/>
        </w:rPr>
        <w:t>Q2. How is Early-Onset ANA-Positive JIA defined in the current PRINTO classification system, and why was this category introduced?</w:t>
      </w:r>
    </w:p>
    <w:p w14:paraId="71402B3E" w14:textId="77777777" w:rsidR="00EB6F05" w:rsidRPr="00716BBA" w:rsidRDefault="00000000" w:rsidP="00716BBA">
      <w:pPr>
        <w:spacing w:before="160" w:after="60"/>
        <w:rPr>
          <w:rFonts w:ascii="Times New Roman" w:hAnsi="Times New Roman" w:cs="Times New Roman"/>
          <w:color w:val="EE0000"/>
          <w:sz w:val="20"/>
          <w:szCs w:val="20"/>
        </w:rPr>
      </w:pPr>
      <w:r w:rsidRPr="00716BBA">
        <w:rPr>
          <w:rFonts w:ascii="Times New Roman" w:hAnsi="Times New Roman" w:cs="Times New Roman"/>
          <w:b/>
          <w:color w:val="EE0000"/>
          <w:sz w:val="20"/>
          <w:szCs w:val="20"/>
        </w:rPr>
        <w:t>MODEL X</w:t>
      </w:r>
    </w:p>
    <w:p w14:paraId="45C7DB0A"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According to the Pediatric Rheumatology International Trials Organisation (PRINTO) classification system, Early-Onset ANA-Positive JIA is defined and rationalized as follows:</w:t>
      </w:r>
    </w:p>
    <w:p w14:paraId="1F2AEFAB"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Definition</w:t>
      </w:r>
    </w:p>
    <w:p w14:paraId="4D392F37"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To meet the criteria for Early-Onset ANA-Positive JIA, a patient must fulfill the following:</w:t>
      </w:r>
    </w:p>
    <w:p w14:paraId="25D51E62"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lastRenderedPageBreak/>
        <w:t>Arthritis: Objective joint inflammation persisting for 6 weeks or longer.</w:t>
      </w:r>
    </w:p>
    <w:p w14:paraId="7BFB616D"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Age at Onset: Disease onset must occur at or before the 6th birthday (age &lt;= 6 years).</w:t>
      </w:r>
    </w:p>
    <w:p w14:paraId="75D58BE7"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ANA Positivity: Documented presence of two positive antinuclear antibody (ANA) tests with a titer of &gt;= 1/160 (determined via indirect immunofluorescence), performed at least 3 months apart.</w:t>
      </w:r>
    </w:p>
    <w:p w14:paraId="1C65201F"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Rationale for Introduction</w:t>
      </w:r>
    </w:p>
    <w:p w14:paraId="6E8DFAD5"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This category was introduced to replace the heterogeneous and artificial divisions of the older ILAR classification (such as oligoarticular JIA, RF-negative polyarticular JIA, and psoriatic JIA) with a biologically distinct entity.</w:t>
      </w:r>
    </w:p>
    <w:p w14:paraId="57DCB8B6"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Clinically and pathophysiologically, children who present at a young age with ANA positivity share a highly homogeneous disease profile that is unique to childhood. They characteristically exhibit asymmetric arthritis, a predominantly female predisposition, and a significantly higher risk for developing chronic asymptomatic anterior uveitis. This distinct phenotype also correlates with specific treatment responses and genetic backgrounds, independent of the absolute number of joints involved during the first 6 months of illness.</w:t>
      </w:r>
    </w:p>
    <w:p w14:paraId="49A6F735" w14:textId="77777777" w:rsidR="00EB6F05" w:rsidRPr="00716BBA" w:rsidRDefault="00000000" w:rsidP="00716BBA">
      <w:pPr>
        <w:spacing w:before="160" w:after="60"/>
        <w:rPr>
          <w:rFonts w:ascii="Times New Roman" w:hAnsi="Times New Roman" w:cs="Times New Roman"/>
          <w:color w:val="EE0000"/>
          <w:sz w:val="20"/>
          <w:szCs w:val="20"/>
        </w:rPr>
      </w:pPr>
      <w:r w:rsidRPr="00716BBA">
        <w:rPr>
          <w:rFonts w:ascii="Times New Roman" w:hAnsi="Times New Roman" w:cs="Times New Roman"/>
          <w:b/>
          <w:color w:val="EE0000"/>
          <w:sz w:val="20"/>
          <w:szCs w:val="20"/>
        </w:rPr>
        <w:t>MODEL Y</w:t>
      </w:r>
    </w:p>
    <w:p w14:paraId="256684F9"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Early-Onset ANA-Positive JIA — PRINTO 2019 Classification</w:t>
      </w:r>
    </w:p>
    <w:p w14:paraId="6907FA54"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This is a newly proposed category in the PRINTO revised classification (2019), representing a significant departure from the ILAR system.</w:t>
      </w:r>
    </w:p>
    <w:p w14:paraId="721B595B"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Defining Criteria: * Age of onset 6 years or younger.</w:t>
      </w:r>
    </w:p>
    <w:p w14:paraId="1E3FE708"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ANA positivity on two occasions at least 3 months apart.</w:t>
      </w:r>
    </w:p>
    <w:p w14:paraId="148ED1D6"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Arthritis not better explained by another JIA category.</w:t>
      </w:r>
    </w:p>
    <w:p w14:paraId="4614AD7F"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Why It Was Introduced: This category was created because a large body of evidence demonstrated that early-onset, ANA-positive patients share a distinct and coherent biological and clinical profile regardless of their joint count. Under the ILAR system, these patients were artificially split across oligoarticular, RF-negative polyarticular, and psoriatic JIA categories, obscuring their shared characteristics.</w:t>
      </w:r>
    </w:p>
    <w:p w14:paraId="2250C82A"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Unifying Features: * Female predominance.</w:t>
      </w:r>
    </w:p>
    <w:p w14:paraId="101BC3BC"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High risk of chronic anterior uveitis (often asymptomatic). This uveitis is particularly important as it is the most common cause of JIA-associated uveitis and carries a significant risk of visual loss if not screened systematically.</w:t>
      </w:r>
    </w:p>
    <w:p w14:paraId="1430B9EC"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Favorable articular prognosis in many cases.</w:t>
      </w:r>
    </w:p>
    <w:p w14:paraId="2C59562C"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Distinct immunogenetic background.</w:t>
      </w:r>
    </w:p>
    <w:p w14:paraId="7A4B9BBD"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Clinical Impact: By grouping these patients together, the PRINTO classification better reflects disease biology and allows more homogeneous cohorts for research and more targeted uveitis surveillance protocols in clinical practice.</w:t>
      </w:r>
    </w:p>
    <w:p w14:paraId="41A2A5FC" w14:textId="77777777" w:rsidR="00EB6F05" w:rsidRPr="00716BBA" w:rsidRDefault="00000000" w:rsidP="00716BBA">
      <w:pPr>
        <w:spacing w:before="160" w:after="60"/>
        <w:rPr>
          <w:rFonts w:ascii="Times New Roman" w:hAnsi="Times New Roman" w:cs="Times New Roman"/>
          <w:color w:val="EE0000"/>
          <w:sz w:val="20"/>
          <w:szCs w:val="20"/>
        </w:rPr>
      </w:pPr>
      <w:r w:rsidRPr="00716BBA">
        <w:rPr>
          <w:rFonts w:ascii="Times New Roman" w:hAnsi="Times New Roman" w:cs="Times New Roman"/>
          <w:b/>
          <w:color w:val="EE0000"/>
          <w:sz w:val="20"/>
          <w:szCs w:val="20"/>
        </w:rPr>
        <w:t>MODEL Z</w:t>
      </w:r>
    </w:p>
    <w:p w14:paraId="17C685D9"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Definition of Early-Onset ANA-Positive JIA in PRINTO</w:t>
      </w:r>
    </w:p>
    <w:p w14:paraId="36098C61"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In the provisional PRINTO classification, Early-Onset ANA-Positive JIA is defined by:</w:t>
      </w:r>
    </w:p>
    <w:p w14:paraId="275B4812"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Arthritis lasting ≥6 weeks</w:t>
      </w:r>
    </w:p>
    <w:p w14:paraId="73E8A46A"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Age at disease onset ≤6 years</w:t>
      </w:r>
    </w:p>
    <w:p w14:paraId="3EF87A75"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ANA positivity on two occasions, with titer ≥1:160, tested by immunofluorescence, at least 3 months apart</w:t>
      </w:r>
    </w:p>
    <w:p w14:paraId="5D7EAF65"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Exclusion of systemic JIA, RF-positive JIA, and enthesitis/spondylitis-related JIA</w:t>
      </w:r>
    </w:p>
    <w:p w14:paraId="601BAE2D"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This category was introduced because many children previously separated into ILAR oligoarticular JIA, RF-negative polyarticular JIA, psoriatic JIA, or undifferentiated JIA actually share the same recognizable phenotype: early-onset disease, ANA positivity, female predominance, asymmetric arthritis, and high risk of chronic anterior uveitis.</w:t>
      </w:r>
    </w:p>
    <w:p w14:paraId="20F5D130"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The aim was to create a more clinically and biologically homogeneous group, rather than classifying these children mainly by joint count during the first 6 months. It also helps identify patients who need careful uveitis surveillance and may have similar prognosis and treatment patterns.</w:t>
      </w:r>
    </w:p>
    <w:p w14:paraId="1166D3F1"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The key point is: PRINTO created Early-Onset ANA-Positive JIA to group together young ANA-positive children with a distinct uveitis-prone phenotype, regardless of whether their arthritis is initially oligoarticular or polyarticular.</w:t>
      </w:r>
    </w:p>
    <w:p w14:paraId="30DD6C30" w14:textId="77777777" w:rsidR="00EB6F05" w:rsidRPr="00716BBA" w:rsidRDefault="00EB6F05" w:rsidP="00716BBA">
      <w:pPr>
        <w:spacing w:after="60"/>
        <w:rPr>
          <w:rFonts w:ascii="Times New Roman" w:hAnsi="Times New Roman" w:cs="Times New Roman"/>
          <w:sz w:val="20"/>
          <w:szCs w:val="20"/>
        </w:rPr>
      </w:pPr>
    </w:p>
    <w:p w14:paraId="398C4AA6" w14:textId="77777777" w:rsidR="00EB6F05" w:rsidRPr="00716BBA" w:rsidRDefault="00000000" w:rsidP="00716BBA">
      <w:pPr>
        <w:spacing w:before="200" w:after="120"/>
        <w:rPr>
          <w:rFonts w:ascii="Times New Roman" w:hAnsi="Times New Roman" w:cs="Times New Roman"/>
          <w:color w:val="EE0000"/>
          <w:sz w:val="20"/>
          <w:szCs w:val="20"/>
        </w:rPr>
      </w:pPr>
      <w:r w:rsidRPr="00716BBA">
        <w:rPr>
          <w:rFonts w:ascii="Times New Roman" w:hAnsi="Times New Roman" w:cs="Times New Roman"/>
          <w:b/>
          <w:color w:val="EE0000"/>
          <w:sz w:val="20"/>
          <w:szCs w:val="20"/>
        </w:rPr>
        <w:t>Q3. What clinical and laboratory criteria are required for the classification of Rheumatoid Factor–Positive JIA?</w:t>
      </w:r>
    </w:p>
    <w:p w14:paraId="56189AA5" w14:textId="77777777" w:rsidR="00EB6F05" w:rsidRPr="00716BBA" w:rsidRDefault="00000000" w:rsidP="00716BBA">
      <w:pPr>
        <w:spacing w:before="160" w:after="60"/>
        <w:rPr>
          <w:rFonts w:ascii="Times New Roman" w:hAnsi="Times New Roman" w:cs="Times New Roman"/>
          <w:color w:val="EE0000"/>
          <w:sz w:val="20"/>
          <w:szCs w:val="20"/>
        </w:rPr>
      </w:pPr>
      <w:r w:rsidRPr="00716BBA">
        <w:rPr>
          <w:rFonts w:ascii="Times New Roman" w:hAnsi="Times New Roman" w:cs="Times New Roman"/>
          <w:b/>
          <w:color w:val="EE0000"/>
          <w:sz w:val="20"/>
          <w:szCs w:val="20"/>
        </w:rPr>
        <w:t>MODEL X</w:t>
      </w:r>
    </w:p>
    <w:p w14:paraId="08F18BB4"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According to current classification criteria, the diagnosis of Rheumatoid Factor (RF)–Positive JIA requires the following clinical and laboratory parameters:</w:t>
      </w:r>
    </w:p>
    <w:p w14:paraId="3589311D"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Clinical Criteria: Presence of objective arthritis affecting 5 or more joints during the first 6 months of disease.</w:t>
      </w:r>
    </w:p>
    <w:p w14:paraId="6B2DEC44"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Laboratory Criteria: At least two positive tests for Rheumatoid Factor (IgM class) or two positive tests for Anti-Cyclic Citrullinated Peptide (anti-CCP) antibodies, performed at least 3 months apart during the first 6 months of illness.</w:t>
      </w:r>
    </w:p>
    <w:p w14:paraId="5BCDD886"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Exclusionary Criteria: The patient must not meet the classification criteria for systemic JIA, enthesitis-related arthritis (ERA), or early-onset ANA-positive JIA.</w:t>
      </w:r>
    </w:p>
    <w:p w14:paraId="02F87535" w14:textId="77777777" w:rsidR="00EB6F05" w:rsidRPr="00716BBA" w:rsidRDefault="00000000" w:rsidP="00716BBA">
      <w:pPr>
        <w:spacing w:before="160" w:after="60"/>
        <w:rPr>
          <w:rFonts w:ascii="Times New Roman" w:hAnsi="Times New Roman" w:cs="Times New Roman"/>
          <w:color w:val="EE0000"/>
          <w:sz w:val="20"/>
          <w:szCs w:val="20"/>
        </w:rPr>
      </w:pPr>
      <w:r w:rsidRPr="00716BBA">
        <w:rPr>
          <w:rFonts w:ascii="Times New Roman" w:hAnsi="Times New Roman" w:cs="Times New Roman"/>
          <w:b/>
          <w:color w:val="EE0000"/>
          <w:sz w:val="20"/>
          <w:szCs w:val="20"/>
        </w:rPr>
        <w:t>MODEL Y</w:t>
      </w:r>
    </w:p>
    <w:p w14:paraId="10B534A5"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RF-Positive JIA — Classification Criteria</w:t>
      </w:r>
    </w:p>
    <w:p w14:paraId="12B14EE0"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RF-positive JIA is the subtype most analogous to adult rheumatoid arthritis and carries the most aggressive articular prognosis among JIA categories.</w:t>
      </w:r>
    </w:p>
    <w:p w14:paraId="372BA2F2"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Required Criteria:</w:t>
      </w:r>
    </w:p>
    <w:p w14:paraId="2016E0E7"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Joint Involvement: Arthritis affecting 5 or more joints during the first 6 months of disease (polyarticular joint involvement is mandatory).</w:t>
      </w:r>
    </w:p>
    <w:p w14:paraId="28BEC03B"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Serology: Positive rheumatoid factor on two separate occasions, at least 3 months apart, both within the first 6 months of disease. A single positive result is insufficient.</w:t>
      </w:r>
    </w:p>
    <w:p w14:paraId="38E167C2"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Core Baseline: Age of onset under 16 years and symptom duration of at least 6 weeks, as with all JIA categories.</w:t>
      </w:r>
    </w:p>
    <w:p w14:paraId="3A564C87"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Exclusion Criteria: Systemic JIA, psoriatic arthritis, enthesitis-related arthritis, and undifferentiated arthritis must be excluded.</w:t>
      </w:r>
    </w:p>
    <w:p w14:paraId="1BC2A2B9"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Clinically Relevant Additions:</w:t>
      </w:r>
    </w:p>
    <w:p w14:paraId="14E95838"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Anti-CCP Antibodies: While not formally required by ILAR criteria, they carry high specificity and are strongly associated with this subtype. Their presence predicts erosive, destructive joint disease and is increasingly incorporated into clinical decision-making and the PRINTO revised framework.</w:t>
      </w:r>
    </w:p>
    <w:p w14:paraId="56EA1AFC"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Clinical Phenotype: This subtype predominantly affects adolescent girls, tends to involve small joints of the hands and feet symmetrically, and has the highest risk of progressive joint damage among all JIA categories, justifying early aggressive therapy including biologic DMARDs.</w:t>
      </w:r>
    </w:p>
    <w:p w14:paraId="6E1A09B0" w14:textId="77777777" w:rsidR="00EB6F05" w:rsidRPr="00716BBA" w:rsidRDefault="00000000" w:rsidP="00716BBA">
      <w:pPr>
        <w:spacing w:before="160" w:after="60"/>
        <w:rPr>
          <w:rFonts w:ascii="Times New Roman" w:hAnsi="Times New Roman" w:cs="Times New Roman"/>
          <w:color w:val="EE0000"/>
          <w:sz w:val="20"/>
          <w:szCs w:val="20"/>
        </w:rPr>
      </w:pPr>
      <w:r w:rsidRPr="00716BBA">
        <w:rPr>
          <w:rFonts w:ascii="Times New Roman" w:hAnsi="Times New Roman" w:cs="Times New Roman"/>
          <w:b/>
          <w:color w:val="EE0000"/>
          <w:sz w:val="20"/>
          <w:szCs w:val="20"/>
        </w:rPr>
        <w:t>MODEL Z</w:t>
      </w:r>
    </w:p>
    <w:p w14:paraId="77F2A476"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Classification criteria for Rheumatoid Factor–Positive JIA</w:t>
      </w:r>
    </w:p>
    <w:p w14:paraId="329C48EA"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Under ILAR criteria, RF-positive JIA is classified as polyarthritis with:</w:t>
      </w:r>
    </w:p>
    <w:p w14:paraId="30A61133"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Arthritis beginning before age 16 and persisting for at least 6 weeks</w:t>
      </w:r>
    </w:p>
    <w:p w14:paraId="6DEEA359"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Five or more joints involved during the first 6 months of disease</w:t>
      </w:r>
    </w:p>
    <w:p w14:paraId="76FD74A8"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Rheumatoid factor positive on at least two occasions, at least 3 months apart, usually within the first 6 months</w:t>
      </w:r>
    </w:p>
    <w:p w14:paraId="74713D73"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This subtype typically resembles adult seropositive rheumatoid arthritis. It often presents with symmetric polyarthritis, especially involving small joints of the hands and feet, and has a higher risk of erosive disease.</w:t>
      </w:r>
    </w:p>
    <w:p w14:paraId="374F5EB0"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Supportive laboratory findings include:</w:t>
      </w:r>
    </w:p>
    <w:p w14:paraId="7AF04DCA"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Persistent RF positivity</w:t>
      </w:r>
    </w:p>
    <w:p w14:paraId="6FE54600"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Often anti-CCP antibody positivity</w:t>
      </w:r>
    </w:p>
    <w:p w14:paraId="49BB655C"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Elevated ESR or CRP if active inflammation is present</w:t>
      </w:r>
    </w:p>
    <w:p w14:paraId="352C61E6"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ANA may be positive or negative, but is not defining</w:t>
      </w:r>
    </w:p>
    <w:p w14:paraId="02B4887A"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lastRenderedPageBreak/>
        <w:t>Under the PRINTO provisional classification, RF-positive JIA is similarly defined by arthritis lasting at least 6 weeks with either two positive RF tests at least 3 months apart or anti-CCP positivity, and is considered analogous to childhood-onset rheumatoid arthritis.</w:t>
      </w:r>
    </w:p>
    <w:p w14:paraId="62E47494"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The key required elements are: polyarticular disease with ≥5 joints in the first 6 months plus persistent RF positivity on two tests at least 3 months apart.</w:t>
      </w:r>
    </w:p>
    <w:p w14:paraId="71593DD0" w14:textId="77777777" w:rsidR="00EB6F05" w:rsidRPr="00716BBA" w:rsidRDefault="00EB6F05" w:rsidP="00716BBA">
      <w:pPr>
        <w:spacing w:after="60"/>
        <w:rPr>
          <w:rFonts w:ascii="Times New Roman" w:hAnsi="Times New Roman" w:cs="Times New Roman"/>
          <w:sz w:val="20"/>
          <w:szCs w:val="20"/>
        </w:rPr>
      </w:pPr>
    </w:p>
    <w:p w14:paraId="4E98F0E5" w14:textId="77777777" w:rsidR="00716BBA" w:rsidRPr="00716BBA" w:rsidRDefault="00716BBA" w:rsidP="00716BBA">
      <w:pPr>
        <w:shd w:val="clear" w:color="auto" w:fill="FFFFFF"/>
        <w:spacing w:after="0"/>
        <w:rPr>
          <w:rFonts w:ascii="Times New Roman" w:eastAsia="Times New Roman" w:hAnsi="Times New Roman" w:cs="Times New Roman"/>
          <w:b/>
          <w:bCs/>
          <w:color w:val="EE0000"/>
          <w:sz w:val="20"/>
          <w:szCs w:val="20"/>
          <w:lang w:val="tr-TR" w:eastAsia="tr-TR"/>
        </w:rPr>
      </w:pPr>
      <w:r w:rsidRPr="00716BBA">
        <w:rPr>
          <w:rFonts w:ascii="Times New Roman" w:eastAsia="Times New Roman" w:hAnsi="Times New Roman" w:cs="Times New Roman"/>
          <w:b/>
          <w:bCs/>
          <w:color w:val="EE0000"/>
          <w:sz w:val="20"/>
          <w:szCs w:val="20"/>
          <w:lang w:val="tr-TR" w:eastAsia="tr-TR"/>
        </w:rPr>
        <w:t xml:space="preserve">Q4. </w:t>
      </w:r>
      <w:proofErr w:type="spellStart"/>
      <w:r w:rsidRPr="00716BBA">
        <w:rPr>
          <w:rFonts w:ascii="Times New Roman" w:eastAsia="Times New Roman" w:hAnsi="Times New Roman" w:cs="Times New Roman"/>
          <w:b/>
          <w:bCs/>
          <w:color w:val="EE0000"/>
          <w:sz w:val="20"/>
          <w:szCs w:val="20"/>
          <w:lang w:val="tr-TR" w:eastAsia="tr-TR"/>
        </w:rPr>
        <w:t>What</w:t>
      </w:r>
      <w:proofErr w:type="spellEnd"/>
      <w:r w:rsidRPr="00716BBA">
        <w:rPr>
          <w:rFonts w:ascii="Times New Roman" w:eastAsia="Times New Roman" w:hAnsi="Times New Roman" w:cs="Times New Roman"/>
          <w:b/>
          <w:bCs/>
          <w:color w:val="EE0000"/>
          <w:sz w:val="20"/>
          <w:szCs w:val="20"/>
          <w:lang w:val="tr-TR" w:eastAsia="tr-TR"/>
        </w:rPr>
        <w:t xml:space="preserve"> </w:t>
      </w:r>
      <w:proofErr w:type="spellStart"/>
      <w:r w:rsidRPr="00716BBA">
        <w:rPr>
          <w:rFonts w:ascii="Times New Roman" w:eastAsia="Times New Roman" w:hAnsi="Times New Roman" w:cs="Times New Roman"/>
          <w:b/>
          <w:bCs/>
          <w:color w:val="EE0000"/>
          <w:sz w:val="20"/>
          <w:szCs w:val="20"/>
          <w:lang w:val="tr-TR" w:eastAsia="tr-TR"/>
        </w:rPr>
        <w:t>clinical</w:t>
      </w:r>
      <w:proofErr w:type="spellEnd"/>
      <w:r w:rsidRPr="00716BBA">
        <w:rPr>
          <w:rFonts w:ascii="Times New Roman" w:eastAsia="Times New Roman" w:hAnsi="Times New Roman" w:cs="Times New Roman"/>
          <w:b/>
          <w:bCs/>
          <w:color w:val="EE0000"/>
          <w:sz w:val="20"/>
          <w:szCs w:val="20"/>
          <w:lang w:val="tr-TR" w:eastAsia="tr-TR"/>
        </w:rPr>
        <w:t xml:space="preserve"> </w:t>
      </w:r>
      <w:proofErr w:type="spellStart"/>
      <w:r w:rsidRPr="00716BBA">
        <w:rPr>
          <w:rFonts w:ascii="Times New Roman" w:eastAsia="Times New Roman" w:hAnsi="Times New Roman" w:cs="Times New Roman"/>
          <w:b/>
          <w:bCs/>
          <w:color w:val="EE0000"/>
          <w:sz w:val="20"/>
          <w:szCs w:val="20"/>
          <w:lang w:val="tr-TR" w:eastAsia="tr-TR"/>
        </w:rPr>
        <w:t>features</w:t>
      </w:r>
      <w:proofErr w:type="spellEnd"/>
      <w:r w:rsidRPr="00716BBA">
        <w:rPr>
          <w:rFonts w:ascii="Times New Roman" w:eastAsia="Times New Roman" w:hAnsi="Times New Roman" w:cs="Times New Roman"/>
          <w:b/>
          <w:bCs/>
          <w:color w:val="EE0000"/>
          <w:sz w:val="20"/>
          <w:szCs w:val="20"/>
          <w:lang w:val="tr-TR" w:eastAsia="tr-TR"/>
        </w:rPr>
        <w:t xml:space="preserve"> </w:t>
      </w:r>
      <w:proofErr w:type="spellStart"/>
      <w:r w:rsidRPr="00716BBA">
        <w:rPr>
          <w:rFonts w:ascii="Times New Roman" w:eastAsia="Times New Roman" w:hAnsi="Times New Roman" w:cs="Times New Roman"/>
          <w:b/>
          <w:bCs/>
          <w:color w:val="EE0000"/>
          <w:sz w:val="20"/>
          <w:szCs w:val="20"/>
          <w:lang w:val="tr-TR" w:eastAsia="tr-TR"/>
        </w:rPr>
        <w:t>and</w:t>
      </w:r>
      <w:proofErr w:type="spellEnd"/>
      <w:r w:rsidRPr="00716BBA">
        <w:rPr>
          <w:rFonts w:ascii="Times New Roman" w:eastAsia="Times New Roman" w:hAnsi="Times New Roman" w:cs="Times New Roman"/>
          <w:b/>
          <w:bCs/>
          <w:color w:val="EE0000"/>
          <w:sz w:val="20"/>
          <w:szCs w:val="20"/>
          <w:lang w:val="tr-TR" w:eastAsia="tr-TR"/>
        </w:rPr>
        <w:t xml:space="preserve"> </w:t>
      </w:r>
      <w:proofErr w:type="spellStart"/>
      <w:r w:rsidRPr="00716BBA">
        <w:rPr>
          <w:rFonts w:ascii="Times New Roman" w:eastAsia="Times New Roman" w:hAnsi="Times New Roman" w:cs="Times New Roman"/>
          <w:b/>
          <w:bCs/>
          <w:color w:val="EE0000"/>
          <w:sz w:val="20"/>
          <w:szCs w:val="20"/>
          <w:lang w:val="tr-TR" w:eastAsia="tr-TR"/>
        </w:rPr>
        <w:t>laboratory</w:t>
      </w:r>
      <w:proofErr w:type="spellEnd"/>
      <w:r w:rsidRPr="00716BBA">
        <w:rPr>
          <w:rFonts w:ascii="Times New Roman" w:eastAsia="Times New Roman" w:hAnsi="Times New Roman" w:cs="Times New Roman"/>
          <w:b/>
          <w:bCs/>
          <w:color w:val="EE0000"/>
          <w:sz w:val="20"/>
          <w:szCs w:val="20"/>
          <w:lang w:val="tr-TR" w:eastAsia="tr-TR"/>
        </w:rPr>
        <w:t xml:space="preserve"> </w:t>
      </w:r>
      <w:proofErr w:type="spellStart"/>
      <w:r w:rsidRPr="00716BBA">
        <w:rPr>
          <w:rFonts w:ascii="Times New Roman" w:eastAsia="Times New Roman" w:hAnsi="Times New Roman" w:cs="Times New Roman"/>
          <w:b/>
          <w:bCs/>
          <w:color w:val="EE0000"/>
          <w:sz w:val="20"/>
          <w:szCs w:val="20"/>
          <w:lang w:val="tr-TR" w:eastAsia="tr-TR"/>
        </w:rPr>
        <w:t>findings</w:t>
      </w:r>
      <w:proofErr w:type="spellEnd"/>
      <w:r w:rsidRPr="00716BBA">
        <w:rPr>
          <w:rFonts w:ascii="Times New Roman" w:eastAsia="Times New Roman" w:hAnsi="Times New Roman" w:cs="Times New Roman"/>
          <w:b/>
          <w:bCs/>
          <w:color w:val="EE0000"/>
          <w:sz w:val="20"/>
          <w:szCs w:val="20"/>
          <w:lang w:val="tr-TR" w:eastAsia="tr-TR"/>
        </w:rPr>
        <w:t xml:space="preserve"> </w:t>
      </w:r>
      <w:proofErr w:type="spellStart"/>
      <w:r w:rsidRPr="00716BBA">
        <w:rPr>
          <w:rFonts w:ascii="Times New Roman" w:eastAsia="Times New Roman" w:hAnsi="Times New Roman" w:cs="Times New Roman"/>
          <w:b/>
          <w:bCs/>
          <w:color w:val="EE0000"/>
          <w:sz w:val="20"/>
          <w:szCs w:val="20"/>
          <w:lang w:val="tr-TR" w:eastAsia="tr-TR"/>
        </w:rPr>
        <w:t>support</w:t>
      </w:r>
      <w:proofErr w:type="spellEnd"/>
      <w:r w:rsidRPr="00716BBA">
        <w:rPr>
          <w:rFonts w:ascii="Times New Roman" w:eastAsia="Times New Roman" w:hAnsi="Times New Roman" w:cs="Times New Roman"/>
          <w:b/>
          <w:bCs/>
          <w:color w:val="EE0000"/>
          <w:sz w:val="20"/>
          <w:szCs w:val="20"/>
          <w:lang w:val="tr-TR" w:eastAsia="tr-TR"/>
        </w:rPr>
        <w:t xml:space="preserve"> </w:t>
      </w:r>
      <w:proofErr w:type="spellStart"/>
      <w:r w:rsidRPr="00716BBA">
        <w:rPr>
          <w:rFonts w:ascii="Times New Roman" w:eastAsia="Times New Roman" w:hAnsi="Times New Roman" w:cs="Times New Roman"/>
          <w:b/>
          <w:bCs/>
          <w:color w:val="EE0000"/>
          <w:sz w:val="20"/>
          <w:szCs w:val="20"/>
          <w:lang w:val="tr-TR" w:eastAsia="tr-TR"/>
        </w:rPr>
        <w:t>the</w:t>
      </w:r>
      <w:proofErr w:type="spellEnd"/>
      <w:r w:rsidRPr="00716BBA">
        <w:rPr>
          <w:rFonts w:ascii="Times New Roman" w:eastAsia="Times New Roman" w:hAnsi="Times New Roman" w:cs="Times New Roman"/>
          <w:b/>
          <w:bCs/>
          <w:color w:val="EE0000"/>
          <w:sz w:val="20"/>
          <w:szCs w:val="20"/>
          <w:lang w:val="tr-TR" w:eastAsia="tr-TR"/>
        </w:rPr>
        <w:t xml:space="preserve"> </w:t>
      </w:r>
      <w:proofErr w:type="spellStart"/>
      <w:r w:rsidRPr="00716BBA">
        <w:rPr>
          <w:rFonts w:ascii="Times New Roman" w:eastAsia="Times New Roman" w:hAnsi="Times New Roman" w:cs="Times New Roman"/>
          <w:b/>
          <w:bCs/>
          <w:color w:val="EE0000"/>
          <w:sz w:val="20"/>
          <w:szCs w:val="20"/>
          <w:lang w:val="tr-TR" w:eastAsia="tr-TR"/>
        </w:rPr>
        <w:t>diagnosis</w:t>
      </w:r>
      <w:proofErr w:type="spellEnd"/>
      <w:r w:rsidRPr="00716BBA">
        <w:rPr>
          <w:rFonts w:ascii="Times New Roman" w:eastAsia="Times New Roman" w:hAnsi="Times New Roman" w:cs="Times New Roman"/>
          <w:b/>
          <w:bCs/>
          <w:color w:val="EE0000"/>
          <w:sz w:val="20"/>
          <w:szCs w:val="20"/>
          <w:lang w:val="tr-TR" w:eastAsia="tr-TR"/>
        </w:rPr>
        <w:t xml:space="preserve"> </w:t>
      </w:r>
      <w:proofErr w:type="spellStart"/>
      <w:r w:rsidRPr="00716BBA">
        <w:rPr>
          <w:rFonts w:ascii="Times New Roman" w:eastAsia="Times New Roman" w:hAnsi="Times New Roman" w:cs="Times New Roman"/>
          <w:b/>
          <w:bCs/>
          <w:color w:val="EE0000"/>
          <w:sz w:val="20"/>
          <w:szCs w:val="20"/>
          <w:lang w:val="tr-TR" w:eastAsia="tr-TR"/>
        </w:rPr>
        <w:t>and</w:t>
      </w:r>
      <w:proofErr w:type="spellEnd"/>
      <w:r w:rsidRPr="00716BBA">
        <w:rPr>
          <w:rFonts w:ascii="Times New Roman" w:eastAsia="Times New Roman" w:hAnsi="Times New Roman" w:cs="Times New Roman"/>
          <w:b/>
          <w:bCs/>
          <w:color w:val="EE0000"/>
          <w:sz w:val="20"/>
          <w:szCs w:val="20"/>
          <w:lang w:val="tr-TR" w:eastAsia="tr-TR"/>
        </w:rPr>
        <w:t xml:space="preserve"> </w:t>
      </w:r>
      <w:proofErr w:type="spellStart"/>
      <w:r w:rsidRPr="00716BBA">
        <w:rPr>
          <w:rFonts w:ascii="Times New Roman" w:eastAsia="Times New Roman" w:hAnsi="Times New Roman" w:cs="Times New Roman"/>
          <w:b/>
          <w:bCs/>
          <w:color w:val="EE0000"/>
          <w:sz w:val="20"/>
          <w:szCs w:val="20"/>
          <w:lang w:val="tr-TR" w:eastAsia="tr-TR"/>
        </w:rPr>
        <w:t>classification</w:t>
      </w:r>
      <w:proofErr w:type="spellEnd"/>
      <w:r w:rsidRPr="00716BBA">
        <w:rPr>
          <w:rFonts w:ascii="Times New Roman" w:eastAsia="Times New Roman" w:hAnsi="Times New Roman" w:cs="Times New Roman"/>
          <w:b/>
          <w:bCs/>
          <w:color w:val="EE0000"/>
          <w:sz w:val="20"/>
          <w:szCs w:val="20"/>
          <w:lang w:val="tr-TR" w:eastAsia="tr-TR"/>
        </w:rPr>
        <w:t xml:space="preserve"> of </w:t>
      </w:r>
      <w:proofErr w:type="spellStart"/>
      <w:r w:rsidRPr="00716BBA">
        <w:rPr>
          <w:rFonts w:ascii="Times New Roman" w:eastAsia="Times New Roman" w:hAnsi="Times New Roman" w:cs="Times New Roman"/>
          <w:b/>
          <w:bCs/>
          <w:color w:val="EE0000"/>
          <w:sz w:val="20"/>
          <w:szCs w:val="20"/>
          <w:lang w:val="tr-TR" w:eastAsia="tr-TR"/>
        </w:rPr>
        <w:t>Enthesitis-Related</w:t>
      </w:r>
      <w:proofErr w:type="spellEnd"/>
      <w:r w:rsidRPr="00716BBA">
        <w:rPr>
          <w:rFonts w:ascii="Times New Roman" w:eastAsia="Times New Roman" w:hAnsi="Times New Roman" w:cs="Times New Roman"/>
          <w:b/>
          <w:bCs/>
          <w:color w:val="EE0000"/>
          <w:sz w:val="20"/>
          <w:szCs w:val="20"/>
          <w:lang w:val="tr-TR" w:eastAsia="tr-TR"/>
        </w:rPr>
        <w:t xml:space="preserve"> </w:t>
      </w:r>
      <w:proofErr w:type="spellStart"/>
      <w:r w:rsidRPr="00716BBA">
        <w:rPr>
          <w:rFonts w:ascii="Times New Roman" w:eastAsia="Times New Roman" w:hAnsi="Times New Roman" w:cs="Times New Roman"/>
          <w:b/>
          <w:bCs/>
          <w:color w:val="EE0000"/>
          <w:sz w:val="20"/>
          <w:szCs w:val="20"/>
          <w:lang w:val="tr-TR" w:eastAsia="tr-TR"/>
        </w:rPr>
        <w:t>Arthritis</w:t>
      </w:r>
      <w:proofErr w:type="spellEnd"/>
      <w:r w:rsidRPr="00716BBA">
        <w:rPr>
          <w:rFonts w:ascii="Times New Roman" w:eastAsia="Times New Roman" w:hAnsi="Times New Roman" w:cs="Times New Roman"/>
          <w:b/>
          <w:bCs/>
          <w:color w:val="EE0000"/>
          <w:sz w:val="20"/>
          <w:szCs w:val="20"/>
          <w:lang w:val="tr-TR" w:eastAsia="tr-TR"/>
        </w:rPr>
        <w:t>?</w:t>
      </w:r>
    </w:p>
    <w:p w14:paraId="29B8BFFC" w14:textId="77777777" w:rsidR="00716BBA" w:rsidRPr="00716BBA" w:rsidRDefault="00716BBA" w:rsidP="00716BBA">
      <w:pPr>
        <w:shd w:val="clear" w:color="auto" w:fill="FFFFFF"/>
        <w:spacing w:after="0"/>
        <w:rPr>
          <w:rFonts w:ascii="Times New Roman" w:eastAsia="Times New Roman" w:hAnsi="Times New Roman" w:cs="Times New Roman"/>
          <w:color w:val="EE0000"/>
          <w:sz w:val="20"/>
          <w:szCs w:val="20"/>
          <w:lang w:val="tr-TR" w:eastAsia="tr-TR"/>
        </w:rPr>
      </w:pPr>
    </w:p>
    <w:p w14:paraId="5C5E71CF" w14:textId="77777777" w:rsidR="00716BBA" w:rsidRPr="00716BBA" w:rsidRDefault="00716BBA" w:rsidP="00716BBA">
      <w:pPr>
        <w:shd w:val="clear" w:color="auto" w:fill="FFFFFF"/>
        <w:spacing w:after="0"/>
        <w:rPr>
          <w:rFonts w:ascii="Times New Roman" w:eastAsia="Times New Roman" w:hAnsi="Times New Roman" w:cs="Times New Roman"/>
          <w:color w:val="EE0000"/>
          <w:sz w:val="20"/>
          <w:szCs w:val="20"/>
          <w:lang w:val="tr-TR" w:eastAsia="tr-TR"/>
        </w:rPr>
      </w:pPr>
      <w:r w:rsidRPr="00716BBA">
        <w:rPr>
          <w:rFonts w:ascii="Times New Roman" w:eastAsia="Times New Roman" w:hAnsi="Times New Roman" w:cs="Times New Roman"/>
          <w:b/>
          <w:bCs/>
          <w:color w:val="EE0000"/>
          <w:sz w:val="20"/>
          <w:szCs w:val="20"/>
          <w:lang w:val="tr-TR" w:eastAsia="tr-TR"/>
        </w:rPr>
        <w:t>MODEL X</w:t>
      </w:r>
    </w:p>
    <w:p w14:paraId="2E40EC44" w14:textId="77777777" w:rsidR="00716BBA" w:rsidRPr="00716BBA" w:rsidRDefault="00716BBA" w:rsidP="00716BBA">
      <w:pPr>
        <w:shd w:val="clear" w:color="auto" w:fill="FFFFFF"/>
        <w:spacing w:after="0"/>
        <w:rPr>
          <w:rFonts w:ascii="Times New Roman" w:eastAsia="Times New Roman" w:hAnsi="Times New Roman" w:cs="Times New Roman"/>
          <w:color w:val="000000"/>
          <w:sz w:val="20"/>
          <w:szCs w:val="20"/>
          <w:lang w:val="tr-TR" w:eastAsia="tr-TR"/>
        </w:rPr>
      </w:pPr>
      <w:proofErr w:type="spellStart"/>
      <w:r w:rsidRPr="00716BBA">
        <w:rPr>
          <w:rFonts w:ascii="Times New Roman" w:eastAsia="Times New Roman" w:hAnsi="Times New Roman" w:cs="Times New Roman"/>
          <w:color w:val="000000"/>
          <w:sz w:val="20"/>
          <w:szCs w:val="20"/>
          <w:lang w:val="tr-TR" w:eastAsia="tr-TR"/>
        </w:rPr>
        <w:t>According</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to</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current</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classification</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criteria</w:t>
      </w:r>
      <w:proofErr w:type="spellEnd"/>
      <w:r w:rsidRPr="00716BBA">
        <w:rPr>
          <w:rFonts w:ascii="Times New Roman" w:eastAsia="Times New Roman" w:hAnsi="Times New Roman" w:cs="Times New Roman"/>
          <w:color w:val="000000"/>
          <w:sz w:val="20"/>
          <w:szCs w:val="20"/>
          <w:lang w:val="tr-TR" w:eastAsia="tr-TR"/>
        </w:rPr>
        <w:t xml:space="preserve"> (ILAR </w:t>
      </w:r>
      <w:proofErr w:type="spellStart"/>
      <w:r w:rsidRPr="00716BBA">
        <w:rPr>
          <w:rFonts w:ascii="Times New Roman" w:eastAsia="Times New Roman" w:hAnsi="Times New Roman" w:cs="Times New Roman"/>
          <w:color w:val="000000"/>
          <w:sz w:val="20"/>
          <w:szCs w:val="20"/>
          <w:lang w:val="tr-TR" w:eastAsia="tr-TR"/>
        </w:rPr>
        <w:t>and</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evolving</w:t>
      </w:r>
      <w:proofErr w:type="spellEnd"/>
      <w:r w:rsidRPr="00716BBA">
        <w:rPr>
          <w:rFonts w:ascii="Times New Roman" w:eastAsia="Times New Roman" w:hAnsi="Times New Roman" w:cs="Times New Roman"/>
          <w:color w:val="000000"/>
          <w:sz w:val="20"/>
          <w:szCs w:val="20"/>
          <w:lang w:val="tr-TR" w:eastAsia="tr-TR"/>
        </w:rPr>
        <w:t xml:space="preserve"> PRINTO </w:t>
      </w:r>
      <w:proofErr w:type="spellStart"/>
      <w:r w:rsidRPr="00716BBA">
        <w:rPr>
          <w:rFonts w:ascii="Times New Roman" w:eastAsia="Times New Roman" w:hAnsi="Times New Roman" w:cs="Times New Roman"/>
          <w:color w:val="000000"/>
          <w:sz w:val="20"/>
          <w:szCs w:val="20"/>
          <w:lang w:val="tr-TR" w:eastAsia="tr-TR"/>
        </w:rPr>
        <w:t>definitions</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the</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diagnosis</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and</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classification</w:t>
      </w:r>
      <w:proofErr w:type="spellEnd"/>
      <w:r w:rsidRPr="00716BBA">
        <w:rPr>
          <w:rFonts w:ascii="Times New Roman" w:eastAsia="Times New Roman" w:hAnsi="Times New Roman" w:cs="Times New Roman"/>
          <w:color w:val="000000"/>
          <w:sz w:val="20"/>
          <w:szCs w:val="20"/>
          <w:lang w:val="tr-TR" w:eastAsia="tr-TR"/>
        </w:rPr>
        <w:t xml:space="preserve"> of </w:t>
      </w:r>
      <w:proofErr w:type="spellStart"/>
      <w:r w:rsidRPr="00716BBA">
        <w:rPr>
          <w:rFonts w:ascii="Times New Roman" w:eastAsia="Times New Roman" w:hAnsi="Times New Roman" w:cs="Times New Roman"/>
          <w:color w:val="000000"/>
          <w:sz w:val="20"/>
          <w:szCs w:val="20"/>
          <w:lang w:val="tr-TR" w:eastAsia="tr-TR"/>
        </w:rPr>
        <w:t>Enthesitis-Related</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Arthritis</w:t>
      </w:r>
      <w:proofErr w:type="spellEnd"/>
      <w:r w:rsidRPr="00716BBA">
        <w:rPr>
          <w:rFonts w:ascii="Times New Roman" w:eastAsia="Times New Roman" w:hAnsi="Times New Roman" w:cs="Times New Roman"/>
          <w:color w:val="000000"/>
          <w:sz w:val="20"/>
          <w:szCs w:val="20"/>
          <w:lang w:val="tr-TR" w:eastAsia="tr-TR"/>
        </w:rPr>
        <w:t xml:space="preserve"> (ERA) </w:t>
      </w:r>
      <w:proofErr w:type="spellStart"/>
      <w:r w:rsidRPr="00716BBA">
        <w:rPr>
          <w:rFonts w:ascii="Times New Roman" w:eastAsia="Times New Roman" w:hAnsi="Times New Roman" w:cs="Times New Roman"/>
          <w:color w:val="000000"/>
          <w:sz w:val="20"/>
          <w:szCs w:val="20"/>
          <w:lang w:val="tr-TR" w:eastAsia="tr-TR"/>
        </w:rPr>
        <w:t>require</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the</w:t>
      </w:r>
      <w:proofErr w:type="spellEnd"/>
      <w:r w:rsidRPr="00716BBA">
        <w:rPr>
          <w:rFonts w:ascii="Times New Roman" w:eastAsia="Times New Roman" w:hAnsi="Times New Roman" w:cs="Times New Roman"/>
          <w:color w:val="000000"/>
          <w:sz w:val="20"/>
          <w:szCs w:val="20"/>
          <w:lang w:val="tr-TR" w:eastAsia="tr-TR"/>
        </w:rPr>
        <w:t xml:space="preserve"> presence of </w:t>
      </w:r>
      <w:proofErr w:type="spellStart"/>
      <w:r w:rsidRPr="00716BBA">
        <w:rPr>
          <w:rFonts w:ascii="Times New Roman" w:eastAsia="Times New Roman" w:hAnsi="Times New Roman" w:cs="Times New Roman"/>
          <w:color w:val="000000"/>
          <w:sz w:val="20"/>
          <w:szCs w:val="20"/>
          <w:lang w:val="tr-TR" w:eastAsia="tr-TR"/>
        </w:rPr>
        <w:t>arthritis</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and</w:t>
      </w:r>
      <w:proofErr w:type="spellEnd"/>
      <w:r w:rsidRPr="00716BBA">
        <w:rPr>
          <w:rFonts w:ascii="Times New Roman" w:eastAsia="Times New Roman" w:hAnsi="Times New Roman" w:cs="Times New Roman"/>
          <w:color w:val="000000"/>
          <w:sz w:val="20"/>
          <w:szCs w:val="20"/>
          <w:lang w:val="tr-TR" w:eastAsia="tr-TR"/>
        </w:rPr>
        <w:t xml:space="preserve">/or </w:t>
      </w:r>
      <w:proofErr w:type="spellStart"/>
      <w:r w:rsidRPr="00716BBA">
        <w:rPr>
          <w:rFonts w:ascii="Times New Roman" w:eastAsia="Times New Roman" w:hAnsi="Times New Roman" w:cs="Times New Roman"/>
          <w:color w:val="000000"/>
          <w:sz w:val="20"/>
          <w:szCs w:val="20"/>
          <w:lang w:val="tr-TR" w:eastAsia="tr-TR"/>
        </w:rPr>
        <w:t>enthesitis</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supported</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by</w:t>
      </w:r>
      <w:proofErr w:type="spellEnd"/>
      <w:r w:rsidRPr="00716BBA">
        <w:rPr>
          <w:rFonts w:ascii="Times New Roman" w:eastAsia="Times New Roman" w:hAnsi="Times New Roman" w:cs="Times New Roman"/>
          <w:color w:val="000000"/>
          <w:sz w:val="20"/>
          <w:szCs w:val="20"/>
          <w:lang w:val="tr-TR" w:eastAsia="tr-TR"/>
        </w:rPr>
        <w:t xml:space="preserve"> a </w:t>
      </w:r>
      <w:proofErr w:type="spellStart"/>
      <w:r w:rsidRPr="00716BBA">
        <w:rPr>
          <w:rFonts w:ascii="Times New Roman" w:eastAsia="Times New Roman" w:hAnsi="Times New Roman" w:cs="Times New Roman"/>
          <w:color w:val="000000"/>
          <w:sz w:val="20"/>
          <w:szCs w:val="20"/>
          <w:lang w:val="tr-TR" w:eastAsia="tr-TR"/>
        </w:rPr>
        <w:t>combination</w:t>
      </w:r>
      <w:proofErr w:type="spellEnd"/>
      <w:r w:rsidRPr="00716BBA">
        <w:rPr>
          <w:rFonts w:ascii="Times New Roman" w:eastAsia="Times New Roman" w:hAnsi="Times New Roman" w:cs="Times New Roman"/>
          <w:color w:val="000000"/>
          <w:sz w:val="20"/>
          <w:szCs w:val="20"/>
          <w:lang w:val="tr-TR" w:eastAsia="tr-TR"/>
        </w:rPr>
        <w:t xml:space="preserve"> of </w:t>
      </w:r>
      <w:proofErr w:type="spellStart"/>
      <w:r w:rsidRPr="00716BBA">
        <w:rPr>
          <w:rFonts w:ascii="Times New Roman" w:eastAsia="Times New Roman" w:hAnsi="Times New Roman" w:cs="Times New Roman"/>
          <w:color w:val="000000"/>
          <w:sz w:val="20"/>
          <w:szCs w:val="20"/>
          <w:lang w:val="tr-TR" w:eastAsia="tr-TR"/>
        </w:rPr>
        <w:t>characteristic</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clinical</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laboratory</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and</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genetic</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findings</w:t>
      </w:r>
      <w:proofErr w:type="spellEnd"/>
      <w:r w:rsidRPr="00716BBA">
        <w:rPr>
          <w:rFonts w:ascii="Times New Roman" w:eastAsia="Times New Roman" w:hAnsi="Times New Roman" w:cs="Times New Roman"/>
          <w:color w:val="000000"/>
          <w:sz w:val="20"/>
          <w:szCs w:val="20"/>
          <w:lang w:val="tr-TR" w:eastAsia="tr-TR"/>
        </w:rPr>
        <w:t>.</w:t>
      </w:r>
    </w:p>
    <w:p w14:paraId="0BB4ACEC" w14:textId="77777777" w:rsidR="00716BBA" w:rsidRPr="00716BBA" w:rsidRDefault="00716BBA" w:rsidP="00716BBA">
      <w:pPr>
        <w:shd w:val="clear" w:color="auto" w:fill="FFFFFF"/>
        <w:spacing w:after="0"/>
        <w:rPr>
          <w:rFonts w:ascii="Times New Roman" w:eastAsia="Times New Roman" w:hAnsi="Times New Roman" w:cs="Times New Roman"/>
          <w:color w:val="000000"/>
          <w:sz w:val="20"/>
          <w:szCs w:val="20"/>
          <w:lang w:val="tr-TR" w:eastAsia="tr-TR"/>
        </w:rPr>
      </w:pPr>
      <w:proofErr w:type="spellStart"/>
      <w:r w:rsidRPr="00716BBA">
        <w:rPr>
          <w:rFonts w:ascii="Times New Roman" w:eastAsia="Times New Roman" w:hAnsi="Times New Roman" w:cs="Times New Roman"/>
          <w:color w:val="000000"/>
          <w:sz w:val="20"/>
          <w:szCs w:val="20"/>
          <w:lang w:val="tr-TR" w:eastAsia="tr-TR"/>
        </w:rPr>
        <w:t>Core</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Classification</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Criteria</w:t>
      </w:r>
      <w:proofErr w:type="spellEnd"/>
    </w:p>
    <w:p w14:paraId="2D5A8066" w14:textId="77777777" w:rsidR="00716BBA" w:rsidRPr="00716BBA" w:rsidRDefault="00716BBA" w:rsidP="00716BBA">
      <w:pPr>
        <w:shd w:val="clear" w:color="auto" w:fill="FFFFFF"/>
        <w:spacing w:after="0"/>
        <w:rPr>
          <w:rFonts w:ascii="Times New Roman" w:eastAsia="Times New Roman" w:hAnsi="Times New Roman" w:cs="Times New Roman"/>
          <w:color w:val="000000"/>
          <w:sz w:val="20"/>
          <w:szCs w:val="20"/>
          <w:lang w:val="tr-TR" w:eastAsia="tr-TR"/>
        </w:rPr>
      </w:pPr>
      <w:r w:rsidRPr="00716BBA">
        <w:rPr>
          <w:rFonts w:ascii="Times New Roman" w:eastAsia="Times New Roman" w:hAnsi="Times New Roman" w:cs="Times New Roman"/>
          <w:color w:val="000000"/>
          <w:sz w:val="20"/>
          <w:szCs w:val="20"/>
          <w:lang w:val="tr-TR" w:eastAsia="tr-TR"/>
        </w:rPr>
        <w:t xml:space="preserve">A </w:t>
      </w:r>
      <w:proofErr w:type="spellStart"/>
      <w:r w:rsidRPr="00716BBA">
        <w:rPr>
          <w:rFonts w:ascii="Times New Roman" w:eastAsia="Times New Roman" w:hAnsi="Times New Roman" w:cs="Times New Roman"/>
          <w:color w:val="000000"/>
          <w:sz w:val="20"/>
          <w:szCs w:val="20"/>
          <w:lang w:val="tr-TR" w:eastAsia="tr-TR"/>
        </w:rPr>
        <w:t>definitive</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classification</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requires</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the</w:t>
      </w:r>
      <w:proofErr w:type="spellEnd"/>
      <w:r w:rsidRPr="00716BBA">
        <w:rPr>
          <w:rFonts w:ascii="Times New Roman" w:eastAsia="Times New Roman" w:hAnsi="Times New Roman" w:cs="Times New Roman"/>
          <w:color w:val="000000"/>
          <w:sz w:val="20"/>
          <w:szCs w:val="20"/>
          <w:lang w:val="tr-TR" w:eastAsia="tr-TR"/>
        </w:rPr>
        <w:t xml:space="preserve"> presence of </w:t>
      </w:r>
      <w:proofErr w:type="spellStart"/>
      <w:r w:rsidRPr="00716BBA">
        <w:rPr>
          <w:rFonts w:ascii="Times New Roman" w:eastAsia="Times New Roman" w:hAnsi="Times New Roman" w:cs="Times New Roman"/>
          <w:color w:val="000000"/>
          <w:sz w:val="20"/>
          <w:szCs w:val="20"/>
          <w:lang w:val="tr-TR" w:eastAsia="tr-TR"/>
        </w:rPr>
        <w:t>Arthritis</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and</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Enthesitis</w:t>
      </w:r>
      <w:proofErr w:type="spellEnd"/>
      <w:r w:rsidRPr="00716BBA">
        <w:rPr>
          <w:rFonts w:ascii="Times New Roman" w:eastAsia="Times New Roman" w:hAnsi="Times New Roman" w:cs="Times New Roman"/>
          <w:color w:val="000000"/>
          <w:sz w:val="20"/>
          <w:szCs w:val="20"/>
          <w:lang w:val="tr-TR" w:eastAsia="tr-TR"/>
        </w:rPr>
        <w:t xml:space="preserve">, OR </w:t>
      </w:r>
      <w:proofErr w:type="spellStart"/>
      <w:r w:rsidRPr="00716BBA">
        <w:rPr>
          <w:rFonts w:ascii="Times New Roman" w:eastAsia="Times New Roman" w:hAnsi="Times New Roman" w:cs="Times New Roman"/>
          <w:color w:val="000000"/>
          <w:sz w:val="20"/>
          <w:szCs w:val="20"/>
          <w:lang w:val="tr-TR" w:eastAsia="tr-TR"/>
        </w:rPr>
        <w:t>either</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Arthritis</w:t>
      </w:r>
      <w:proofErr w:type="spellEnd"/>
      <w:r w:rsidRPr="00716BBA">
        <w:rPr>
          <w:rFonts w:ascii="Times New Roman" w:eastAsia="Times New Roman" w:hAnsi="Times New Roman" w:cs="Times New Roman"/>
          <w:color w:val="000000"/>
          <w:sz w:val="20"/>
          <w:szCs w:val="20"/>
          <w:lang w:val="tr-TR" w:eastAsia="tr-TR"/>
        </w:rPr>
        <w:t xml:space="preserve"> or </w:t>
      </w:r>
      <w:proofErr w:type="spellStart"/>
      <w:r w:rsidRPr="00716BBA">
        <w:rPr>
          <w:rFonts w:ascii="Times New Roman" w:eastAsia="Times New Roman" w:hAnsi="Times New Roman" w:cs="Times New Roman"/>
          <w:color w:val="000000"/>
          <w:sz w:val="20"/>
          <w:szCs w:val="20"/>
          <w:lang w:val="tr-TR" w:eastAsia="tr-TR"/>
        </w:rPr>
        <w:t>Enthesitis</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plus</w:t>
      </w:r>
      <w:proofErr w:type="spellEnd"/>
      <w:r w:rsidRPr="00716BBA">
        <w:rPr>
          <w:rFonts w:ascii="Times New Roman" w:eastAsia="Times New Roman" w:hAnsi="Times New Roman" w:cs="Times New Roman"/>
          <w:color w:val="000000"/>
          <w:sz w:val="20"/>
          <w:szCs w:val="20"/>
          <w:lang w:val="tr-TR" w:eastAsia="tr-TR"/>
        </w:rPr>
        <w:t xml:space="preserve"> at </w:t>
      </w:r>
      <w:proofErr w:type="spellStart"/>
      <w:r w:rsidRPr="00716BBA">
        <w:rPr>
          <w:rFonts w:ascii="Times New Roman" w:eastAsia="Times New Roman" w:hAnsi="Times New Roman" w:cs="Times New Roman"/>
          <w:color w:val="000000"/>
          <w:sz w:val="20"/>
          <w:szCs w:val="20"/>
          <w:lang w:val="tr-TR" w:eastAsia="tr-TR"/>
        </w:rPr>
        <w:t>least</w:t>
      </w:r>
      <w:proofErr w:type="spellEnd"/>
      <w:r w:rsidRPr="00716BBA">
        <w:rPr>
          <w:rFonts w:ascii="Times New Roman" w:eastAsia="Times New Roman" w:hAnsi="Times New Roman" w:cs="Times New Roman"/>
          <w:color w:val="000000"/>
          <w:sz w:val="20"/>
          <w:szCs w:val="20"/>
          <w:lang w:val="tr-TR" w:eastAsia="tr-TR"/>
        </w:rPr>
        <w:t xml:space="preserve"> two of </w:t>
      </w:r>
      <w:proofErr w:type="spellStart"/>
      <w:r w:rsidRPr="00716BBA">
        <w:rPr>
          <w:rFonts w:ascii="Times New Roman" w:eastAsia="Times New Roman" w:hAnsi="Times New Roman" w:cs="Times New Roman"/>
          <w:color w:val="000000"/>
          <w:sz w:val="20"/>
          <w:szCs w:val="20"/>
          <w:lang w:val="tr-TR" w:eastAsia="tr-TR"/>
        </w:rPr>
        <w:t>the</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following</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supporting</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features</w:t>
      </w:r>
      <w:proofErr w:type="spellEnd"/>
      <w:r w:rsidRPr="00716BBA">
        <w:rPr>
          <w:rFonts w:ascii="Times New Roman" w:eastAsia="Times New Roman" w:hAnsi="Times New Roman" w:cs="Times New Roman"/>
          <w:color w:val="000000"/>
          <w:sz w:val="20"/>
          <w:szCs w:val="20"/>
          <w:lang w:val="tr-TR" w:eastAsia="tr-TR"/>
        </w:rPr>
        <w:t>:</w:t>
      </w:r>
    </w:p>
    <w:p w14:paraId="03FC9868" w14:textId="77777777" w:rsidR="00716BBA" w:rsidRPr="00716BBA" w:rsidRDefault="00716BBA" w:rsidP="00716BBA">
      <w:pPr>
        <w:shd w:val="clear" w:color="auto" w:fill="FFFFFF"/>
        <w:spacing w:after="0"/>
        <w:rPr>
          <w:rFonts w:ascii="Times New Roman" w:eastAsia="Times New Roman" w:hAnsi="Times New Roman" w:cs="Times New Roman"/>
          <w:color w:val="000000"/>
          <w:sz w:val="20"/>
          <w:szCs w:val="20"/>
          <w:lang w:val="tr-TR" w:eastAsia="tr-TR"/>
        </w:rPr>
      </w:pPr>
      <w:proofErr w:type="spellStart"/>
      <w:r w:rsidRPr="00716BBA">
        <w:rPr>
          <w:rFonts w:ascii="Times New Roman" w:eastAsia="Times New Roman" w:hAnsi="Times New Roman" w:cs="Times New Roman"/>
          <w:color w:val="000000"/>
          <w:sz w:val="20"/>
          <w:szCs w:val="20"/>
          <w:lang w:val="tr-TR" w:eastAsia="tr-TR"/>
        </w:rPr>
        <w:t>Sacroiliac</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Joint</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Tenderness</w:t>
      </w:r>
      <w:proofErr w:type="spellEnd"/>
      <w:r w:rsidRPr="00716BBA">
        <w:rPr>
          <w:rFonts w:ascii="Times New Roman" w:eastAsia="Times New Roman" w:hAnsi="Times New Roman" w:cs="Times New Roman"/>
          <w:color w:val="000000"/>
          <w:sz w:val="20"/>
          <w:szCs w:val="20"/>
          <w:lang w:val="tr-TR" w:eastAsia="tr-TR"/>
        </w:rPr>
        <w:t xml:space="preserve"> or </w:t>
      </w:r>
      <w:proofErr w:type="spellStart"/>
      <w:r w:rsidRPr="00716BBA">
        <w:rPr>
          <w:rFonts w:ascii="Times New Roman" w:eastAsia="Times New Roman" w:hAnsi="Times New Roman" w:cs="Times New Roman"/>
          <w:color w:val="000000"/>
          <w:sz w:val="20"/>
          <w:szCs w:val="20"/>
          <w:lang w:val="tr-TR" w:eastAsia="tr-TR"/>
        </w:rPr>
        <w:t>Inflammatory</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Back</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Pain</w:t>
      </w:r>
      <w:proofErr w:type="spellEnd"/>
      <w:r w:rsidRPr="00716BBA">
        <w:rPr>
          <w:rFonts w:ascii="Times New Roman" w:eastAsia="Times New Roman" w:hAnsi="Times New Roman" w:cs="Times New Roman"/>
          <w:color w:val="000000"/>
          <w:sz w:val="20"/>
          <w:szCs w:val="20"/>
          <w:lang w:val="tr-TR" w:eastAsia="tr-TR"/>
        </w:rPr>
        <w:t xml:space="preserve">: Presence of a </w:t>
      </w:r>
      <w:proofErr w:type="spellStart"/>
      <w:r w:rsidRPr="00716BBA">
        <w:rPr>
          <w:rFonts w:ascii="Times New Roman" w:eastAsia="Times New Roman" w:hAnsi="Times New Roman" w:cs="Times New Roman"/>
          <w:color w:val="000000"/>
          <w:sz w:val="20"/>
          <w:szCs w:val="20"/>
          <w:lang w:val="tr-TR" w:eastAsia="tr-TR"/>
        </w:rPr>
        <w:t>history</w:t>
      </w:r>
      <w:proofErr w:type="spellEnd"/>
      <w:r w:rsidRPr="00716BBA">
        <w:rPr>
          <w:rFonts w:ascii="Times New Roman" w:eastAsia="Times New Roman" w:hAnsi="Times New Roman" w:cs="Times New Roman"/>
          <w:color w:val="000000"/>
          <w:sz w:val="20"/>
          <w:szCs w:val="20"/>
          <w:lang w:val="tr-TR" w:eastAsia="tr-TR"/>
        </w:rPr>
        <w:t xml:space="preserve"> of </w:t>
      </w:r>
      <w:proofErr w:type="spellStart"/>
      <w:r w:rsidRPr="00716BBA">
        <w:rPr>
          <w:rFonts w:ascii="Times New Roman" w:eastAsia="Times New Roman" w:hAnsi="Times New Roman" w:cs="Times New Roman"/>
          <w:color w:val="000000"/>
          <w:sz w:val="20"/>
          <w:szCs w:val="20"/>
          <w:lang w:val="tr-TR" w:eastAsia="tr-TR"/>
        </w:rPr>
        <w:t>inflammatory</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back</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pain</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worse</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with</w:t>
      </w:r>
      <w:proofErr w:type="spellEnd"/>
      <w:r w:rsidRPr="00716BBA">
        <w:rPr>
          <w:rFonts w:ascii="Times New Roman" w:eastAsia="Times New Roman" w:hAnsi="Times New Roman" w:cs="Times New Roman"/>
          <w:color w:val="000000"/>
          <w:sz w:val="20"/>
          <w:szCs w:val="20"/>
          <w:lang w:val="tr-TR" w:eastAsia="tr-TR"/>
        </w:rPr>
        <w:t xml:space="preserve"> rest, </w:t>
      </w:r>
      <w:proofErr w:type="spellStart"/>
      <w:r w:rsidRPr="00716BBA">
        <w:rPr>
          <w:rFonts w:ascii="Times New Roman" w:eastAsia="Times New Roman" w:hAnsi="Times New Roman" w:cs="Times New Roman"/>
          <w:color w:val="000000"/>
          <w:sz w:val="20"/>
          <w:szCs w:val="20"/>
          <w:lang w:val="tr-TR" w:eastAsia="tr-TR"/>
        </w:rPr>
        <w:t>improving</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with</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activity</w:t>
      </w:r>
      <w:proofErr w:type="spellEnd"/>
      <w:r w:rsidRPr="00716BBA">
        <w:rPr>
          <w:rFonts w:ascii="Times New Roman" w:eastAsia="Times New Roman" w:hAnsi="Times New Roman" w:cs="Times New Roman"/>
          <w:color w:val="000000"/>
          <w:sz w:val="20"/>
          <w:szCs w:val="20"/>
          <w:lang w:val="tr-TR" w:eastAsia="tr-TR"/>
        </w:rPr>
        <w:t xml:space="preserve">) or </w:t>
      </w:r>
      <w:proofErr w:type="spellStart"/>
      <w:r w:rsidRPr="00716BBA">
        <w:rPr>
          <w:rFonts w:ascii="Times New Roman" w:eastAsia="Times New Roman" w:hAnsi="Times New Roman" w:cs="Times New Roman"/>
          <w:color w:val="000000"/>
          <w:sz w:val="20"/>
          <w:szCs w:val="20"/>
          <w:lang w:val="tr-TR" w:eastAsia="tr-TR"/>
        </w:rPr>
        <w:t>objective</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lumbosacral</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pain</w:t>
      </w:r>
      <w:proofErr w:type="spellEnd"/>
      <w:r w:rsidRPr="00716BBA">
        <w:rPr>
          <w:rFonts w:ascii="Times New Roman" w:eastAsia="Times New Roman" w:hAnsi="Times New Roman" w:cs="Times New Roman"/>
          <w:color w:val="000000"/>
          <w:sz w:val="20"/>
          <w:szCs w:val="20"/>
          <w:lang w:val="tr-TR" w:eastAsia="tr-TR"/>
        </w:rPr>
        <w:t>/</w:t>
      </w:r>
      <w:proofErr w:type="spellStart"/>
      <w:r w:rsidRPr="00716BBA">
        <w:rPr>
          <w:rFonts w:ascii="Times New Roman" w:eastAsia="Times New Roman" w:hAnsi="Times New Roman" w:cs="Times New Roman"/>
          <w:color w:val="000000"/>
          <w:sz w:val="20"/>
          <w:szCs w:val="20"/>
          <w:lang w:val="tr-TR" w:eastAsia="tr-TR"/>
        </w:rPr>
        <w:t>tenderness</w:t>
      </w:r>
      <w:proofErr w:type="spellEnd"/>
      <w:r w:rsidRPr="00716BBA">
        <w:rPr>
          <w:rFonts w:ascii="Times New Roman" w:eastAsia="Times New Roman" w:hAnsi="Times New Roman" w:cs="Times New Roman"/>
          <w:color w:val="000000"/>
          <w:sz w:val="20"/>
          <w:szCs w:val="20"/>
          <w:lang w:val="tr-TR" w:eastAsia="tr-TR"/>
        </w:rPr>
        <w:t xml:space="preserve"> on </w:t>
      </w:r>
      <w:proofErr w:type="spellStart"/>
      <w:r w:rsidRPr="00716BBA">
        <w:rPr>
          <w:rFonts w:ascii="Times New Roman" w:eastAsia="Times New Roman" w:hAnsi="Times New Roman" w:cs="Times New Roman"/>
          <w:color w:val="000000"/>
          <w:sz w:val="20"/>
          <w:szCs w:val="20"/>
          <w:lang w:val="tr-TR" w:eastAsia="tr-TR"/>
        </w:rPr>
        <w:t>examination</w:t>
      </w:r>
      <w:proofErr w:type="spellEnd"/>
      <w:r w:rsidRPr="00716BBA">
        <w:rPr>
          <w:rFonts w:ascii="Times New Roman" w:eastAsia="Times New Roman" w:hAnsi="Times New Roman" w:cs="Times New Roman"/>
          <w:color w:val="000000"/>
          <w:sz w:val="20"/>
          <w:szCs w:val="20"/>
          <w:lang w:val="tr-TR" w:eastAsia="tr-TR"/>
        </w:rPr>
        <w:t>.</w:t>
      </w:r>
    </w:p>
    <w:p w14:paraId="0C6F8EF9" w14:textId="77777777" w:rsidR="00716BBA" w:rsidRPr="00716BBA" w:rsidRDefault="00716BBA" w:rsidP="00716BBA">
      <w:pPr>
        <w:shd w:val="clear" w:color="auto" w:fill="FFFFFF"/>
        <w:spacing w:after="0"/>
        <w:rPr>
          <w:rFonts w:ascii="Times New Roman" w:eastAsia="Times New Roman" w:hAnsi="Times New Roman" w:cs="Times New Roman"/>
          <w:color w:val="000000"/>
          <w:sz w:val="20"/>
          <w:szCs w:val="20"/>
          <w:lang w:val="tr-TR" w:eastAsia="tr-TR"/>
        </w:rPr>
      </w:pPr>
      <w:r w:rsidRPr="00716BBA">
        <w:rPr>
          <w:rFonts w:ascii="Times New Roman" w:eastAsia="Times New Roman" w:hAnsi="Times New Roman" w:cs="Times New Roman"/>
          <w:color w:val="000000"/>
          <w:sz w:val="20"/>
          <w:szCs w:val="20"/>
          <w:lang w:val="tr-TR" w:eastAsia="tr-TR"/>
        </w:rPr>
        <w:t xml:space="preserve">HLA-B27 </w:t>
      </w:r>
      <w:proofErr w:type="spellStart"/>
      <w:r w:rsidRPr="00716BBA">
        <w:rPr>
          <w:rFonts w:ascii="Times New Roman" w:eastAsia="Times New Roman" w:hAnsi="Times New Roman" w:cs="Times New Roman"/>
          <w:color w:val="000000"/>
          <w:sz w:val="20"/>
          <w:szCs w:val="20"/>
          <w:lang w:val="tr-TR" w:eastAsia="tr-TR"/>
        </w:rPr>
        <w:t>Positivity</w:t>
      </w:r>
      <w:proofErr w:type="spellEnd"/>
      <w:r w:rsidRPr="00716BBA">
        <w:rPr>
          <w:rFonts w:ascii="Times New Roman" w:eastAsia="Times New Roman" w:hAnsi="Times New Roman" w:cs="Times New Roman"/>
          <w:color w:val="000000"/>
          <w:sz w:val="20"/>
          <w:szCs w:val="20"/>
          <w:lang w:val="tr-TR" w:eastAsia="tr-TR"/>
        </w:rPr>
        <w:t xml:space="preserve">: Presence of </w:t>
      </w:r>
      <w:proofErr w:type="spellStart"/>
      <w:r w:rsidRPr="00716BBA">
        <w:rPr>
          <w:rFonts w:ascii="Times New Roman" w:eastAsia="Times New Roman" w:hAnsi="Times New Roman" w:cs="Times New Roman"/>
          <w:color w:val="000000"/>
          <w:sz w:val="20"/>
          <w:szCs w:val="20"/>
          <w:lang w:val="tr-TR" w:eastAsia="tr-TR"/>
        </w:rPr>
        <w:t>the</w:t>
      </w:r>
      <w:proofErr w:type="spellEnd"/>
      <w:r w:rsidRPr="00716BBA">
        <w:rPr>
          <w:rFonts w:ascii="Times New Roman" w:eastAsia="Times New Roman" w:hAnsi="Times New Roman" w:cs="Times New Roman"/>
          <w:color w:val="000000"/>
          <w:sz w:val="20"/>
          <w:szCs w:val="20"/>
          <w:lang w:val="tr-TR" w:eastAsia="tr-TR"/>
        </w:rPr>
        <w:t xml:space="preserve"> HLA-B27 antigen.</w:t>
      </w:r>
    </w:p>
    <w:p w14:paraId="2ECC9AFC" w14:textId="77777777" w:rsidR="00716BBA" w:rsidRPr="00716BBA" w:rsidRDefault="00716BBA" w:rsidP="00716BBA">
      <w:pPr>
        <w:shd w:val="clear" w:color="auto" w:fill="FFFFFF"/>
        <w:spacing w:after="0"/>
        <w:rPr>
          <w:rFonts w:ascii="Times New Roman" w:eastAsia="Times New Roman" w:hAnsi="Times New Roman" w:cs="Times New Roman"/>
          <w:color w:val="000000"/>
          <w:sz w:val="20"/>
          <w:szCs w:val="20"/>
          <w:lang w:val="tr-TR" w:eastAsia="tr-TR"/>
        </w:rPr>
      </w:pPr>
      <w:proofErr w:type="spellStart"/>
      <w:r w:rsidRPr="00716BBA">
        <w:rPr>
          <w:rFonts w:ascii="Times New Roman" w:eastAsia="Times New Roman" w:hAnsi="Times New Roman" w:cs="Times New Roman"/>
          <w:color w:val="000000"/>
          <w:sz w:val="20"/>
          <w:szCs w:val="20"/>
          <w:lang w:val="tr-TR" w:eastAsia="tr-TR"/>
        </w:rPr>
        <w:t>Family</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History</w:t>
      </w:r>
      <w:proofErr w:type="spellEnd"/>
      <w:r w:rsidRPr="00716BBA">
        <w:rPr>
          <w:rFonts w:ascii="Times New Roman" w:eastAsia="Times New Roman" w:hAnsi="Times New Roman" w:cs="Times New Roman"/>
          <w:color w:val="000000"/>
          <w:sz w:val="20"/>
          <w:szCs w:val="20"/>
          <w:lang w:val="tr-TR" w:eastAsia="tr-TR"/>
        </w:rPr>
        <w:t xml:space="preserve">: A </w:t>
      </w:r>
      <w:proofErr w:type="spellStart"/>
      <w:r w:rsidRPr="00716BBA">
        <w:rPr>
          <w:rFonts w:ascii="Times New Roman" w:eastAsia="Times New Roman" w:hAnsi="Times New Roman" w:cs="Times New Roman"/>
          <w:color w:val="000000"/>
          <w:sz w:val="20"/>
          <w:szCs w:val="20"/>
          <w:lang w:val="tr-TR" w:eastAsia="tr-TR"/>
        </w:rPr>
        <w:t>documented</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first-degree</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relative</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with</w:t>
      </w:r>
      <w:proofErr w:type="spellEnd"/>
      <w:r w:rsidRPr="00716BBA">
        <w:rPr>
          <w:rFonts w:ascii="Times New Roman" w:eastAsia="Times New Roman" w:hAnsi="Times New Roman" w:cs="Times New Roman"/>
          <w:color w:val="000000"/>
          <w:sz w:val="20"/>
          <w:szCs w:val="20"/>
          <w:lang w:val="tr-TR" w:eastAsia="tr-TR"/>
        </w:rPr>
        <w:t xml:space="preserve"> an HLA-B27-associated </w:t>
      </w:r>
      <w:proofErr w:type="spellStart"/>
      <w:r w:rsidRPr="00716BBA">
        <w:rPr>
          <w:rFonts w:ascii="Times New Roman" w:eastAsia="Times New Roman" w:hAnsi="Times New Roman" w:cs="Times New Roman"/>
          <w:color w:val="000000"/>
          <w:sz w:val="20"/>
          <w:szCs w:val="20"/>
          <w:lang w:val="tr-TR" w:eastAsia="tr-TR"/>
        </w:rPr>
        <w:t>disease</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e.g</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ankylosing</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spondylitis</w:t>
      </w:r>
      <w:proofErr w:type="spellEnd"/>
      <w:r w:rsidRPr="00716BBA">
        <w:rPr>
          <w:rFonts w:ascii="Times New Roman" w:eastAsia="Times New Roman" w:hAnsi="Times New Roman" w:cs="Times New Roman"/>
          <w:color w:val="000000"/>
          <w:sz w:val="20"/>
          <w:szCs w:val="20"/>
          <w:lang w:val="tr-TR" w:eastAsia="tr-TR"/>
        </w:rPr>
        <w:t xml:space="preserve">, ERA, </w:t>
      </w:r>
      <w:proofErr w:type="spellStart"/>
      <w:r w:rsidRPr="00716BBA">
        <w:rPr>
          <w:rFonts w:ascii="Times New Roman" w:eastAsia="Times New Roman" w:hAnsi="Times New Roman" w:cs="Times New Roman"/>
          <w:color w:val="000000"/>
          <w:sz w:val="20"/>
          <w:szCs w:val="20"/>
          <w:lang w:val="tr-TR" w:eastAsia="tr-TR"/>
        </w:rPr>
        <w:t>acute</w:t>
      </w:r>
      <w:proofErr w:type="spellEnd"/>
      <w:r w:rsidRPr="00716BBA">
        <w:rPr>
          <w:rFonts w:ascii="Times New Roman" w:eastAsia="Times New Roman" w:hAnsi="Times New Roman" w:cs="Times New Roman"/>
          <w:color w:val="000000"/>
          <w:sz w:val="20"/>
          <w:szCs w:val="20"/>
          <w:lang w:val="tr-TR" w:eastAsia="tr-TR"/>
        </w:rPr>
        <w:t xml:space="preserve"> anterior </w:t>
      </w:r>
      <w:proofErr w:type="spellStart"/>
      <w:r w:rsidRPr="00716BBA">
        <w:rPr>
          <w:rFonts w:ascii="Times New Roman" w:eastAsia="Times New Roman" w:hAnsi="Times New Roman" w:cs="Times New Roman"/>
          <w:color w:val="000000"/>
          <w:sz w:val="20"/>
          <w:szCs w:val="20"/>
          <w:lang w:val="tr-TR" w:eastAsia="tr-TR"/>
        </w:rPr>
        <w:t>uveitis</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inflammatory</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bowel</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disease</w:t>
      </w:r>
      <w:proofErr w:type="spellEnd"/>
      <w:r w:rsidRPr="00716BBA">
        <w:rPr>
          <w:rFonts w:ascii="Times New Roman" w:eastAsia="Times New Roman" w:hAnsi="Times New Roman" w:cs="Times New Roman"/>
          <w:color w:val="000000"/>
          <w:sz w:val="20"/>
          <w:szCs w:val="20"/>
          <w:lang w:val="tr-TR" w:eastAsia="tr-TR"/>
        </w:rPr>
        <w:t xml:space="preserve">, or </w:t>
      </w:r>
      <w:proofErr w:type="spellStart"/>
      <w:r w:rsidRPr="00716BBA">
        <w:rPr>
          <w:rFonts w:ascii="Times New Roman" w:eastAsia="Times New Roman" w:hAnsi="Times New Roman" w:cs="Times New Roman"/>
          <w:color w:val="000000"/>
          <w:sz w:val="20"/>
          <w:szCs w:val="20"/>
          <w:lang w:val="tr-TR" w:eastAsia="tr-TR"/>
        </w:rPr>
        <w:t>reactive</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arthritis</w:t>
      </w:r>
      <w:proofErr w:type="spellEnd"/>
      <w:r w:rsidRPr="00716BBA">
        <w:rPr>
          <w:rFonts w:ascii="Times New Roman" w:eastAsia="Times New Roman" w:hAnsi="Times New Roman" w:cs="Times New Roman"/>
          <w:color w:val="000000"/>
          <w:sz w:val="20"/>
          <w:szCs w:val="20"/>
          <w:lang w:val="tr-TR" w:eastAsia="tr-TR"/>
        </w:rPr>
        <w:t>).</w:t>
      </w:r>
    </w:p>
    <w:p w14:paraId="7A6275AF" w14:textId="77777777" w:rsidR="00716BBA" w:rsidRPr="00716BBA" w:rsidRDefault="00716BBA" w:rsidP="00716BBA">
      <w:pPr>
        <w:shd w:val="clear" w:color="auto" w:fill="FFFFFF"/>
        <w:spacing w:after="0"/>
        <w:rPr>
          <w:rFonts w:ascii="Times New Roman" w:eastAsia="Times New Roman" w:hAnsi="Times New Roman" w:cs="Times New Roman"/>
          <w:color w:val="000000"/>
          <w:sz w:val="20"/>
          <w:szCs w:val="20"/>
          <w:lang w:val="tr-TR" w:eastAsia="tr-TR"/>
        </w:rPr>
      </w:pPr>
      <w:proofErr w:type="spellStart"/>
      <w:r w:rsidRPr="00716BBA">
        <w:rPr>
          <w:rFonts w:ascii="Times New Roman" w:eastAsia="Times New Roman" w:hAnsi="Times New Roman" w:cs="Times New Roman"/>
          <w:color w:val="000000"/>
          <w:sz w:val="20"/>
          <w:szCs w:val="20"/>
          <w:lang w:val="tr-TR" w:eastAsia="tr-TR"/>
        </w:rPr>
        <w:t>Acute</w:t>
      </w:r>
      <w:proofErr w:type="spellEnd"/>
      <w:r w:rsidRPr="00716BBA">
        <w:rPr>
          <w:rFonts w:ascii="Times New Roman" w:eastAsia="Times New Roman" w:hAnsi="Times New Roman" w:cs="Times New Roman"/>
          <w:color w:val="000000"/>
          <w:sz w:val="20"/>
          <w:szCs w:val="20"/>
          <w:lang w:val="tr-TR" w:eastAsia="tr-TR"/>
        </w:rPr>
        <w:t xml:space="preserve"> Anterior </w:t>
      </w:r>
      <w:proofErr w:type="spellStart"/>
      <w:r w:rsidRPr="00716BBA">
        <w:rPr>
          <w:rFonts w:ascii="Times New Roman" w:eastAsia="Times New Roman" w:hAnsi="Times New Roman" w:cs="Times New Roman"/>
          <w:color w:val="000000"/>
          <w:sz w:val="20"/>
          <w:szCs w:val="20"/>
          <w:lang w:val="tr-TR" w:eastAsia="tr-TR"/>
        </w:rPr>
        <w:t>Uveitis</w:t>
      </w:r>
      <w:proofErr w:type="spellEnd"/>
      <w:r w:rsidRPr="00716BBA">
        <w:rPr>
          <w:rFonts w:ascii="Times New Roman" w:eastAsia="Times New Roman" w:hAnsi="Times New Roman" w:cs="Times New Roman"/>
          <w:color w:val="000000"/>
          <w:sz w:val="20"/>
          <w:szCs w:val="20"/>
          <w:lang w:val="tr-TR" w:eastAsia="tr-TR"/>
        </w:rPr>
        <w:t xml:space="preserve">: A </w:t>
      </w:r>
      <w:proofErr w:type="spellStart"/>
      <w:r w:rsidRPr="00716BBA">
        <w:rPr>
          <w:rFonts w:ascii="Times New Roman" w:eastAsia="Times New Roman" w:hAnsi="Times New Roman" w:cs="Times New Roman"/>
          <w:color w:val="000000"/>
          <w:sz w:val="20"/>
          <w:szCs w:val="20"/>
          <w:lang w:val="tr-TR" w:eastAsia="tr-TR"/>
        </w:rPr>
        <w:t>history</w:t>
      </w:r>
      <w:proofErr w:type="spellEnd"/>
      <w:r w:rsidRPr="00716BBA">
        <w:rPr>
          <w:rFonts w:ascii="Times New Roman" w:eastAsia="Times New Roman" w:hAnsi="Times New Roman" w:cs="Times New Roman"/>
          <w:color w:val="000000"/>
          <w:sz w:val="20"/>
          <w:szCs w:val="20"/>
          <w:lang w:val="tr-TR" w:eastAsia="tr-TR"/>
        </w:rPr>
        <w:t xml:space="preserve"> or </w:t>
      </w:r>
      <w:proofErr w:type="spellStart"/>
      <w:r w:rsidRPr="00716BBA">
        <w:rPr>
          <w:rFonts w:ascii="Times New Roman" w:eastAsia="Times New Roman" w:hAnsi="Times New Roman" w:cs="Times New Roman"/>
          <w:color w:val="000000"/>
          <w:sz w:val="20"/>
          <w:szCs w:val="20"/>
          <w:lang w:val="tr-TR" w:eastAsia="tr-TR"/>
        </w:rPr>
        <w:t>current</w:t>
      </w:r>
      <w:proofErr w:type="spellEnd"/>
      <w:r w:rsidRPr="00716BBA">
        <w:rPr>
          <w:rFonts w:ascii="Times New Roman" w:eastAsia="Times New Roman" w:hAnsi="Times New Roman" w:cs="Times New Roman"/>
          <w:color w:val="000000"/>
          <w:sz w:val="20"/>
          <w:szCs w:val="20"/>
          <w:lang w:val="tr-TR" w:eastAsia="tr-TR"/>
        </w:rPr>
        <w:t xml:space="preserve"> presence of </w:t>
      </w:r>
      <w:proofErr w:type="spellStart"/>
      <w:r w:rsidRPr="00716BBA">
        <w:rPr>
          <w:rFonts w:ascii="Times New Roman" w:eastAsia="Times New Roman" w:hAnsi="Times New Roman" w:cs="Times New Roman"/>
          <w:color w:val="000000"/>
          <w:sz w:val="20"/>
          <w:szCs w:val="20"/>
          <w:lang w:val="tr-TR" w:eastAsia="tr-TR"/>
        </w:rPr>
        <w:t>symptomatic</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acute</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typically</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unilateral</w:t>
      </w:r>
      <w:proofErr w:type="spellEnd"/>
      <w:r w:rsidRPr="00716BBA">
        <w:rPr>
          <w:rFonts w:ascii="Times New Roman" w:eastAsia="Times New Roman" w:hAnsi="Times New Roman" w:cs="Times New Roman"/>
          <w:color w:val="000000"/>
          <w:sz w:val="20"/>
          <w:szCs w:val="20"/>
          <w:lang w:val="tr-TR" w:eastAsia="tr-TR"/>
        </w:rPr>
        <w:t xml:space="preserve"> anterior </w:t>
      </w:r>
      <w:proofErr w:type="spellStart"/>
      <w:r w:rsidRPr="00716BBA">
        <w:rPr>
          <w:rFonts w:ascii="Times New Roman" w:eastAsia="Times New Roman" w:hAnsi="Times New Roman" w:cs="Times New Roman"/>
          <w:color w:val="000000"/>
          <w:sz w:val="20"/>
          <w:szCs w:val="20"/>
          <w:lang w:val="tr-TR" w:eastAsia="tr-TR"/>
        </w:rPr>
        <w:t>uveitis</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characterized</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by</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pain</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redness</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and</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photophobia</w:t>
      </w:r>
      <w:proofErr w:type="spellEnd"/>
      <w:r w:rsidRPr="00716BBA">
        <w:rPr>
          <w:rFonts w:ascii="Times New Roman" w:eastAsia="Times New Roman" w:hAnsi="Times New Roman" w:cs="Times New Roman"/>
          <w:color w:val="000000"/>
          <w:sz w:val="20"/>
          <w:szCs w:val="20"/>
          <w:lang w:val="tr-TR" w:eastAsia="tr-TR"/>
        </w:rPr>
        <w:t>).</w:t>
      </w:r>
    </w:p>
    <w:p w14:paraId="2E49A6FF" w14:textId="77777777" w:rsidR="00716BBA" w:rsidRPr="00716BBA" w:rsidRDefault="00716BBA" w:rsidP="00716BBA">
      <w:pPr>
        <w:shd w:val="clear" w:color="auto" w:fill="FFFFFF"/>
        <w:spacing w:after="0"/>
        <w:rPr>
          <w:rFonts w:ascii="Times New Roman" w:eastAsia="Times New Roman" w:hAnsi="Times New Roman" w:cs="Times New Roman"/>
          <w:color w:val="000000"/>
          <w:sz w:val="20"/>
          <w:szCs w:val="20"/>
          <w:lang w:val="tr-TR" w:eastAsia="tr-TR"/>
        </w:rPr>
      </w:pPr>
      <w:proofErr w:type="spellStart"/>
      <w:r w:rsidRPr="00716BBA">
        <w:rPr>
          <w:rFonts w:ascii="Times New Roman" w:eastAsia="Times New Roman" w:hAnsi="Times New Roman" w:cs="Times New Roman"/>
          <w:color w:val="000000"/>
          <w:sz w:val="20"/>
          <w:szCs w:val="20"/>
          <w:lang w:val="tr-TR" w:eastAsia="tr-TR"/>
        </w:rPr>
        <w:t>Demographic</w:t>
      </w:r>
      <w:proofErr w:type="spellEnd"/>
      <w:r w:rsidRPr="00716BBA">
        <w:rPr>
          <w:rFonts w:ascii="Times New Roman" w:eastAsia="Times New Roman" w:hAnsi="Times New Roman" w:cs="Times New Roman"/>
          <w:color w:val="000000"/>
          <w:sz w:val="20"/>
          <w:szCs w:val="20"/>
          <w:lang w:val="tr-TR" w:eastAsia="tr-TR"/>
        </w:rPr>
        <w:t xml:space="preserve"> Profile: </w:t>
      </w:r>
      <w:proofErr w:type="spellStart"/>
      <w:r w:rsidRPr="00716BBA">
        <w:rPr>
          <w:rFonts w:ascii="Times New Roman" w:eastAsia="Times New Roman" w:hAnsi="Times New Roman" w:cs="Times New Roman"/>
          <w:color w:val="000000"/>
          <w:sz w:val="20"/>
          <w:szCs w:val="20"/>
          <w:lang w:val="tr-TR" w:eastAsia="tr-TR"/>
        </w:rPr>
        <w:t>Onset</w:t>
      </w:r>
      <w:proofErr w:type="spellEnd"/>
      <w:r w:rsidRPr="00716BBA">
        <w:rPr>
          <w:rFonts w:ascii="Times New Roman" w:eastAsia="Times New Roman" w:hAnsi="Times New Roman" w:cs="Times New Roman"/>
          <w:color w:val="000000"/>
          <w:sz w:val="20"/>
          <w:szCs w:val="20"/>
          <w:lang w:val="tr-TR" w:eastAsia="tr-TR"/>
        </w:rPr>
        <w:t xml:space="preserve"> of </w:t>
      </w:r>
      <w:proofErr w:type="spellStart"/>
      <w:r w:rsidRPr="00716BBA">
        <w:rPr>
          <w:rFonts w:ascii="Times New Roman" w:eastAsia="Times New Roman" w:hAnsi="Times New Roman" w:cs="Times New Roman"/>
          <w:color w:val="000000"/>
          <w:sz w:val="20"/>
          <w:szCs w:val="20"/>
          <w:lang w:val="tr-TR" w:eastAsia="tr-TR"/>
        </w:rPr>
        <w:t>arthritis</w:t>
      </w:r>
      <w:proofErr w:type="spellEnd"/>
      <w:r w:rsidRPr="00716BBA">
        <w:rPr>
          <w:rFonts w:ascii="Times New Roman" w:eastAsia="Times New Roman" w:hAnsi="Times New Roman" w:cs="Times New Roman"/>
          <w:color w:val="000000"/>
          <w:sz w:val="20"/>
          <w:szCs w:val="20"/>
          <w:lang w:val="tr-TR" w:eastAsia="tr-TR"/>
        </w:rPr>
        <w:t xml:space="preserve"> or </w:t>
      </w:r>
      <w:proofErr w:type="spellStart"/>
      <w:r w:rsidRPr="00716BBA">
        <w:rPr>
          <w:rFonts w:ascii="Times New Roman" w:eastAsia="Times New Roman" w:hAnsi="Times New Roman" w:cs="Times New Roman"/>
          <w:color w:val="000000"/>
          <w:sz w:val="20"/>
          <w:szCs w:val="20"/>
          <w:lang w:val="tr-TR" w:eastAsia="tr-TR"/>
        </w:rPr>
        <w:t>enthesitis</w:t>
      </w:r>
      <w:proofErr w:type="spellEnd"/>
      <w:r w:rsidRPr="00716BBA">
        <w:rPr>
          <w:rFonts w:ascii="Times New Roman" w:eastAsia="Times New Roman" w:hAnsi="Times New Roman" w:cs="Times New Roman"/>
          <w:color w:val="000000"/>
          <w:sz w:val="20"/>
          <w:szCs w:val="20"/>
          <w:lang w:val="tr-TR" w:eastAsia="tr-TR"/>
        </w:rPr>
        <w:t xml:space="preserve"> in a </w:t>
      </w:r>
      <w:proofErr w:type="spellStart"/>
      <w:r w:rsidRPr="00716BBA">
        <w:rPr>
          <w:rFonts w:ascii="Times New Roman" w:eastAsia="Times New Roman" w:hAnsi="Times New Roman" w:cs="Times New Roman"/>
          <w:color w:val="000000"/>
          <w:sz w:val="20"/>
          <w:szCs w:val="20"/>
          <w:lang w:val="tr-TR" w:eastAsia="tr-TR"/>
        </w:rPr>
        <w:t>male</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child</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after</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the</w:t>
      </w:r>
      <w:proofErr w:type="spellEnd"/>
      <w:r w:rsidRPr="00716BBA">
        <w:rPr>
          <w:rFonts w:ascii="Times New Roman" w:eastAsia="Times New Roman" w:hAnsi="Times New Roman" w:cs="Times New Roman"/>
          <w:color w:val="000000"/>
          <w:sz w:val="20"/>
          <w:szCs w:val="20"/>
          <w:lang w:val="tr-TR" w:eastAsia="tr-TR"/>
        </w:rPr>
        <w:t xml:space="preserve"> 6th </w:t>
      </w:r>
      <w:proofErr w:type="spellStart"/>
      <w:r w:rsidRPr="00716BBA">
        <w:rPr>
          <w:rFonts w:ascii="Times New Roman" w:eastAsia="Times New Roman" w:hAnsi="Times New Roman" w:cs="Times New Roman"/>
          <w:color w:val="000000"/>
          <w:sz w:val="20"/>
          <w:szCs w:val="20"/>
          <w:lang w:val="tr-TR" w:eastAsia="tr-TR"/>
        </w:rPr>
        <w:t>birthday</w:t>
      </w:r>
      <w:proofErr w:type="spellEnd"/>
      <w:r w:rsidRPr="00716BBA">
        <w:rPr>
          <w:rFonts w:ascii="Times New Roman" w:eastAsia="Times New Roman" w:hAnsi="Times New Roman" w:cs="Times New Roman"/>
          <w:color w:val="000000"/>
          <w:sz w:val="20"/>
          <w:szCs w:val="20"/>
          <w:lang w:val="tr-TR" w:eastAsia="tr-TR"/>
        </w:rPr>
        <w:t>.</w:t>
      </w:r>
    </w:p>
    <w:p w14:paraId="5A98582E" w14:textId="77777777" w:rsidR="00716BBA" w:rsidRPr="00716BBA" w:rsidRDefault="00716BBA" w:rsidP="00716BBA">
      <w:pPr>
        <w:shd w:val="clear" w:color="auto" w:fill="FFFFFF"/>
        <w:spacing w:after="0"/>
        <w:rPr>
          <w:rFonts w:ascii="Times New Roman" w:eastAsia="Times New Roman" w:hAnsi="Times New Roman" w:cs="Times New Roman"/>
          <w:color w:val="000000"/>
          <w:sz w:val="20"/>
          <w:szCs w:val="20"/>
          <w:lang w:val="tr-TR" w:eastAsia="tr-TR"/>
        </w:rPr>
      </w:pPr>
      <w:proofErr w:type="spellStart"/>
      <w:r w:rsidRPr="00716BBA">
        <w:rPr>
          <w:rFonts w:ascii="Times New Roman" w:eastAsia="Times New Roman" w:hAnsi="Times New Roman" w:cs="Times New Roman"/>
          <w:color w:val="000000"/>
          <w:sz w:val="20"/>
          <w:szCs w:val="20"/>
          <w:lang w:val="tr-TR" w:eastAsia="tr-TR"/>
        </w:rPr>
        <w:t>Laboratory</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and</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Imaging</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Findings</w:t>
      </w:r>
      <w:proofErr w:type="spellEnd"/>
    </w:p>
    <w:p w14:paraId="217BCADC" w14:textId="77777777" w:rsidR="00716BBA" w:rsidRPr="00716BBA" w:rsidRDefault="00716BBA" w:rsidP="00716BBA">
      <w:pPr>
        <w:shd w:val="clear" w:color="auto" w:fill="FFFFFF"/>
        <w:spacing w:after="0"/>
        <w:rPr>
          <w:rFonts w:ascii="Times New Roman" w:eastAsia="Times New Roman" w:hAnsi="Times New Roman" w:cs="Times New Roman"/>
          <w:color w:val="000000"/>
          <w:sz w:val="20"/>
          <w:szCs w:val="20"/>
          <w:lang w:val="tr-TR" w:eastAsia="tr-TR"/>
        </w:rPr>
      </w:pPr>
      <w:proofErr w:type="spellStart"/>
      <w:r w:rsidRPr="00716BBA">
        <w:rPr>
          <w:rFonts w:ascii="Times New Roman" w:eastAsia="Times New Roman" w:hAnsi="Times New Roman" w:cs="Times New Roman"/>
          <w:color w:val="000000"/>
          <w:sz w:val="20"/>
          <w:szCs w:val="20"/>
          <w:lang w:val="tr-TR" w:eastAsia="tr-TR"/>
        </w:rPr>
        <w:t>Inflammatory</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Markers</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Variable</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elevation</w:t>
      </w:r>
      <w:proofErr w:type="spellEnd"/>
      <w:r w:rsidRPr="00716BBA">
        <w:rPr>
          <w:rFonts w:ascii="Times New Roman" w:eastAsia="Times New Roman" w:hAnsi="Times New Roman" w:cs="Times New Roman"/>
          <w:color w:val="000000"/>
          <w:sz w:val="20"/>
          <w:szCs w:val="20"/>
          <w:lang w:val="tr-TR" w:eastAsia="tr-TR"/>
        </w:rPr>
        <w:t xml:space="preserve"> of </w:t>
      </w:r>
      <w:proofErr w:type="spellStart"/>
      <w:r w:rsidRPr="00716BBA">
        <w:rPr>
          <w:rFonts w:ascii="Times New Roman" w:eastAsia="Times New Roman" w:hAnsi="Times New Roman" w:cs="Times New Roman"/>
          <w:color w:val="000000"/>
          <w:sz w:val="20"/>
          <w:szCs w:val="20"/>
          <w:lang w:val="tr-TR" w:eastAsia="tr-TR"/>
        </w:rPr>
        <w:t>erythrocyte</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sedimentation</w:t>
      </w:r>
      <w:proofErr w:type="spellEnd"/>
      <w:r w:rsidRPr="00716BBA">
        <w:rPr>
          <w:rFonts w:ascii="Times New Roman" w:eastAsia="Times New Roman" w:hAnsi="Times New Roman" w:cs="Times New Roman"/>
          <w:color w:val="000000"/>
          <w:sz w:val="20"/>
          <w:szCs w:val="20"/>
          <w:lang w:val="tr-TR" w:eastAsia="tr-TR"/>
        </w:rPr>
        <w:t xml:space="preserve"> rate (ESR) </w:t>
      </w:r>
      <w:proofErr w:type="spellStart"/>
      <w:r w:rsidRPr="00716BBA">
        <w:rPr>
          <w:rFonts w:ascii="Times New Roman" w:eastAsia="Times New Roman" w:hAnsi="Times New Roman" w:cs="Times New Roman"/>
          <w:color w:val="000000"/>
          <w:sz w:val="20"/>
          <w:szCs w:val="20"/>
          <w:lang w:val="tr-TR" w:eastAsia="tr-TR"/>
        </w:rPr>
        <w:t>and</w:t>
      </w:r>
      <w:proofErr w:type="spellEnd"/>
      <w:r w:rsidRPr="00716BBA">
        <w:rPr>
          <w:rFonts w:ascii="Times New Roman" w:eastAsia="Times New Roman" w:hAnsi="Times New Roman" w:cs="Times New Roman"/>
          <w:color w:val="000000"/>
          <w:sz w:val="20"/>
          <w:szCs w:val="20"/>
          <w:lang w:val="tr-TR" w:eastAsia="tr-TR"/>
        </w:rPr>
        <w:t xml:space="preserve"> C-</w:t>
      </w:r>
      <w:proofErr w:type="spellStart"/>
      <w:r w:rsidRPr="00716BBA">
        <w:rPr>
          <w:rFonts w:ascii="Times New Roman" w:eastAsia="Times New Roman" w:hAnsi="Times New Roman" w:cs="Times New Roman"/>
          <w:color w:val="000000"/>
          <w:sz w:val="20"/>
          <w:szCs w:val="20"/>
          <w:lang w:val="tr-TR" w:eastAsia="tr-TR"/>
        </w:rPr>
        <w:t>reactive</w:t>
      </w:r>
      <w:proofErr w:type="spellEnd"/>
      <w:r w:rsidRPr="00716BBA">
        <w:rPr>
          <w:rFonts w:ascii="Times New Roman" w:eastAsia="Times New Roman" w:hAnsi="Times New Roman" w:cs="Times New Roman"/>
          <w:color w:val="000000"/>
          <w:sz w:val="20"/>
          <w:szCs w:val="20"/>
          <w:lang w:val="tr-TR" w:eastAsia="tr-TR"/>
        </w:rPr>
        <w:t xml:space="preserve"> protein (CRP), </w:t>
      </w:r>
      <w:proofErr w:type="spellStart"/>
      <w:r w:rsidRPr="00716BBA">
        <w:rPr>
          <w:rFonts w:ascii="Times New Roman" w:eastAsia="Times New Roman" w:hAnsi="Times New Roman" w:cs="Times New Roman"/>
          <w:color w:val="000000"/>
          <w:sz w:val="20"/>
          <w:szCs w:val="20"/>
          <w:lang w:val="tr-TR" w:eastAsia="tr-TR"/>
        </w:rPr>
        <w:t>though</w:t>
      </w:r>
      <w:proofErr w:type="spellEnd"/>
      <w:r w:rsidRPr="00716BBA">
        <w:rPr>
          <w:rFonts w:ascii="Times New Roman" w:eastAsia="Times New Roman" w:hAnsi="Times New Roman" w:cs="Times New Roman"/>
          <w:color w:val="000000"/>
          <w:sz w:val="20"/>
          <w:szCs w:val="20"/>
          <w:lang w:val="tr-TR" w:eastAsia="tr-TR"/>
        </w:rPr>
        <w:t xml:space="preserve"> normal </w:t>
      </w:r>
      <w:proofErr w:type="spellStart"/>
      <w:r w:rsidRPr="00716BBA">
        <w:rPr>
          <w:rFonts w:ascii="Times New Roman" w:eastAsia="Times New Roman" w:hAnsi="Times New Roman" w:cs="Times New Roman"/>
          <w:color w:val="000000"/>
          <w:sz w:val="20"/>
          <w:szCs w:val="20"/>
          <w:lang w:val="tr-TR" w:eastAsia="tr-TR"/>
        </w:rPr>
        <w:t>levels</w:t>
      </w:r>
      <w:proofErr w:type="spellEnd"/>
      <w:r w:rsidRPr="00716BBA">
        <w:rPr>
          <w:rFonts w:ascii="Times New Roman" w:eastAsia="Times New Roman" w:hAnsi="Times New Roman" w:cs="Times New Roman"/>
          <w:color w:val="000000"/>
          <w:sz w:val="20"/>
          <w:szCs w:val="20"/>
          <w:lang w:val="tr-TR" w:eastAsia="tr-TR"/>
        </w:rPr>
        <w:t xml:space="preserve"> do not </w:t>
      </w:r>
      <w:proofErr w:type="spellStart"/>
      <w:r w:rsidRPr="00716BBA">
        <w:rPr>
          <w:rFonts w:ascii="Times New Roman" w:eastAsia="Times New Roman" w:hAnsi="Times New Roman" w:cs="Times New Roman"/>
          <w:color w:val="000000"/>
          <w:sz w:val="20"/>
          <w:szCs w:val="20"/>
          <w:lang w:val="tr-TR" w:eastAsia="tr-TR"/>
        </w:rPr>
        <w:t>exclude</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the</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diagnosis</w:t>
      </w:r>
      <w:proofErr w:type="spellEnd"/>
      <w:r w:rsidRPr="00716BBA">
        <w:rPr>
          <w:rFonts w:ascii="Times New Roman" w:eastAsia="Times New Roman" w:hAnsi="Times New Roman" w:cs="Times New Roman"/>
          <w:color w:val="000000"/>
          <w:sz w:val="20"/>
          <w:szCs w:val="20"/>
          <w:lang w:val="tr-TR" w:eastAsia="tr-TR"/>
        </w:rPr>
        <w:t>.</w:t>
      </w:r>
    </w:p>
    <w:p w14:paraId="25220DD9" w14:textId="77777777" w:rsidR="00716BBA" w:rsidRPr="00716BBA" w:rsidRDefault="00716BBA" w:rsidP="00716BBA">
      <w:pPr>
        <w:shd w:val="clear" w:color="auto" w:fill="FFFFFF"/>
        <w:spacing w:after="0"/>
        <w:rPr>
          <w:rFonts w:ascii="Times New Roman" w:eastAsia="Times New Roman" w:hAnsi="Times New Roman" w:cs="Times New Roman"/>
          <w:color w:val="000000"/>
          <w:sz w:val="20"/>
          <w:szCs w:val="20"/>
          <w:lang w:val="tr-TR" w:eastAsia="tr-TR"/>
        </w:rPr>
      </w:pPr>
      <w:proofErr w:type="spellStart"/>
      <w:r w:rsidRPr="00716BBA">
        <w:rPr>
          <w:rFonts w:ascii="Times New Roman" w:eastAsia="Times New Roman" w:hAnsi="Times New Roman" w:cs="Times New Roman"/>
          <w:color w:val="000000"/>
          <w:sz w:val="20"/>
          <w:szCs w:val="20"/>
          <w:lang w:val="tr-TR" w:eastAsia="tr-TR"/>
        </w:rPr>
        <w:t>Autoantibody</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Status</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Characteristically</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negative</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for</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Rheumatoid</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Factor</w:t>
      </w:r>
      <w:proofErr w:type="spellEnd"/>
      <w:r w:rsidRPr="00716BBA">
        <w:rPr>
          <w:rFonts w:ascii="Times New Roman" w:eastAsia="Times New Roman" w:hAnsi="Times New Roman" w:cs="Times New Roman"/>
          <w:color w:val="000000"/>
          <w:sz w:val="20"/>
          <w:szCs w:val="20"/>
          <w:lang w:val="tr-TR" w:eastAsia="tr-TR"/>
        </w:rPr>
        <w:t xml:space="preserve"> (RF) </w:t>
      </w:r>
      <w:proofErr w:type="spellStart"/>
      <w:r w:rsidRPr="00716BBA">
        <w:rPr>
          <w:rFonts w:ascii="Times New Roman" w:eastAsia="Times New Roman" w:hAnsi="Times New Roman" w:cs="Times New Roman"/>
          <w:color w:val="000000"/>
          <w:sz w:val="20"/>
          <w:szCs w:val="20"/>
          <w:lang w:val="tr-TR" w:eastAsia="tr-TR"/>
        </w:rPr>
        <w:t>and</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Antinuclear</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Antibodies</w:t>
      </w:r>
      <w:proofErr w:type="spellEnd"/>
      <w:r w:rsidRPr="00716BBA">
        <w:rPr>
          <w:rFonts w:ascii="Times New Roman" w:eastAsia="Times New Roman" w:hAnsi="Times New Roman" w:cs="Times New Roman"/>
          <w:color w:val="000000"/>
          <w:sz w:val="20"/>
          <w:szCs w:val="20"/>
          <w:lang w:val="tr-TR" w:eastAsia="tr-TR"/>
        </w:rPr>
        <w:t xml:space="preserve"> (ANA).</w:t>
      </w:r>
    </w:p>
    <w:p w14:paraId="267A12F4" w14:textId="77777777" w:rsidR="00716BBA" w:rsidRPr="00716BBA" w:rsidRDefault="00716BBA" w:rsidP="00716BBA">
      <w:pPr>
        <w:shd w:val="clear" w:color="auto" w:fill="FFFFFF"/>
        <w:spacing w:after="0"/>
        <w:rPr>
          <w:rFonts w:ascii="Times New Roman" w:eastAsia="Times New Roman" w:hAnsi="Times New Roman" w:cs="Times New Roman"/>
          <w:color w:val="000000"/>
          <w:sz w:val="20"/>
          <w:szCs w:val="20"/>
          <w:lang w:val="tr-TR" w:eastAsia="tr-TR"/>
        </w:rPr>
      </w:pPr>
      <w:r w:rsidRPr="00716BBA">
        <w:rPr>
          <w:rFonts w:ascii="Times New Roman" w:eastAsia="Times New Roman" w:hAnsi="Times New Roman" w:cs="Times New Roman"/>
          <w:color w:val="000000"/>
          <w:sz w:val="20"/>
          <w:szCs w:val="20"/>
          <w:lang w:val="tr-TR" w:eastAsia="tr-TR"/>
        </w:rPr>
        <w:t xml:space="preserve">Advanced </w:t>
      </w:r>
      <w:proofErr w:type="spellStart"/>
      <w:r w:rsidRPr="00716BBA">
        <w:rPr>
          <w:rFonts w:ascii="Times New Roman" w:eastAsia="Times New Roman" w:hAnsi="Times New Roman" w:cs="Times New Roman"/>
          <w:color w:val="000000"/>
          <w:sz w:val="20"/>
          <w:szCs w:val="20"/>
          <w:lang w:val="tr-TR" w:eastAsia="tr-TR"/>
        </w:rPr>
        <w:t>Imaging</w:t>
      </w:r>
      <w:proofErr w:type="spellEnd"/>
      <w:r w:rsidRPr="00716BBA">
        <w:rPr>
          <w:rFonts w:ascii="Times New Roman" w:eastAsia="Times New Roman" w:hAnsi="Times New Roman" w:cs="Times New Roman"/>
          <w:color w:val="000000"/>
          <w:sz w:val="20"/>
          <w:szCs w:val="20"/>
          <w:lang w:val="tr-TR" w:eastAsia="tr-TR"/>
        </w:rPr>
        <w:t xml:space="preserve"> (MRI): </w:t>
      </w:r>
      <w:proofErr w:type="spellStart"/>
      <w:r w:rsidRPr="00716BBA">
        <w:rPr>
          <w:rFonts w:ascii="Times New Roman" w:eastAsia="Times New Roman" w:hAnsi="Times New Roman" w:cs="Times New Roman"/>
          <w:color w:val="000000"/>
          <w:sz w:val="20"/>
          <w:szCs w:val="20"/>
          <w:lang w:val="tr-TR" w:eastAsia="tr-TR"/>
        </w:rPr>
        <w:t>Demonstration</w:t>
      </w:r>
      <w:proofErr w:type="spellEnd"/>
      <w:r w:rsidRPr="00716BBA">
        <w:rPr>
          <w:rFonts w:ascii="Times New Roman" w:eastAsia="Times New Roman" w:hAnsi="Times New Roman" w:cs="Times New Roman"/>
          <w:color w:val="000000"/>
          <w:sz w:val="20"/>
          <w:szCs w:val="20"/>
          <w:lang w:val="tr-TR" w:eastAsia="tr-TR"/>
        </w:rPr>
        <w:t xml:space="preserve"> of bone </w:t>
      </w:r>
      <w:proofErr w:type="spellStart"/>
      <w:r w:rsidRPr="00716BBA">
        <w:rPr>
          <w:rFonts w:ascii="Times New Roman" w:eastAsia="Times New Roman" w:hAnsi="Times New Roman" w:cs="Times New Roman"/>
          <w:color w:val="000000"/>
          <w:sz w:val="20"/>
          <w:szCs w:val="20"/>
          <w:lang w:val="tr-TR" w:eastAsia="tr-TR"/>
        </w:rPr>
        <w:t>marrow</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edema</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sacroiliitis</w:t>
      </w:r>
      <w:proofErr w:type="spellEnd"/>
      <w:r w:rsidRPr="00716BBA">
        <w:rPr>
          <w:rFonts w:ascii="Times New Roman" w:eastAsia="Times New Roman" w:hAnsi="Times New Roman" w:cs="Times New Roman"/>
          <w:color w:val="000000"/>
          <w:sz w:val="20"/>
          <w:szCs w:val="20"/>
          <w:lang w:val="tr-TR" w:eastAsia="tr-TR"/>
        </w:rPr>
        <w:t xml:space="preserve">, or </w:t>
      </w:r>
      <w:proofErr w:type="spellStart"/>
      <w:r w:rsidRPr="00716BBA">
        <w:rPr>
          <w:rFonts w:ascii="Times New Roman" w:eastAsia="Times New Roman" w:hAnsi="Times New Roman" w:cs="Times New Roman"/>
          <w:color w:val="000000"/>
          <w:sz w:val="20"/>
          <w:szCs w:val="20"/>
          <w:lang w:val="tr-TR" w:eastAsia="tr-TR"/>
        </w:rPr>
        <w:t>active</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enthesitis</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before</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structural</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changes</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become</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apparent</w:t>
      </w:r>
      <w:proofErr w:type="spellEnd"/>
      <w:r w:rsidRPr="00716BBA">
        <w:rPr>
          <w:rFonts w:ascii="Times New Roman" w:eastAsia="Times New Roman" w:hAnsi="Times New Roman" w:cs="Times New Roman"/>
          <w:color w:val="000000"/>
          <w:sz w:val="20"/>
          <w:szCs w:val="20"/>
          <w:lang w:val="tr-TR" w:eastAsia="tr-TR"/>
        </w:rPr>
        <w:t xml:space="preserve"> on </w:t>
      </w:r>
      <w:proofErr w:type="spellStart"/>
      <w:r w:rsidRPr="00716BBA">
        <w:rPr>
          <w:rFonts w:ascii="Times New Roman" w:eastAsia="Times New Roman" w:hAnsi="Times New Roman" w:cs="Times New Roman"/>
          <w:color w:val="000000"/>
          <w:sz w:val="20"/>
          <w:szCs w:val="20"/>
          <w:lang w:val="tr-TR" w:eastAsia="tr-TR"/>
        </w:rPr>
        <w:t>conventional</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radiographs</w:t>
      </w:r>
      <w:proofErr w:type="spellEnd"/>
      <w:r w:rsidRPr="00716BBA">
        <w:rPr>
          <w:rFonts w:ascii="Times New Roman" w:eastAsia="Times New Roman" w:hAnsi="Times New Roman" w:cs="Times New Roman"/>
          <w:color w:val="000000"/>
          <w:sz w:val="20"/>
          <w:szCs w:val="20"/>
          <w:lang w:val="tr-TR" w:eastAsia="tr-TR"/>
        </w:rPr>
        <w:t>.</w:t>
      </w:r>
    </w:p>
    <w:p w14:paraId="3435DB4E" w14:textId="77777777" w:rsidR="00716BBA" w:rsidRPr="00716BBA" w:rsidRDefault="00716BBA" w:rsidP="00716BBA">
      <w:pPr>
        <w:shd w:val="clear" w:color="auto" w:fill="FFFFFF"/>
        <w:spacing w:after="0"/>
        <w:rPr>
          <w:rFonts w:ascii="Times New Roman" w:eastAsia="Times New Roman" w:hAnsi="Times New Roman" w:cs="Times New Roman"/>
          <w:color w:val="000000"/>
          <w:sz w:val="20"/>
          <w:szCs w:val="20"/>
          <w:lang w:val="tr-TR" w:eastAsia="tr-TR"/>
        </w:rPr>
      </w:pPr>
      <w:r w:rsidRPr="00716BBA">
        <w:rPr>
          <w:rFonts w:ascii="Times New Roman" w:eastAsia="Times New Roman" w:hAnsi="Times New Roman" w:cs="Times New Roman"/>
          <w:color w:val="000000"/>
          <w:sz w:val="20"/>
          <w:szCs w:val="20"/>
          <w:lang w:val="tr-TR" w:eastAsia="tr-TR"/>
        </w:rPr>
        <w:t xml:space="preserve">Critical </w:t>
      </w:r>
      <w:proofErr w:type="spellStart"/>
      <w:r w:rsidRPr="00716BBA">
        <w:rPr>
          <w:rFonts w:ascii="Times New Roman" w:eastAsia="Times New Roman" w:hAnsi="Times New Roman" w:cs="Times New Roman"/>
          <w:color w:val="000000"/>
          <w:sz w:val="20"/>
          <w:szCs w:val="20"/>
          <w:lang w:val="tr-TR" w:eastAsia="tr-TR"/>
        </w:rPr>
        <w:t>Exclusions</w:t>
      </w:r>
      <w:proofErr w:type="spellEnd"/>
    </w:p>
    <w:p w14:paraId="112B0FD0" w14:textId="77777777" w:rsidR="00716BBA" w:rsidRPr="00716BBA" w:rsidRDefault="00716BBA" w:rsidP="00716BBA">
      <w:pPr>
        <w:shd w:val="clear" w:color="auto" w:fill="FFFFFF"/>
        <w:spacing w:after="0"/>
        <w:rPr>
          <w:rFonts w:ascii="Times New Roman" w:eastAsia="Times New Roman" w:hAnsi="Times New Roman" w:cs="Times New Roman"/>
          <w:color w:val="000000"/>
          <w:sz w:val="20"/>
          <w:szCs w:val="20"/>
          <w:lang w:val="tr-TR" w:eastAsia="tr-TR"/>
        </w:rPr>
      </w:pPr>
      <w:proofErr w:type="spellStart"/>
      <w:r w:rsidRPr="00716BBA">
        <w:rPr>
          <w:rFonts w:ascii="Times New Roman" w:eastAsia="Times New Roman" w:hAnsi="Times New Roman" w:cs="Times New Roman"/>
          <w:color w:val="000000"/>
          <w:sz w:val="20"/>
          <w:szCs w:val="20"/>
          <w:lang w:val="tr-TR" w:eastAsia="tr-TR"/>
        </w:rPr>
        <w:t>The</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diagnosis</w:t>
      </w:r>
      <w:proofErr w:type="spellEnd"/>
      <w:r w:rsidRPr="00716BBA">
        <w:rPr>
          <w:rFonts w:ascii="Times New Roman" w:eastAsia="Times New Roman" w:hAnsi="Times New Roman" w:cs="Times New Roman"/>
          <w:color w:val="000000"/>
          <w:sz w:val="20"/>
          <w:szCs w:val="20"/>
          <w:lang w:val="tr-TR" w:eastAsia="tr-TR"/>
        </w:rPr>
        <w:t xml:space="preserve"> is </w:t>
      </w:r>
      <w:proofErr w:type="spellStart"/>
      <w:r w:rsidRPr="00716BBA">
        <w:rPr>
          <w:rFonts w:ascii="Times New Roman" w:eastAsia="Times New Roman" w:hAnsi="Times New Roman" w:cs="Times New Roman"/>
          <w:color w:val="000000"/>
          <w:sz w:val="20"/>
          <w:szCs w:val="20"/>
          <w:lang w:val="tr-TR" w:eastAsia="tr-TR"/>
        </w:rPr>
        <w:t>excluded</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if</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the</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patient</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exhibits</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features</w:t>
      </w:r>
      <w:proofErr w:type="spellEnd"/>
      <w:r w:rsidRPr="00716BBA">
        <w:rPr>
          <w:rFonts w:ascii="Times New Roman" w:eastAsia="Times New Roman" w:hAnsi="Times New Roman" w:cs="Times New Roman"/>
          <w:color w:val="000000"/>
          <w:sz w:val="20"/>
          <w:szCs w:val="20"/>
          <w:lang w:val="tr-TR" w:eastAsia="tr-TR"/>
        </w:rPr>
        <w:t xml:space="preserve"> of </w:t>
      </w:r>
      <w:proofErr w:type="spellStart"/>
      <w:r w:rsidRPr="00716BBA">
        <w:rPr>
          <w:rFonts w:ascii="Times New Roman" w:eastAsia="Times New Roman" w:hAnsi="Times New Roman" w:cs="Times New Roman"/>
          <w:color w:val="000000"/>
          <w:sz w:val="20"/>
          <w:szCs w:val="20"/>
          <w:lang w:val="tr-TR" w:eastAsia="tr-TR"/>
        </w:rPr>
        <w:t>systemic</w:t>
      </w:r>
      <w:proofErr w:type="spellEnd"/>
      <w:r w:rsidRPr="00716BBA">
        <w:rPr>
          <w:rFonts w:ascii="Times New Roman" w:eastAsia="Times New Roman" w:hAnsi="Times New Roman" w:cs="Times New Roman"/>
          <w:color w:val="000000"/>
          <w:sz w:val="20"/>
          <w:szCs w:val="20"/>
          <w:lang w:val="tr-TR" w:eastAsia="tr-TR"/>
        </w:rPr>
        <w:t xml:space="preserve"> JIA, is </w:t>
      </w:r>
      <w:proofErr w:type="spellStart"/>
      <w:r w:rsidRPr="00716BBA">
        <w:rPr>
          <w:rFonts w:ascii="Times New Roman" w:eastAsia="Times New Roman" w:hAnsi="Times New Roman" w:cs="Times New Roman"/>
          <w:color w:val="000000"/>
          <w:sz w:val="20"/>
          <w:szCs w:val="20"/>
          <w:lang w:val="tr-TR" w:eastAsia="tr-TR"/>
        </w:rPr>
        <w:t>positive</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for</w:t>
      </w:r>
      <w:proofErr w:type="spellEnd"/>
      <w:r w:rsidRPr="00716BBA">
        <w:rPr>
          <w:rFonts w:ascii="Times New Roman" w:eastAsia="Times New Roman" w:hAnsi="Times New Roman" w:cs="Times New Roman"/>
          <w:color w:val="000000"/>
          <w:sz w:val="20"/>
          <w:szCs w:val="20"/>
          <w:lang w:val="tr-TR" w:eastAsia="tr-TR"/>
        </w:rPr>
        <w:t xml:space="preserve"> RF/anti-CCP, or has </w:t>
      </w:r>
      <w:proofErr w:type="spellStart"/>
      <w:r w:rsidRPr="00716BBA">
        <w:rPr>
          <w:rFonts w:ascii="Times New Roman" w:eastAsia="Times New Roman" w:hAnsi="Times New Roman" w:cs="Times New Roman"/>
          <w:color w:val="000000"/>
          <w:sz w:val="20"/>
          <w:szCs w:val="20"/>
          <w:lang w:val="tr-TR" w:eastAsia="tr-TR"/>
        </w:rPr>
        <w:t>early-onset</w:t>
      </w:r>
      <w:proofErr w:type="spellEnd"/>
      <w:r w:rsidRPr="00716BBA">
        <w:rPr>
          <w:rFonts w:ascii="Times New Roman" w:eastAsia="Times New Roman" w:hAnsi="Times New Roman" w:cs="Times New Roman"/>
          <w:color w:val="000000"/>
          <w:sz w:val="20"/>
          <w:szCs w:val="20"/>
          <w:lang w:val="tr-TR" w:eastAsia="tr-TR"/>
        </w:rPr>
        <w:t xml:space="preserve"> ANA-</w:t>
      </w:r>
      <w:proofErr w:type="spellStart"/>
      <w:r w:rsidRPr="00716BBA">
        <w:rPr>
          <w:rFonts w:ascii="Times New Roman" w:eastAsia="Times New Roman" w:hAnsi="Times New Roman" w:cs="Times New Roman"/>
          <w:color w:val="000000"/>
          <w:sz w:val="20"/>
          <w:szCs w:val="20"/>
          <w:lang w:val="tr-TR" w:eastAsia="tr-TR"/>
        </w:rPr>
        <w:t>positive</w:t>
      </w:r>
      <w:proofErr w:type="spellEnd"/>
      <w:r w:rsidRPr="00716BBA">
        <w:rPr>
          <w:rFonts w:ascii="Times New Roman" w:eastAsia="Times New Roman" w:hAnsi="Times New Roman" w:cs="Times New Roman"/>
          <w:color w:val="000000"/>
          <w:sz w:val="20"/>
          <w:szCs w:val="20"/>
          <w:lang w:val="tr-TR" w:eastAsia="tr-TR"/>
        </w:rPr>
        <w:t xml:space="preserve"> JIA.</w:t>
      </w:r>
    </w:p>
    <w:p w14:paraId="27876B85" w14:textId="77777777" w:rsidR="00716BBA" w:rsidRPr="00716BBA" w:rsidRDefault="00716BBA" w:rsidP="00716BBA">
      <w:pPr>
        <w:shd w:val="clear" w:color="auto" w:fill="FFFFFF"/>
        <w:spacing w:after="0"/>
        <w:rPr>
          <w:rFonts w:ascii="Times New Roman" w:eastAsia="Times New Roman" w:hAnsi="Times New Roman" w:cs="Times New Roman"/>
          <w:color w:val="000000"/>
          <w:sz w:val="20"/>
          <w:szCs w:val="20"/>
          <w:lang w:val="tr-TR" w:eastAsia="tr-TR"/>
        </w:rPr>
      </w:pPr>
    </w:p>
    <w:p w14:paraId="3C0A5530" w14:textId="77777777" w:rsidR="00716BBA" w:rsidRPr="00716BBA" w:rsidRDefault="00716BBA" w:rsidP="00716BBA">
      <w:pPr>
        <w:shd w:val="clear" w:color="auto" w:fill="FFFFFF"/>
        <w:spacing w:after="0"/>
        <w:rPr>
          <w:rFonts w:ascii="Times New Roman" w:eastAsia="Times New Roman" w:hAnsi="Times New Roman" w:cs="Times New Roman"/>
          <w:color w:val="EE0000"/>
          <w:sz w:val="20"/>
          <w:szCs w:val="20"/>
          <w:lang w:val="tr-TR" w:eastAsia="tr-TR"/>
        </w:rPr>
      </w:pPr>
      <w:r w:rsidRPr="00716BBA">
        <w:rPr>
          <w:rFonts w:ascii="Times New Roman" w:eastAsia="Times New Roman" w:hAnsi="Times New Roman" w:cs="Times New Roman"/>
          <w:b/>
          <w:bCs/>
          <w:color w:val="EE0000"/>
          <w:sz w:val="20"/>
          <w:szCs w:val="20"/>
          <w:lang w:val="tr-TR" w:eastAsia="tr-TR"/>
        </w:rPr>
        <w:t>MODEL Y</w:t>
      </w:r>
    </w:p>
    <w:p w14:paraId="7372D5DF" w14:textId="77777777" w:rsidR="00716BBA" w:rsidRPr="00716BBA" w:rsidRDefault="00716BBA" w:rsidP="00716BBA">
      <w:pPr>
        <w:shd w:val="clear" w:color="auto" w:fill="FFFFFF"/>
        <w:spacing w:after="0"/>
        <w:rPr>
          <w:rFonts w:ascii="Times New Roman" w:eastAsia="Times New Roman" w:hAnsi="Times New Roman" w:cs="Times New Roman"/>
          <w:color w:val="000000"/>
          <w:sz w:val="20"/>
          <w:szCs w:val="20"/>
          <w:lang w:val="tr-TR" w:eastAsia="tr-TR"/>
        </w:rPr>
      </w:pPr>
      <w:proofErr w:type="spellStart"/>
      <w:r w:rsidRPr="00716BBA">
        <w:rPr>
          <w:rFonts w:ascii="Times New Roman" w:eastAsia="Times New Roman" w:hAnsi="Times New Roman" w:cs="Times New Roman"/>
          <w:color w:val="000000"/>
          <w:sz w:val="20"/>
          <w:szCs w:val="20"/>
          <w:lang w:val="tr-TR" w:eastAsia="tr-TR"/>
        </w:rPr>
        <w:t>Enthesitis-Related</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Arthritis</w:t>
      </w:r>
      <w:proofErr w:type="spellEnd"/>
      <w:r w:rsidRPr="00716BBA">
        <w:rPr>
          <w:rFonts w:ascii="Times New Roman" w:eastAsia="Times New Roman" w:hAnsi="Times New Roman" w:cs="Times New Roman"/>
          <w:color w:val="000000"/>
          <w:sz w:val="20"/>
          <w:szCs w:val="20"/>
          <w:lang w:val="tr-TR" w:eastAsia="tr-TR"/>
        </w:rPr>
        <w:t xml:space="preserve"> (ERA) — </w:t>
      </w:r>
      <w:proofErr w:type="spellStart"/>
      <w:r w:rsidRPr="00716BBA">
        <w:rPr>
          <w:rFonts w:ascii="Times New Roman" w:eastAsia="Times New Roman" w:hAnsi="Times New Roman" w:cs="Times New Roman"/>
          <w:color w:val="000000"/>
          <w:sz w:val="20"/>
          <w:szCs w:val="20"/>
          <w:lang w:val="tr-TR" w:eastAsia="tr-TR"/>
        </w:rPr>
        <w:t>Classification</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Criteria</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and</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Clinical</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Features</w:t>
      </w:r>
      <w:proofErr w:type="spellEnd"/>
    </w:p>
    <w:p w14:paraId="1783B823" w14:textId="77777777" w:rsidR="00716BBA" w:rsidRPr="00716BBA" w:rsidRDefault="00716BBA" w:rsidP="00716BBA">
      <w:pPr>
        <w:shd w:val="clear" w:color="auto" w:fill="FFFFFF"/>
        <w:spacing w:after="0"/>
        <w:rPr>
          <w:rFonts w:ascii="Times New Roman" w:eastAsia="Times New Roman" w:hAnsi="Times New Roman" w:cs="Times New Roman"/>
          <w:color w:val="000000"/>
          <w:sz w:val="20"/>
          <w:szCs w:val="20"/>
          <w:lang w:val="tr-TR" w:eastAsia="tr-TR"/>
        </w:rPr>
      </w:pPr>
      <w:r w:rsidRPr="00716BBA">
        <w:rPr>
          <w:rFonts w:ascii="Times New Roman" w:eastAsia="Times New Roman" w:hAnsi="Times New Roman" w:cs="Times New Roman"/>
          <w:color w:val="000000"/>
          <w:sz w:val="20"/>
          <w:szCs w:val="20"/>
          <w:lang w:val="tr-TR" w:eastAsia="tr-TR"/>
        </w:rPr>
        <w:t xml:space="preserve">Under ILAR </w:t>
      </w:r>
      <w:proofErr w:type="spellStart"/>
      <w:r w:rsidRPr="00716BBA">
        <w:rPr>
          <w:rFonts w:ascii="Times New Roman" w:eastAsia="Times New Roman" w:hAnsi="Times New Roman" w:cs="Times New Roman"/>
          <w:color w:val="000000"/>
          <w:sz w:val="20"/>
          <w:szCs w:val="20"/>
          <w:lang w:val="tr-TR" w:eastAsia="tr-TR"/>
        </w:rPr>
        <w:t>criteria</w:t>
      </w:r>
      <w:proofErr w:type="spellEnd"/>
      <w:r w:rsidRPr="00716BBA">
        <w:rPr>
          <w:rFonts w:ascii="Times New Roman" w:eastAsia="Times New Roman" w:hAnsi="Times New Roman" w:cs="Times New Roman"/>
          <w:color w:val="000000"/>
          <w:sz w:val="20"/>
          <w:szCs w:val="20"/>
          <w:lang w:val="tr-TR" w:eastAsia="tr-TR"/>
        </w:rPr>
        <w:t xml:space="preserve">, ERA </w:t>
      </w:r>
      <w:proofErr w:type="spellStart"/>
      <w:r w:rsidRPr="00716BBA">
        <w:rPr>
          <w:rFonts w:ascii="Times New Roman" w:eastAsia="Times New Roman" w:hAnsi="Times New Roman" w:cs="Times New Roman"/>
          <w:color w:val="000000"/>
          <w:sz w:val="20"/>
          <w:szCs w:val="20"/>
          <w:lang w:val="tr-TR" w:eastAsia="tr-TR"/>
        </w:rPr>
        <w:t>requires</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arthritis</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plus</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enthesitis</w:t>
      </w:r>
      <w:proofErr w:type="spellEnd"/>
      <w:r w:rsidRPr="00716BBA">
        <w:rPr>
          <w:rFonts w:ascii="Times New Roman" w:eastAsia="Times New Roman" w:hAnsi="Times New Roman" w:cs="Times New Roman"/>
          <w:color w:val="000000"/>
          <w:sz w:val="20"/>
          <w:szCs w:val="20"/>
          <w:lang w:val="tr-TR" w:eastAsia="tr-TR"/>
        </w:rPr>
        <w:t xml:space="preserve">, or </w:t>
      </w:r>
      <w:proofErr w:type="spellStart"/>
      <w:r w:rsidRPr="00716BBA">
        <w:rPr>
          <w:rFonts w:ascii="Times New Roman" w:eastAsia="Times New Roman" w:hAnsi="Times New Roman" w:cs="Times New Roman"/>
          <w:color w:val="000000"/>
          <w:sz w:val="20"/>
          <w:szCs w:val="20"/>
          <w:lang w:val="tr-TR" w:eastAsia="tr-TR"/>
        </w:rPr>
        <w:t>either</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arthritis</w:t>
      </w:r>
      <w:proofErr w:type="spellEnd"/>
      <w:r w:rsidRPr="00716BBA">
        <w:rPr>
          <w:rFonts w:ascii="Times New Roman" w:eastAsia="Times New Roman" w:hAnsi="Times New Roman" w:cs="Times New Roman"/>
          <w:color w:val="000000"/>
          <w:sz w:val="20"/>
          <w:szCs w:val="20"/>
          <w:lang w:val="tr-TR" w:eastAsia="tr-TR"/>
        </w:rPr>
        <w:t xml:space="preserve"> or </w:t>
      </w:r>
      <w:proofErr w:type="spellStart"/>
      <w:r w:rsidRPr="00716BBA">
        <w:rPr>
          <w:rFonts w:ascii="Times New Roman" w:eastAsia="Times New Roman" w:hAnsi="Times New Roman" w:cs="Times New Roman"/>
          <w:color w:val="000000"/>
          <w:sz w:val="20"/>
          <w:szCs w:val="20"/>
          <w:lang w:val="tr-TR" w:eastAsia="tr-TR"/>
        </w:rPr>
        <w:t>enthesitis</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with</w:t>
      </w:r>
      <w:proofErr w:type="spellEnd"/>
      <w:r w:rsidRPr="00716BBA">
        <w:rPr>
          <w:rFonts w:ascii="Times New Roman" w:eastAsia="Times New Roman" w:hAnsi="Times New Roman" w:cs="Times New Roman"/>
          <w:color w:val="000000"/>
          <w:sz w:val="20"/>
          <w:szCs w:val="20"/>
          <w:lang w:val="tr-TR" w:eastAsia="tr-TR"/>
        </w:rPr>
        <w:t xml:space="preserve"> at </w:t>
      </w:r>
      <w:proofErr w:type="spellStart"/>
      <w:r w:rsidRPr="00716BBA">
        <w:rPr>
          <w:rFonts w:ascii="Times New Roman" w:eastAsia="Times New Roman" w:hAnsi="Times New Roman" w:cs="Times New Roman"/>
          <w:color w:val="000000"/>
          <w:sz w:val="20"/>
          <w:szCs w:val="20"/>
          <w:lang w:val="tr-TR" w:eastAsia="tr-TR"/>
        </w:rPr>
        <w:t>least</w:t>
      </w:r>
      <w:proofErr w:type="spellEnd"/>
      <w:r w:rsidRPr="00716BBA">
        <w:rPr>
          <w:rFonts w:ascii="Times New Roman" w:eastAsia="Times New Roman" w:hAnsi="Times New Roman" w:cs="Times New Roman"/>
          <w:color w:val="000000"/>
          <w:sz w:val="20"/>
          <w:szCs w:val="20"/>
          <w:lang w:val="tr-TR" w:eastAsia="tr-TR"/>
        </w:rPr>
        <w:t xml:space="preserve"> 2 of </w:t>
      </w:r>
      <w:proofErr w:type="spellStart"/>
      <w:r w:rsidRPr="00716BBA">
        <w:rPr>
          <w:rFonts w:ascii="Times New Roman" w:eastAsia="Times New Roman" w:hAnsi="Times New Roman" w:cs="Times New Roman"/>
          <w:color w:val="000000"/>
          <w:sz w:val="20"/>
          <w:szCs w:val="20"/>
          <w:lang w:val="tr-TR" w:eastAsia="tr-TR"/>
        </w:rPr>
        <w:t>the</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following</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parameters</w:t>
      </w:r>
      <w:proofErr w:type="spellEnd"/>
      <w:r w:rsidRPr="00716BBA">
        <w:rPr>
          <w:rFonts w:ascii="Times New Roman" w:eastAsia="Times New Roman" w:hAnsi="Times New Roman" w:cs="Times New Roman"/>
          <w:color w:val="000000"/>
          <w:sz w:val="20"/>
          <w:szCs w:val="20"/>
          <w:lang w:val="tr-TR" w:eastAsia="tr-TR"/>
        </w:rPr>
        <w:t>:</w:t>
      </w:r>
    </w:p>
    <w:p w14:paraId="333BCE63" w14:textId="77777777" w:rsidR="00716BBA" w:rsidRPr="00716BBA" w:rsidRDefault="00716BBA" w:rsidP="00716BBA">
      <w:pPr>
        <w:shd w:val="clear" w:color="auto" w:fill="FFFFFF"/>
        <w:spacing w:after="0"/>
        <w:rPr>
          <w:rFonts w:ascii="Times New Roman" w:eastAsia="Times New Roman" w:hAnsi="Times New Roman" w:cs="Times New Roman"/>
          <w:color w:val="000000"/>
          <w:sz w:val="20"/>
          <w:szCs w:val="20"/>
          <w:lang w:val="tr-TR" w:eastAsia="tr-TR"/>
        </w:rPr>
      </w:pPr>
      <w:proofErr w:type="spellStart"/>
      <w:r w:rsidRPr="00716BBA">
        <w:rPr>
          <w:rFonts w:ascii="Times New Roman" w:eastAsia="Times New Roman" w:hAnsi="Times New Roman" w:cs="Times New Roman"/>
          <w:color w:val="000000"/>
          <w:sz w:val="20"/>
          <w:szCs w:val="20"/>
          <w:lang w:val="tr-TR" w:eastAsia="tr-TR"/>
        </w:rPr>
        <w:t>Minor</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Parameters</w:t>
      </w:r>
      <w:proofErr w:type="spellEnd"/>
      <w:r w:rsidRPr="00716BBA">
        <w:rPr>
          <w:rFonts w:ascii="Times New Roman" w:eastAsia="Times New Roman" w:hAnsi="Times New Roman" w:cs="Times New Roman"/>
          <w:color w:val="000000"/>
          <w:sz w:val="20"/>
          <w:szCs w:val="20"/>
          <w:lang w:val="tr-TR" w:eastAsia="tr-TR"/>
        </w:rPr>
        <w:t>:</w:t>
      </w:r>
    </w:p>
    <w:p w14:paraId="1869843C" w14:textId="77777777" w:rsidR="00716BBA" w:rsidRPr="00716BBA" w:rsidRDefault="00716BBA" w:rsidP="00716BBA">
      <w:pPr>
        <w:shd w:val="clear" w:color="auto" w:fill="FFFFFF"/>
        <w:spacing w:after="0"/>
        <w:rPr>
          <w:rFonts w:ascii="Times New Roman" w:eastAsia="Times New Roman" w:hAnsi="Times New Roman" w:cs="Times New Roman"/>
          <w:color w:val="000000"/>
          <w:sz w:val="20"/>
          <w:szCs w:val="20"/>
          <w:lang w:val="tr-TR" w:eastAsia="tr-TR"/>
        </w:rPr>
      </w:pPr>
      <w:proofErr w:type="spellStart"/>
      <w:r w:rsidRPr="00716BBA">
        <w:rPr>
          <w:rFonts w:ascii="Times New Roman" w:eastAsia="Times New Roman" w:hAnsi="Times New Roman" w:cs="Times New Roman"/>
          <w:color w:val="000000"/>
          <w:sz w:val="20"/>
          <w:szCs w:val="20"/>
          <w:lang w:val="tr-TR" w:eastAsia="tr-TR"/>
        </w:rPr>
        <w:t>Sacroiliac</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Joint</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Findings</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Sacroiliac</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joint</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tenderness</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and</w:t>
      </w:r>
      <w:proofErr w:type="spellEnd"/>
      <w:r w:rsidRPr="00716BBA">
        <w:rPr>
          <w:rFonts w:ascii="Times New Roman" w:eastAsia="Times New Roman" w:hAnsi="Times New Roman" w:cs="Times New Roman"/>
          <w:color w:val="000000"/>
          <w:sz w:val="20"/>
          <w:szCs w:val="20"/>
          <w:lang w:val="tr-TR" w:eastAsia="tr-TR"/>
        </w:rPr>
        <w:t xml:space="preserve">/or </w:t>
      </w:r>
      <w:proofErr w:type="spellStart"/>
      <w:r w:rsidRPr="00716BBA">
        <w:rPr>
          <w:rFonts w:ascii="Times New Roman" w:eastAsia="Times New Roman" w:hAnsi="Times New Roman" w:cs="Times New Roman"/>
          <w:color w:val="000000"/>
          <w:sz w:val="20"/>
          <w:szCs w:val="20"/>
          <w:lang w:val="tr-TR" w:eastAsia="tr-TR"/>
        </w:rPr>
        <w:t>inflammatory</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lumbosacral</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pain</w:t>
      </w:r>
      <w:proofErr w:type="spellEnd"/>
      <w:r w:rsidRPr="00716BBA">
        <w:rPr>
          <w:rFonts w:ascii="Times New Roman" w:eastAsia="Times New Roman" w:hAnsi="Times New Roman" w:cs="Times New Roman"/>
          <w:color w:val="000000"/>
          <w:sz w:val="20"/>
          <w:szCs w:val="20"/>
          <w:lang w:val="tr-TR" w:eastAsia="tr-TR"/>
        </w:rPr>
        <w:t>.</w:t>
      </w:r>
    </w:p>
    <w:p w14:paraId="2302A43A" w14:textId="77777777" w:rsidR="00716BBA" w:rsidRPr="00716BBA" w:rsidRDefault="00716BBA" w:rsidP="00716BBA">
      <w:pPr>
        <w:shd w:val="clear" w:color="auto" w:fill="FFFFFF"/>
        <w:spacing w:after="0"/>
        <w:rPr>
          <w:rFonts w:ascii="Times New Roman" w:eastAsia="Times New Roman" w:hAnsi="Times New Roman" w:cs="Times New Roman"/>
          <w:color w:val="000000"/>
          <w:sz w:val="20"/>
          <w:szCs w:val="20"/>
          <w:lang w:val="tr-TR" w:eastAsia="tr-TR"/>
        </w:rPr>
      </w:pPr>
      <w:proofErr w:type="spellStart"/>
      <w:r w:rsidRPr="00716BBA">
        <w:rPr>
          <w:rFonts w:ascii="Times New Roman" w:eastAsia="Times New Roman" w:hAnsi="Times New Roman" w:cs="Times New Roman"/>
          <w:color w:val="000000"/>
          <w:sz w:val="20"/>
          <w:szCs w:val="20"/>
          <w:lang w:val="tr-TR" w:eastAsia="tr-TR"/>
        </w:rPr>
        <w:t>Biomarkers</w:t>
      </w:r>
      <w:proofErr w:type="spellEnd"/>
      <w:r w:rsidRPr="00716BBA">
        <w:rPr>
          <w:rFonts w:ascii="Times New Roman" w:eastAsia="Times New Roman" w:hAnsi="Times New Roman" w:cs="Times New Roman"/>
          <w:color w:val="000000"/>
          <w:sz w:val="20"/>
          <w:szCs w:val="20"/>
          <w:lang w:val="tr-TR" w:eastAsia="tr-TR"/>
        </w:rPr>
        <w:t xml:space="preserve">: HLA-B27 </w:t>
      </w:r>
      <w:proofErr w:type="spellStart"/>
      <w:r w:rsidRPr="00716BBA">
        <w:rPr>
          <w:rFonts w:ascii="Times New Roman" w:eastAsia="Times New Roman" w:hAnsi="Times New Roman" w:cs="Times New Roman"/>
          <w:color w:val="000000"/>
          <w:sz w:val="20"/>
          <w:szCs w:val="20"/>
          <w:lang w:val="tr-TR" w:eastAsia="tr-TR"/>
        </w:rPr>
        <w:t>positivity</w:t>
      </w:r>
      <w:proofErr w:type="spellEnd"/>
      <w:r w:rsidRPr="00716BBA">
        <w:rPr>
          <w:rFonts w:ascii="Times New Roman" w:eastAsia="Times New Roman" w:hAnsi="Times New Roman" w:cs="Times New Roman"/>
          <w:color w:val="000000"/>
          <w:sz w:val="20"/>
          <w:szCs w:val="20"/>
          <w:lang w:val="tr-TR" w:eastAsia="tr-TR"/>
        </w:rPr>
        <w:t>.</w:t>
      </w:r>
    </w:p>
    <w:p w14:paraId="376301EA" w14:textId="77777777" w:rsidR="00716BBA" w:rsidRPr="00716BBA" w:rsidRDefault="00716BBA" w:rsidP="00716BBA">
      <w:pPr>
        <w:shd w:val="clear" w:color="auto" w:fill="FFFFFF"/>
        <w:spacing w:after="0"/>
        <w:rPr>
          <w:rFonts w:ascii="Times New Roman" w:eastAsia="Times New Roman" w:hAnsi="Times New Roman" w:cs="Times New Roman"/>
          <w:color w:val="000000"/>
          <w:sz w:val="20"/>
          <w:szCs w:val="20"/>
          <w:lang w:val="tr-TR" w:eastAsia="tr-TR"/>
        </w:rPr>
      </w:pPr>
      <w:proofErr w:type="spellStart"/>
      <w:r w:rsidRPr="00716BBA">
        <w:rPr>
          <w:rFonts w:ascii="Times New Roman" w:eastAsia="Times New Roman" w:hAnsi="Times New Roman" w:cs="Times New Roman"/>
          <w:color w:val="000000"/>
          <w:sz w:val="20"/>
          <w:szCs w:val="20"/>
          <w:lang w:val="tr-TR" w:eastAsia="tr-TR"/>
        </w:rPr>
        <w:t>Family</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History</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Family</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history</w:t>
      </w:r>
      <w:proofErr w:type="spellEnd"/>
      <w:r w:rsidRPr="00716BBA">
        <w:rPr>
          <w:rFonts w:ascii="Times New Roman" w:eastAsia="Times New Roman" w:hAnsi="Times New Roman" w:cs="Times New Roman"/>
          <w:color w:val="000000"/>
          <w:sz w:val="20"/>
          <w:szCs w:val="20"/>
          <w:lang w:val="tr-TR" w:eastAsia="tr-TR"/>
        </w:rPr>
        <w:t xml:space="preserve"> in a </w:t>
      </w:r>
      <w:proofErr w:type="spellStart"/>
      <w:r w:rsidRPr="00716BBA">
        <w:rPr>
          <w:rFonts w:ascii="Times New Roman" w:eastAsia="Times New Roman" w:hAnsi="Times New Roman" w:cs="Times New Roman"/>
          <w:color w:val="000000"/>
          <w:sz w:val="20"/>
          <w:szCs w:val="20"/>
          <w:lang w:val="tr-TR" w:eastAsia="tr-TR"/>
        </w:rPr>
        <w:t>first</w:t>
      </w:r>
      <w:proofErr w:type="spellEnd"/>
      <w:r w:rsidRPr="00716BBA">
        <w:rPr>
          <w:rFonts w:ascii="Times New Roman" w:eastAsia="Times New Roman" w:hAnsi="Times New Roman" w:cs="Times New Roman"/>
          <w:color w:val="000000"/>
          <w:sz w:val="20"/>
          <w:szCs w:val="20"/>
          <w:lang w:val="tr-TR" w:eastAsia="tr-TR"/>
        </w:rPr>
        <w:t xml:space="preserve">- or </w:t>
      </w:r>
      <w:proofErr w:type="spellStart"/>
      <w:r w:rsidRPr="00716BBA">
        <w:rPr>
          <w:rFonts w:ascii="Times New Roman" w:eastAsia="Times New Roman" w:hAnsi="Times New Roman" w:cs="Times New Roman"/>
          <w:color w:val="000000"/>
          <w:sz w:val="20"/>
          <w:szCs w:val="20"/>
          <w:lang w:val="tr-TR" w:eastAsia="tr-TR"/>
        </w:rPr>
        <w:t>second-degree</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relative</w:t>
      </w:r>
      <w:proofErr w:type="spellEnd"/>
      <w:r w:rsidRPr="00716BBA">
        <w:rPr>
          <w:rFonts w:ascii="Times New Roman" w:eastAsia="Times New Roman" w:hAnsi="Times New Roman" w:cs="Times New Roman"/>
          <w:color w:val="000000"/>
          <w:sz w:val="20"/>
          <w:szCs w:val="20"/>
          <w:lang w:val="tr-TR" w:eastAsia="tr-TR"/>
        </w:rPr>
        <w:t xml:space="preserve"> of HLA-B27-associated </w:t>
      </w:r>
      <w:proofErr w:type="spellStart"/>
      <w:r w:rsidRPr="00716BBA">
        <w:rPr>
          <w:rFonts w:ascii="Times New Roman" w:eastAsia="Times New Roman" w:hAnsi="Times New Roman" w:cs="Times New Roman"/>
          <w:color w:val="000000"/>
          <w:sz w:val="20"/>
          <w:szCs w:val="20"/>
          <w:lang w:val="tr-TR" w:eastAsia="tr-TR"/>
        </w:rPr>
        <w:t>disease</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including</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ankylosing</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spondylitis</w:t>
      </w:r>
      <w:proofErr w:type="spellEnd"/>
      <w:r w:rsidRPr="00716BBA">
        <w:rPr>
          <w:rFonts w:ascii="Times New Roman" w:eastAsia="Times New Roman" w:hAnsi="Times New Roman" w:cs="Times New Roman"/>
          <w:color w:val="000000"/>
          <w:sz w:val="20"/>
          <w:szCs w:val="20"/>
          <w:lang w:val="tr-TR" w:eastAsia="tr-TR"/>
        </w:rPr>
        <w:t xml:space="preserve">, ERA, </w:t>
      </w:r>
      <w:proofErr w:type="spellStart"/>
      <w:r w:rsidRPr="00716BBA">
        <w:rPr>
          <w:rFonts w:ascii="Times New Roman" w:eastAsia="Times New Roman" w:hAnsi="Times New Roman" w:cs="Times New Roman"/>
          <w:color w:val="000000"/>
          <w:sz w:val="20"/>
          <w:szCs w:val="20"/>
          <w:lang w:val="tr-TR" w:eastAsia="tr-TR"/>
        </w:rPr>
        <w:t>sacroiliitis</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with</w:t>
      </w:r>
      <w:proofErr w:type="spellEnd"/>
      <w:r w:rsidRPr="00716BBA">
        <w:rPr>
          <w:rFonts w:ascii="Times New Roman" w:eastAsia="Times New Roman" w:hAnsi="Times New Roman" w:cs="Times New Roman"/>
          <w:color w:val="000000"/>
          <w:sz w:val="20"/>
          <w:szCs w:val="20"/>
          <w:lang w:val="tr-TR" w:eastAsia="tr-TR"/>
        </w:rPr>
        <w:t xml:space="preserve"> IBD, </w:t>
      </w:r>
      <w:proofErr w:type="spellStart"/>
      <w:r w:rsidRPr="00716BBA">
        <w:rPr>
          <w:rFonts w:ascii="Times New Roman" w:eastAsia="Times New Roman" w:hAnsi="Times New Roman" w:cs="Times New Roman"/>
          <w:color w:val="000000"/>
          <w:sz w:val="20"/>
          <w:szCs w:val="20"/>
          <w:lang w:val="tr-TR" w:eastAsia="tr-TR"/>
        </w:rPr>
        <w:t>reactive</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arthritis</w:t>
      </w:r>
      <w:proofErr w:type="spellEnd"/>
      <w:r w:rsidRPr="00716BBA">
        <w:rPr>
          <w:rFonts w:ascii="Times New Roman" w:eastAsia="Times New Roman" w:hAnsi="Times New Roman" w:cs="Times New Roman"/>
          <w:color w:val="000000"/>
          <w:sz w:val="20"/>
          <w:szCs w:val="20"/>
          <w:lang w:val="tr-TR" w:eastAsia="tr-TR"/>
        </w:rPr>
        <w:t xml:space="preserve">, or </w:t>
      </w:r>
      <w:proofErr w:type="spellStart"/>
      <w:r w:rsidRPr="00716BBA">
        <w:rPr>
          <w:rFonts w:ascii="Times New Roman" w:eastAsia="Times New Roman" w:hAnsi="Times New Roman" w:cs="Times New Roman"/>
          <w:color w:val="000000"/>
          <w:sz w:val="20"/>
          <w:szCs w:val="20"/>
          <w:lang w:val="tr-TR" w:eastAsia="tr-TR"/>
        </w:rPr>
        <w:t>acute</w:t>
      </w:r>
      <w:proofErr w:type="spellEnd"/>
      <w:r w:rsidRPr="00716BBA">
        <w:rPr>
          <w:rFonts w:ascii="Times New Roman" w:eastAsia="Times New Roman" w:hAnsi="Times New Roman" w:cs="Times New Roman"/>
          <w:color w:val="000000"/>
          <w:sz w:val="20"/>
          <w:szCs w:val="20"/>
          <w:lang w:val="tr-TR" w:eastAsia="tr-TR"/>
        </w:rPr>
        <w:t xml:space="preserve"> anterior </w:t>
      </w:r>
      <w:proofErr w:type="spellStart"/>
      <w:r w:rsidRPr="00716BBA">
        <w:rPr>
          <w:rFonts w:ascii="Times New Roman" w:eastAsia="Times New Roman" w:hAnsi="Times New Roman" w:cs="Times New Roman"/>
          <w:color w:val="000000"/>
          <w:sz w:val="20"/>
          <w:szCs w:val="20"/>
          <w:lang w:val="tr-TR" w:eastAsia="tr-TR"/>
        </w:rPr>
        <w:t>uveitis</w:t>
      </w:r>
      <w:proofErr w:type="spellEnd"/>
      <w:r w:rsidRPr="00716BBA">
        <w:rPr>
          <w:rFonts w:ascii="Times New Roman" w:eastAsia="Times New Roman" w:hAnsi="Times New Roman" w:cs="Times New Roman"/>
          <w:color w:val="000000"/>
          <w:sz w:val="20"/>
          <w:szCs w:val="20"/>
          <w:lang w:val="tr-TR" w:eastAsia="tr-TR"/>
        </w:rPr>
        <w:t>).</w:t>
      </w:r>
    </w:p>
    <w:p w14:paraId="6C4D345D" w14:textId="77777777" w:rsidR="00716BBA" w:rsidRPr="00716BBA" w:rsidRDefault="00716BBA" w:rsidP="00716BBA">
      <w:pPr>
        <w:shd w:val="clear" w:color="auto" w:fill="FFFFFF"/>
        <w:spacing w:after="0"/>
        <w:rPr>
          <w:rFonts w:ascii="Times New Roman" w:eastAsia="Times New Roman" w:hAnsi="Times New Roman" w:cs="Times New Roman"/>
          <w:color w:val="000000"/>
          <w:sz w:val="20"/>
          <w:szCs w:val="20"/>
          <w:lang w:val="tr-TR" w:eastAsia="tr-TR"/>
        </w:rPr>
      </w:pPr>
      <w:proofErr w:type="spellStart"/>
      <w:r w:rsidRPr="00716BBA">
        <w:rPr>
          <w:rFonts w:ascii="Times New Roman" w:eastAsia="Times New Roman" w:hAnsi="Times New Roman" w:cs="Times New Roman"/>
          <w:color w:val="000000"/>
          <w:sz w:val="20"/>
          <w:szCs w:val="20"/>
          <w:lang w:val="tr-TR" w:eastAsia="tr-TR"/>
        </w:rPr>
        <w:t>Ocular</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Manifestations</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Acute</w:t>
      </w:r>
      <w:proofErr w:type="spellEnd"/>
      <w:r w:rsidRPr="00716BBA">
        <w:rPr>
          <w:rFonts w:ascii="Times New Roman" w:eastAsia="Times New Roman" w:hAnsi="Times New Roman" w:cs="Times New Roman"/>
          <w:color w:val="000000"/>
          <w:sz w:val="20"/>
          <w:szCs w:val="20"/>
          <w:lang w:val="tr-TR" w:eastAsia="tr-TR"/>
        </w:rPr>
        <w:t xml:space="preserve"> anterior </w:t>
      </w:r>
      <w:proofErr w:type="spellStart"/>
      <w:r w:rsidRPr="00716BBA">
        <w:rPr>
          <w:rFonts w:ascii="Times New Roman" w:eastAsia="Times New Roman" w:hAnsi="Times New Roman" w:cs="Times New Roman"/>
          <w:color w:val="000000"/>
          <w:sz w:val="20"/>
          <w:szCs w:val="20"/>
          <w:lang w:val="tr-TR" w:eastAsia="tr-TR"/>
        </w:rPr>
        <w:t>uveitis</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characterized</w:t>
      </w:r>
      <w:proofErr w:type="spellEnd"/>
      <w:r w:rsidRPr="00716BBA">
        <w:rPr>
          <w:rFonts w:ascii="Times New Roman" w:eastAsia="Times New Roman" w:hAnsi="Times New Roman" w:cs="Times New Roman"/>
          <w:color w:val="000000"/>
          <w:sz w:val="20"/>
          <w:szCs w:val="20"/>
          <w:lang w:val="tr-TR" w:eastAsia="tr-TR"/>
        </w:rPr>
        <w:t xml:space="preserve"> as </w:t>
      </w:r>
      <w:proofErr w:type="spellStart"/>
      <w:r w:rsidRPr="00716BBA">
        <w:rPr>
          <w:rFonts w:ascii="Times New Roman" w:eastAsia="Times New Roman" w:hAnsi="Times New Roman" w:cs="Times New Roman"/>
          <w:color w:val="000000"/>
          <w:sz w:val="20"/>
          <w:szCs w:val="20"/>
          <w:lang w:val="tr-TR" w:eastAsia="tr-TR"/>
        </w:rPr>
        <w:t>symptomatic</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painful</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and</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typically</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unilateral</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which</w:t>
      </w:r>
      <w:proofErr w:type="spellEnd"/>
      <w:r w:rsidRPr="00716BBA">
        <w:rPr>
          <w:rFonts w:ascii="Times New Roman" w:eastAsia="Times New Roman" w:hAnsi="Times New Roman" w:cs="Times New Roman"/>
          <w:color w:val="000000"/>
          <w:sz w:val="20"/>
          <w:szCs w:val="20"/>
          <w:lang w:val="tr-TR" w:eastAsia="tr-TR"/>
        </w:rPr>
        <w:t xml:space="preserve"> is </w:t>
      </w:r>
      <w:proofErr w:type="spellStart"/>
      <w:r w:rsidRPr="00716BBA">
        <w:rPr>
          <w:rFonts w:ascii="Times New Roman" w:eastAsia="Times New Roman" w:hAnsi="Times New Roman" w:cs="Times New Roman"/>
          <w:color w:val="000000"/>
          <w:sz w:val="20"/>
          <w:szCs w:val="20"/>
          <w:lang w:val="tr-TR" w:eastAsia="tr-TR"/>
        </w:rPr>
        <w:t>distinct</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from</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the</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asymptomatic</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uveitis</w:t>
      </w:r>
      <w:proofErr w:type="spellEnd"/>
      <w:r w:rsidRPr="00716BBA">
        <w:rPr>
          <w:rFonts w:ascii="Times New Roman" w:eastAsia="Times New Roman" w:hAnsi="Times New Roman" w:cs="Times New Roman"/>
          <w:color w:val="000000"/>
          <w:sz w:val="20"/>
          <w:szCs w:val="20"/>
          <w:lang w:val="tr-TR" w:eastAsia="tr-TR"/>
        </w:rPr>
        <w:t xml:space="preserve"> of ANA-</w:t>
      </w:r>
      <w:proofErr w:type="spellStart"/>
      <w:r w:rsidRPr="00716BBA">
        <w:rPr>
          <w:rFonts w:ascii="Times New Roman" w:eastAsia="Times New Roman" w:hAnsi="Times New Roman" w:cs="Times New Roman"/>
          <w:color w:val="000000"/>
          <w:sz w:val="20"/>
          <w:szCs w:val="20"/>
          <w:lang w:val="tr-TR" w:eastAsia="tr-TR"/>
        </w:rPr>
        <w:t>positive</w:t>
      </w:r>
      <w:proofErr w:type="spellEnd"/>
      <w:r w:rsidRPr="00716BBA">
        <w:rPr>
          <w:rFonts w:ascii="Times New Roman" w:eastAsia="Times New Roman" w:hAnsi="Times New Roman" w:cs="Times New Roman"/>
          <w:color w:val="000000"/>
          <w:sz w:val="20"/>
          <w:szCs w:val="20"/>
          <w:lang w:val="tr-TR" w:eastAsia="tr-TR"/>
        </w:rPr>
        <w:t xml:space="preserve"> JIA).</w:t>
      </w:r>
    </w:p>
    <w:p w14:paraId="68DEC320" w14:textId="77777777" w:rsidR="00716BBA" w:rsidRPr="00716BBA" w:rsidRDefault="00716BBA" w:rsidP="00716BBA">
      <w:pPr>
        <w:shd w:val="clear" w:color="auto" w:fill="FFFFFF"/>
        <w:spacing w:after="0"/>
        <w:rPr>
          <w:rFonts w:ascii="Times New Roman" w:eastAsia="Times New Roman" w:hAnsi="Times New Roman" w:cs="Times New Roman"/>
          <w:color w:val="000000"/>
          <w:sz w:val="20"/>
          <w:szCs w:val="20"/>
          <w:lang w:val="tr-TR" w:eastAsia="tr-TR"/>
        </w:rPr>
      </w:pPr>
      <w:proofErr w:type="spellStart"/>
      <w:r w:rsidRPr="00716BBA">
        <w:rPr>
          <w:rFonts w:ascii="Times New Roman" w:eastAsia="Times New Roman" w:hAnsi="Times New Roman" w:cs="Times New Roman"/>
          <w:color w:val="000000"/>
          <w:sz w:val="20"/>
          <w:szCs w:val="20"/>
          <w:lang w:val="tr-TR" w:eastAsia="tr-TR"/>
        </w:rPr>
        <w:t>Demographics</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Onset</w:t>
      </w:r>
      <w:proofErr w:type="spellEnd"/>
      <w:r w:rsidRPr="00716BBA">
        <w:rPr>
          <w:rFonts w:ascii="Times New Roman" w:eastAsia="Times New Roman" w:hAnsi="Times New Roman" w:cs="Times New Roman"/>
          <w:color w:val="000000"/>
          <w:sz w:val="20"/>
          <w:szCs w:val="20"/>
          <w:lang w:val="tr-TR" w:eastAsia="tr-TR"/>
        </w:rPr>
        <w:t xml:space="preserve"> in a </w:t>
      </w:r>
      <w:proofErr w:type="spellStart"/>
      <w:r w:rsidRPr="00716BBA">
        <w:rPr>
          <w:rFonts w:ascii="Times New Roman" w:eastAsia="Times New Roman" w:hAnsi="Times New Roman" w:cs="Times New Roman"/>
          <w:color w:val="000000"/>
          <w:sz w:val="20"/>
          <w:szCs w:val="20"/>
          <w:lang w:val="tr-TR" w:eastAsia="tr-TR"/>
        </w:rPr>
        <w:t>male</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over</w:t>
      </w:r>
      <w:proofErr w:type="spellEnd"/>
      <w:r w:rsidRPr="00716BBA">
        <w:rPr>
          <w:rFonts w:ascii="Times New Roman" w:eastAsia="Times New Roman" w:hAnsi="Times New Roman" w:cs="Times New Roman"/>
          <w:color w:val="000000"/>
          <w:sz w:val="20"/>
          <w:szCs w:val="20"/>
          <w:lang w:val="tr-TR" w:eastAsia="tr-TR"/>
        </w:rPr>
        <w:t xml:space="preserve"> 6 </w:t>
      </w:r>
      <w:proofErr w:type="spellStart"/>
      <w:r w:rsidRPr="00716BBA">
        <w:rPr>
          <w:rFonts w:ascii="Times New Roman" w:eastAsia="Times New Roman" w:hAnsi="Times New Roman" w:cs="Times New Roman"/>
          <w:color w:val="000000"/>
          <w:sz w:val="20"/>
          <w:szCs w:val="20"/>
          <w:lang w:val="tr-TR" w:eastAsia="tr-TR"/>
        </w:rPr>
        <w:t>years</w:t>
      </w:r>
      <w:proofErr w:type="spellEnd"/>
      <w:r w:rsidRPr="00716BBA">
        <w:rPr>
          <w:rFonts w:ascii="Times New Roman" w:eastAsia="Times New Roman" w:hAnsi="Times New Roman" w:cs="Times New Roman"/>
          <w:color w:val="000000"/>
          <w:sz w:val="20"/>
          <w:szCs w:val="20"/>
          <w:lang w:val="tr-TR" w:eastAsia="tr-TR"/>
        </w:rPr>
        <w:t xml:space="preserve"> of age.</w:t>
      </w:r>
    </w:p>
    <w:p w14:paraId="44F09FAE" w14:textId="77777777" w:rsidR="00716BBA" w:rsidRPr="00716BBA" w:rsidRDefault="00716BBA" w:rsidP="00716BBA">
      <w:pPr>
        <w:shd w:val="clear" w:color="auto" w:fill="FFFFFF"/>
        <w:spacing w:after="0"/>
        <w:rPr>
          <w:rFonts w:ascii="Times New Roman" w:eastAsia="Times New Roman" w:hAnsi="Times New Roman" w:cs="Times New Roman"/>
          <w:color w:val="000000"/>
          <w:sz w:val="20"/>
          <w:szCs w:val="20"/>
          <w:lang w:val="tr-TR" w:eastAsia="tr-TR"/>
        </w:rPr>
      </w:pPr>
      <w:proofErr w:type="spellStart"/>
      <w:r w:rsidRPr="00716BBA">
        <w:rPr>
          <w:rFonts w:ascii="Times New Roman" w:eastAsia="Times New Roman" w:hAnsi="Times New Roman" w:cs="Times New Roman"/>
          <w:color w:val="000000"/>
          <w:sz w:val="20"/>
          <w:szCs w:val="20"/>
          <w:lang w:val="tr-TR" w:eastAsia="tr-TR"/>
        </w:rPr>
        <w:t>Key</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Clinical</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Features</w:t>
      </w:r>
      <w:proofErr w:type="spellEnd"/>
      <w:r w:rsidRPr="00716BBA">
        <w:rPr>
          <w:rFonts w:ascii="Times New Roman" w:eastAsia="Times New Roman" w:hAnsi="Times New Roman" w:cs="Times New Roman"/>
          <w:color w:val="000000"/>
          <w:sz w:val="20"/>
          <w:szCs w:val="20"/>
          <w:lang w:val="tr-TR" w:eastAsia="tr-TR"/>
        </w:rPr>
        <w:t>:</w:t>
      </w:r>
    </w:p>
    <w:p w14:paraId="5E2AB61E" w14:textId="77777777" w:rsidR="00716BBA" w:rsidRPr="00716BBA" w:rsidRDefault="00716BBA" w:rsidP="00716BBA">
      <w:pPr>
        <w:shd w:val="clear" w:color="auto" w:fill="FFFFFF"/>
        <w:spacing w:after="0"/>
        <w:rPr>
          <w:rFonts w:ascii="Times New Roman" w:eastAsia="Times New Roman" w:hAnsi="Times New Roman" w:cs="Times New Roman"/>
          <w:color w:val="000000"/>
          <w:sz w:val="20"/>
          <w:szCs w:val="20"/>
          <w:lang w:val="tr-TR" w:eastAsia="tr-TR"/>
        </w:rPr>
      </w:pPr>
      <w:proofErr w:type="spellStart"/>
      <w:r w:rsidRPr="00716BBA">
        <w:rPr>
          <w:rFonts w:ascii="Times New Roman" w:eastAsia="Times New Roman" w:hAnsi="Times New Roman" w:cs="Times New Roman"/>
          <w:color w:val="000000"/>
          <w:sz w:val="20"/>
          <w:szCs w:val="20"/>
          <w:lang w:val="tr-TR" w:eastAsia="tr-TR"/>
        </w:rPr>
        <w:t>Arthritis</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Pattern</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Peripheral</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arthritis</w:t>
      </w:r>
      <w:proofErr w:type="spellEnd"/>
      <w:r w:rsidRPr="00716BBA">
        <w:rPr>
          <w:rFonts w:ascii="Times New Roman" w:eastAsia="Times New Roman" w:hAnsi="Times New Roman" w:cs="Times New Roman"/>
          <w:color w:val="000000"/>
          <w:sz w:val="20"/>
          <w:szCs w:val="20"/>
          <w:lang w:val="tr-TR" w:eastAsia="tr-TR"/>
        </w:rPr>
        <w:t xml:space="preserve"> is </w:t>
      </w:r>
      <w:proofErr w:type="spellStart"/>
      <w:r w:rsidRPr="00716BBA">
        <w:rPr>
          <w:rFonts w:ascii="Times New Roman" w:eastAsia="Times New Roman" w:hAnsi="Times New Roman" w:cs="Times New Roman"/>
          <w:color w:val="000000"/>
          <w:sz w:val="20"/>
          <w:szCs w:val="20"/>
          <w:lang w:val="tr-TR" w:eastAsia="tr-TR"/>
        </w:rPr>
        <w:t>typically</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asymmetric</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oligoarticular</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and</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predominantly</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affects</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lower</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limb</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large</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joints</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particularly</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the</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hip</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knee</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and</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ankle</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Hip</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involvement</w:t>
      </w:r>
      <w:proofErr w:type="spellEnd"/>
      <w:r w:rsidRPr="00716BBA">
        <w:rPr>
          <w:rFonts w:ascii="Times New Roman" w:eastAsia="Times New Roman" w:hAnsi="Times New Roman" w:cs="Times New Roman"/>
          <w:color w:val="000000"/>
          <w:sz w:val="20"/>
          <w:szCs w:val="20"/>
          <w:lang w:val="tr-TR" w:eastAsia="tr-TR"/>
        </w:rPr>
        <w:t xml:space="preserve"> is </w:t>
      </w:r>
      <w:proofErr w:type="spellStart"/>
      <w:r w:rsidRPr="00716BBA">
        <w:rPr>
          <w:rFonts w:ascii="Times New Roman" w:eastAsia="Times New Roman" w:hAnsi="Times New Roman" w:cs="Times New Roman"/>
          <w:color w:val="000000"/>
          <w:sz w:val="20"/>
          <w:szCs w:val="20"/>
          <w:lang w:val="tr-TR" w:eastAsia="tr-TR"/>
        </w:rPr>
        <w:t>common</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and</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clinically</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significant</w:t>
      </w:r>
      <w:proofErr w:type="spellEnd"/>
      <w:r w:rsidRPr="00716BBA">
        <w:rPr>
          <w:rFonts w:ascii="Times New Roman" w:eastAsia="Times New Roman" w:hAnsi="Times New Roman" w:cs="Times New Roman"/>
          <w:color w:val="000000"/>
          <w:sz w:val="20"/>
          <w:szCs w:val="20"/>
          <w:lang w:val="tr-TR" w:eastAsia="tr-TR"/>
        </w:rPr>
        <w:t>.</w:t>
      </w:r>
    </w:p>
    <w:p w14:paraId="279989EC" w14:textId="77777777" w:rsidR="00716BBA" w:rsidRPr="00716BBA" w:rsidRDefault="00716BBA" w:rsidP="00716BBA">
      <w:pPr>
        <w:shd w:val="clear" w:color="auto" w:fill="FFFFFF"/>
        <w:spacing w:after="0"/>
        <w:rPr>
          <w:rFonts w:ascii="Times New Roman" w:eastAsia="Times New Roman" w:hAnsi="Times New Roman" w:cs="Times New Roman"/>
          <w:color w:val="000000"/>
          <w:sz w:val="20"/>
          <w:szCs w:val="20"/>
          <w:lang w:val="tr-TR" w:eastAsia="tr-TR"/>
        </w:rPr>
      </w:pPr>
      <w:proofErr w:type="spellStart"/>
      <w:r w:rsidRPr="00716BBA">
        <w:rPr>
          <w:rFonts w:ascii="Times New Roman" w:eastAsia="Times New Roman" w:hAnsi="Times New Roman" w:cs="Times New Roman"/>
          <w:color w:val="000000"/>
          <w:sz w:val="20"/>
          <w:szCs w:val="20"/>
          <w:lang w:val="tr-TR" w:eastAsia="tr-TR"/>
        </w:rPr>
        <w:t>Enthesitis</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Sites</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Enthesitis</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most</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frequently</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affects</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the</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Achilles</w:t>
      </w:r>
      <w:proofErr w:type="spellEnd"/>
      <w:r w:rsidRPr="00716BBA">
        <w:rPr>
          <w:rFonts w:ascii="Times New Roman" w:eastAsia="Times New Roman" w:hAnsi="Times New Roman" w:cs="Times New Roman"/>
          <w:color w:val="000000"/>
          <w:sz w:val="20"/>
          <w:szCs w:val="20"/>
          <w:lang w:val="tr-TR" w:eastAsia="tr-TR"/>
        </w:rPr>
        <w:t xml:space="preserve"> tendon </w:t>
      </w:r>
      <w:proofErr w:type="spellStart"/>
      <w:r w:rsidRPr="00716BBA">
        <w:rPr>
          <w:rFonts w:ascii="Times New Roman" w:eastAsia="Times New Roman" w:hAnsi="Times New Roman" w:cs="Times New Roman"/>
          <w:color w:val="000000"/>
          <w:sz w:val="20"/>
          <w:szCs w:val="20"/>
          <w:lang w:val="tr-TR" w:eastAsia="tr-TR"/>
        </w:rPr>
        <w:t>insertion</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plantar</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fascia</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and</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inferior</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patellar</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pole</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Tarsitis</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defined</w:t>
      </w:r>
      <w:proofErr w:type="spellEnd"/>
      <w:r w:rsidRPr="00716BBA">
        <w:rPr>
          <w:rFonts w:ascii="Times New Roman" w:eastAsia="Times New Roman" w:hAnsi="Times New Roman" w:cs="Times New Roman"/>
          <w:color w:val="000000"/>
          <w:sz w:val="20"/>
          <w:szCs w:val="20"/>
          <w:lang w:val="tr-TR" w:eastAsia="tr-TR"/>
        </w:rPr>
        <w:t xml:space="preserve"> as </w:t>
      </w:r>
      <w:proofErr w:type="spellStart"/>
      <w:r w:rsidRPr="00716BBA">
        <w:rPr>
          <w:rFonts w:ascii="Times New Roman" w:eastAsia="Times New Roman" w:hAnsi="Times New Roman" w:cs="Times New Roman"/>
          <w:color w:val="000000"/>
          <w:sz w:val="20"/>
          <w:szCs w:val="20"/>
          <w:lang w:val="tr-TR" w:eastAsia="tr-TR"/>
        </w:rPr>
        <w:t>diffuse</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swelling</w:t>
      </w:r>
      <w:proofErr w:type="spellEnd"/>
      <w:r w:rsidRPr="00716BBA">
        <w:rPr>
          <w:rFonts w:ascii="Times New Roman" w:eastAsia="Times New Roman" w:hAnsi="Times New Roman" w:cs="Times New Roman"/>
          <w:color w:val="000000"/>
          <w:sz w:val="20"/>
          <w:szCs w:val="20"/>
          <w:lang w:val="tr-TR" w:eastAsia="tr-TR"/>
        </w:rPr>
        <w:t xml:space="preserve"> of </w:t>
      </w:r>
      <w:proofErr w:type="spellStart"/>
      <w:r w:rsidRPr="00716BBA">
        <w:rPr>
          <w:rFonts w:ascii="Times New Roman" w:eastAsia="Times New Roman" w:hAnsi="Times New Roman" w:cs="Times New Roman"/>
          <w:color w:val="000000"/>
          <w:sz w:val="20"/>
          <w:szCs w:val="20"/>
          <w:lang w:val="tr-TR" w:eastAsia="tr-TR"/>
        </w:rPr>
        <w:t>the</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midfoot</w:t>
      </w:r>
      <w:proofErr w:type="spellEnd"/>
      <w:r w:rsidRPr="00716BBA">
        <w:rPr>
          <w:rFonts w:ascii="Times New Roman" w:eastAsia="Times New Roman" w:hAnsi="Times New Roman" w:cs="Times New Roman"/>
          <w:color w:val="000000"/>
          <w:sz w:val="20"/>
          <w:szCs w:val="20"/>
          <w:lang w:val="tr-TR" w:eastAsia="tr-TR"/>
        </w:rPr>
        <w:t xml:space="preserve">, is a </w:t>
      </w:r>
      <w:proofErr w:type="spellStart"/>
      <w:r w:rsidRPr="00716BBA">
        <w:rPr>
          <w:rFonts w:ascii="Times New Roman" w:eastAsia="Times New Roman" w:hAnsi="Times New Roman" w:cs="Times New Roman"/>
          <w:color w:val="000000"/>
          <w:sz w:val="20"/>
          <w:szCs w:val="20"/>
          <w:lang w:val="tr-TR" w:eastAsia="tr-TR"/>
        </w:rPr>
        <w:t>characteristic</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and</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often</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diagnostically</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helpful</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finding</w:t>
      </w:r>
      <w:proofErr w:type="spellEnd"/>
      <w:r w:rsidRPr="00716BBA">
        <w:rPr>
          <w:rFonts w:ascii="Times New Roman" w:eastAsia="Times New Roman" w:hAnsi="Times New Roman" w:cs="Times New Roman"/>
          <w:color w:val="000000"/>
          <w:sz w:val="20"/>
          <w:szCs w:val="20"/>
          <w:lang w:val="tr-TR" w:eastAsia="tr-TR"/>
        </w:rPr>
        <w:t>.</w:t>
      </w:r>
    </w:p>
    <w:p w14:paraId="484CE139" w14:textId="77777777" w:rsidR="00716BBA" w:rsidRPr="00716BBA" w:rsidRDefault="00716BBA" w:rsidP="00716BBA">
      <w:pPr>
        <w:shd w:val="clear" w:color="auto" w:fill="FFFFFF"/>
        <w:spacing w:after="0"/>
        <w:rPr>
          <w:rFonts w:ascii="Times New Roman" w:eastAsia="Times New Roman" w:hAnsi="Times New Roman" w:cs="Times New Roman"/>
          <w:color w:val="000000"/>
          <w:sz w:val="20"/>
          <w:szCs w:val="20"/>
          <w:lang w:val="tr-TR" w:eastAsia="tr-TR"/>
        </w:rPr>
      </w:pPr>
      <w:proofErr w:type="spellStart"/>
      <w:r w:rsidRPr="00716BBA">
        <w:rPr>
          <w:rFonts w:ascii="Times New Roman" w:eastAsia="Times New Roman" w:hAnsi="Times New Roman" w:cs="Times New Roman"/>
          <w:color w:val="000000"/>
          <w:sz w:val="20"/>
          <w:szCs w:val="20"/>
          <w:lang w:val="tr-TR" w:eastAsia="tr-TR"/>
        </w:rPr>
        <w:lastRenderedPageBreak/>
        <w:t>Axial</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Progression</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Axial</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involvement</w:t>
      </w:r>
      <w:proofErr w:type="spellEnd"/>
      <w:r w:rsidRPr="00716BBA">
        <w:rPr>
          <w:rFonts w:ascii="Times New Roman" w:eastAsia="Times New Roman" w:hAnsi="Times New Roman" w:cs="Times New Roman"/>
          <w:color w:val="000000"/>
          <w:sz w:val="20"/>
          <w:szCs w:val="20"/>
          <w:lang w:val="tr-TR" w:eastAsia="tr-TR"/>
        </w:rPr>
        <w:t xml:space="preserve"> at </w:t>
      </w:r>
      <w:proofErr w:type="spellStart"/>
      <w:r w:rsidRPr="00716BBA">
        <w:rPr>
          <w:rFonts w:ascii="Times New Roman" w:eastAsia="Times New Roman" w:hAnsi="Times New Roman" w:cs="Times New Roman"/>
          <w:color w:val="000000"/>
          <w:sz w:val="20"/>
          <w:szCs w:val="20"/>
          <w:lang w:val="tr-TR" w:eastAsia="tr-TR"/>
        </w:rPr>
        <w:t>disease</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onset</w:t>
      </w:r>
      <w:proofErr w:type="spellEnd"/>
      <w:r w:rsidRPr="00716BBA">
        <w:rPr>
          <w:rFonts w:ascii="Times New Roman" w:eastAsia="Times New Roman" w:hAnsi="Times New Roman" w:cs="Times New Roman"/>
          <w:color w:val="000000"/>
          <w:sz w:val="20"/>
          <w:szCs w:val="20"/>
          <w:lang w:val="tr-TR" w:eastAsia="tr-TR"/>
        </w:rPr>
        <w:t xml:space="preserve"> is </w:t>
      </w:r>
      <w:proofErr w:type="spellStart"/>
      <w:r w:rsidRPr="00716BBA">
        <w:rPr>
          <w:rFonts w:ascii="Times New Roman" w:eastAsia="Times New Roman" w:hAnsi="Times New Roman" w:cs="Times New Roman"/>
          <w:color w:val="000000"/>
          <w:sz w:val="20"/>
          <w:szCs w:val="20"/>
          <w:lang w:val="tr-TR" w:eastAsia="tr-TR"/>
        </w:rPr>
        <w:t>less</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common</w:t>
      </w:r>
      <w:proofErr w:type="spellEnd"/>
      <w:r w:rsidRPr="00716BBA">
        <w:rPr>
          <w:rFonts w:ascii="Times New Roman" w:eastAsia="Times New Roman" w:hAnsi="Times New Roman" w:cs="Times New Roman"/>
          <w:color w:val="000000"/>
          <w:sz w:val="20"/>
          <w:szCs w:val="20"/>
          <w:lang w:val="tr-TR" w:eastAsia="tr-TR"/>
        </w:rPr>
        <w:t xml:space="preserve"> in </w:t>
      </w:r>
      <w:proofErr w:type="spellStart"/>
      <w:r w:rsidRPr="00716BBA">
        <w:rPr>
          <w:rFonts w:ascii="Times New Roman" w:eastAsia="Times New Roman" w:hAnsi="Times New Roman" w:cs="Times New Roman"/>
          <w:color w:val="000000"/>
          <w:sz w:val="20"/>
          <w:szCs w:val="20"/>
          <w:lang w:val="tr-TR" w:eastAsia="tr-TR"/>
        </w:rPr>
        <w:t>children</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than</w:t>
      </w:r>
      <w:proofErr w:type="spellEnd"/>
      <w:r w:rsidRPr="00716BBA">
        <w:rPr>
          <w:rFonts w:ascii="Times New Roman" w:eastAsia="Times New Roman" w:hAnsi="Times New Roman" w:cs="Times New Roman"/>
          <w:color w:val="000000"/>
          <w:sz w:val="20"/>
          <w:szCs w:val="20"/>
          <w:lang w:val="tr-TR" w:eastAsia="tr-TR"/>
        </w:rPr>
        <w:t xml:space="preserve"> in </w:t>
      </w:r>
      <w:proofErr w:type="spellStart"/>
      <w:r w:rsidRPr="00716BBA">
        <w:rPr>
          <w:rFonts w:ascii="Times New Roman" w:eastAsia="Times New Roman" w:hAnsi="Times New Roman" w:cs="Times New Roman"/>
          <w:color w:val="000000"/>
          <w:sz w:val="20"/>
          <w:szCs w:val="20"/>
          <w:lang w:val="tr-TR" w:eastAsia="tr-TR"/>
        </w:rPr>
        <w:t>adults</w:t>
      </w:r>
      <w:proofErr w:type="spellEnd"/>
      <w:r w:rsidRPr="00716BBA">
        <w:rPr>
          <w:rFonts w:ascii="Times New Roman" w:eastAsia="Times New Roman" w:hAnsi="Times New Roman" w:cs="Times New Roman"/>
          <w:color w:val="000000"/>
          <w:sz w:val="20"/>
          <w:szCs w:val="20"/>
          <w:lang w:val="tr-TR" w:eastAsia="tr-TR"/>
        </w:rPr>
        <w:t xml:space="preserve"> but </w:t>
      </w:r>
      <w:proofErr w:type="spellStart"/>
      <w:r w:rsidRPr="00716BBA">
        <w:rPr>
          <w:rFonts w:ascii="Times New Roman" w:eastAsia="Times New Roman" w:hAnsi="Times New Roman" w:cs="Times New Roman"/>
          <w:color w:val="000000"/>
          <w:sz w:val="20"/>
          <w:szCs w:val="20"/>
          <w:lang w:val="tr-TR" w:eastAsia="tr-TR"/>
        </w:rPr>
        <w:t>develops</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over</w:t>
      </w:r>
      <w:proofErr w:type="spellEnd"/>
      <w:r w:rsidRPr="00716BBA">
        <w:rPr>
          <w:rFonts w:ascii="Times New Roman" w:eastAsia="Times New Roman" w:hAnsi="Times New Roman" w:cs="Times New Roman"/>
          <w:color w:val="000000"/>
          <w:sz w:val="20"/>
          <w:szCs w:val="20"/>
          <w:lang w:val="tr-TR" w:eastAsia="tr-TR"/>
        </w:rPr>
        <w:t xml:space="preserve"> time, </w:t>
      </w:r>
      <w:proofErr w:type="spellStart"/>
      <w:r w:rsidRPr="00716BBA">
        <w:rPr>
          <w:rFonts w:ascii="Times New Roman" w:eastAsia="Times New Roman" w:hAnsi="Times New Roman" w:cs="Times New Roman"/>
          <w:color w:val="000000"/>
          <w:sz w:val="20"/>
          <w:szCs w:val="20"/>
          <w:lang w:val="tr-TR" w:eastAsia="tr-TR"/>
        </w:rPr>
        <w:t>with</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sacroiliitis</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emerging</w:t>
      </w:r>
      <w:proofErr w:type="spellEnd"/>
      <w:r w:rsidRPr="00716BBA">
        <w:rPr>
          <w:rFonts w:ascii="Times New Roman" w:eastAsia="Times New Roman" w:hAnsi="Times New Roman" w:cs="Times New Roman"/>
          <w:color w:val="000000"/>
          <w:sz w:val="20"/>
          <w:szCs w:val="20"/>
          <w:lang w:val="tr-TR" w:eastAsia="tr-TR"/>
        </w:rPr>
        <w:t xml:space="preserve"> in a </w:t>
      </w:r>
      <w:proofErr w:type="spellStart"/>
      <w:r w:rsidRPr="00716BBA">
        <w:rPr>
          <w:rFonts w:ascii="Times New Roman" w:eastAsia="Times New Roman" w:hAnsi="Times New Roman" w:cs="Times New Roman"/>
          <w:color w:val="000000"/>
          <w:sz w:val="20"/>
          <w:szCs w:val="20"/>
          <w:lang w:val="tr-TR" w:eastAsia="tr-TR"/>
        </w:rPr>
        <w:t>substantial</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proportion</w:t>
      </w:r>
      <w:proofErr w:type="spellEnd"/>
      <w:r w:rsidRPr="00716BBA">
        <w:rPr>
          <w:rFonts w:ascii="Times New Roman" w:eastAsia="Times New Roman" w:hAnsi="Times New Roman" w:cs="Times New Roman"/>
          <w:color w:val="000000"/>
          <w:sz w:val="20"/>
          <w:szCs w:val="20"/>
          <w:lang w:val="tr-TR" w:eastAsia="tr-TR"/>
        </w:rPr>
        <w:t>.</w:t>
      </w:r>
    </w:p>
    <w:p w14:paraId="48693447" w14:textId="77777777" w:rsidR="00716BBA" w:rsidRPr="00716BBA" w:rsidRDefault="00716BBA" w:rsidP="00716BBA">
      <w:pPr>
        <w:shd w:val="clear" w:color="auto" w:fill="FFFFFF"/>
        <w:spacing w:after="0"/>
        <w:rPr>
          <w:rFonts w:ascii="Times New Roman" w:eastAsia="Times New Roman" w:hAnsi="Times New Roman" w:cs="Times New Roman"/>
          <w:color w:val="000000"/>
          <w:sz w:val="20"/>
          <w:szCs w:val="20"/>
          <w:lang w:val="tr-TR" w:eastAsia="tr-TR"/>
        </w:rPr>
      </w:pPr>
      <w:proofErr w:type="spellStart"/>
      <w:r w:rsidRPr="00716BBA">
        <w:rPr>
          <w:rFonts w:ascii="Times New Roman" w:eastAsia="Times New Roman" w:hAnsi="Times New Roman" w:cs="Times New Roman"/>
          <w:color w:val="000000"/>
          <w:sz w:val="20"/>
          <w:szCs w:val="20"/>
          <w:lang w:val="tr-TR" w:eastAsia="tr-TR"/>
        </w:rPr>
        <w:t>Laboratory</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Findings</w:t>
      </w:r>
      <w:proofErr w:type="spellEnd"/>
      <w:r w:rsidRPr="00716BBA">
        <w:rPr>
          <w:rFonts w:ascii="Times New Roman" w:eastAsia="Times New Roman" w:hAnsi="Times New Roman" w:cs="Times New Roman"/>
          <w:color w:val="000000"/>
          <w:sz w:val="20"/>
          <w:szCs w:val="20"/>
          <w:lang w:val="tr-TR" w:eastAsia="tr-TR"/>
        </w:rPr>
        <w:t>:</w:t>
      </w:r>
    </w:p>
    <w:p w14:paraId="07076934" w14:textId="77777777" w:rsidR="00716BBA" w:rsidRPr="00716BBA" w:rsidRDefault="00716BBA" w:rsidP="00716BBA">
      <w:pPr>
        <w:shd w:val="clear" w:color="auto" w:fill="FFFFFF"/>
        <w:spacing w:after="0"/>
        <w:rPr>
          <w:rFonts w:ascii="Times New Roman" w:eastAsia="Times New Roman" w:hAnsi="Times New Roman" w:cs="Times New Roman"/>
          <w:color w:val="000000"/>
          <w:sz w:val="20"/>
          <w:szCs w:val="20"/>
          <w:lang w:val="tr-TR" w:eastAsia="tr-TR"/>
        </w:rPr>
      </w:pPr>
      <w:proofErr w:type="spellStart"/>
      <w:r w:rsidRPr="00716BBA">
        <w:rPr>
          <w:rFonts w:ascii="Times New Roman" w:eastAsia="Times New Roman" w:hAnsi="Times New Roman" w:cs="Times New Roman"/>
          <w:color w:val="000000"/>
          <w:sz w:val="20"/>
          <w:szCs w:val="20"/>
          <w:lang w:val="tr-TR" w:eastAsia="tr-TR"/>
        </w:rPr>
        <w:t>Genetic</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Markers</w:t>
      </w:r>
      <w:proofErr w:type="spellEnd"/>
      <w:r w:rsidRPr="00716BBA">
        <w:rPr>
          <w:rFonts w:ascii="Times New Roman" w:eastAsia="Times New Roman" w:hAnsi="Times New Roman" w:cs="Times New Roman"/>
          <w:color w:val="000000"/>
          <w:sz w:val="20"/>
          <w:szCs w:val="20"/>
          <w:lang w:val="tr-TR" w:eastAsia="tr-TR"/>
        </w:rPr>
        <w:t xml:space="preserve">: HLA-B27 is </w:t>
      </w:r>
      <w:proofErr w:type="spellStart"/>
      <w:r w:rsidRPr="00716BBA">
        <w:rPr>
          <w:rFonts w:ascii="Times New Roman" w:eastAsia="Times New Roman" w:hAnsi="Times New Roman" w:cs="Times New Roman"/>
          <w:color w:val="000000"/>
          <w:sz w:val="20"/>
          <w:szCs w:val="20"/>
          <w:lang w:val="tr-TR" w:eastAsia="tr-TR"/>
        </w:rPr>
        <w:t>present</w:t>
      </w:r>
      <w:proofErr w:type="spellEnd"/>
      <w:r w:rsidRPr="00716BBA">
        <w:rPr>
          <w:rFonts w:ascii="Times New Roman" w:eastAsia="Times New Roman" w:hAnsi="Times New Roman" w:cs="Times New Roman"/>
          <w:color w:val="000000"/>
          <w:sz w:val="20"/>
          <w:szCs w:val="20"/>
          <w:lang w:val="tr-TR" w:eastAsia="tr-TR"/>
        </w:rPr>
        <w:t xml:space="preserve"> in </w:t>
      </w:r>
      <w:proofErr w:type="spellStart"/>
      <w:r w:rsidRPr="00716BBA">
        <w:rPr>
          <w:rFonts w:ascii="Times New Roman" w:eastAsia="Times New Roman" w:hAnsi="Times New Roman" w:cs="Times New Roman"/>
          <w:color w:val="000000"/>
          <w:sz w:val="20"/>
          <w:szCs w:val="20"/>
          <w:lang w:val="tr-TR" w:eastAsia="tr-TR"/>
        </w:rPr>
        <w:t>approximately</w:t>
      </w:r>
      <w:proofErr w:type="spellEnd"/>
      <w:r w:rsidRPr="00716BBA">
        <w:rPr>
          <w:rFonts w:ascii="Times New Roman" w:eastAsia="Times New Roman" w:hAnsi="Times New Roman" w:cs="Times New Roman"/>
          <w:color w:val="000000"/>
          <w:sz w:val="20"/>
          <w:szCs w:val="20"/>
          <w:lang w:val="tr-TR" w:eastAsia="tr-TR"/>
        </w:rPr>
        <w:t xml:space="preserve"> 80-90% of ERA </w:t>
      </w:r>
      <w:proofErr w:type="spellStart"/>
      <w:r w:rsidRPr="00716BBA">
        <w:rPr>
          <w:rFonts w:ascii="Times New Roman" w:eastAsia="Times New Roman" w:hAnsi="Times New Roman" w:cs="Times New Roman"/>
          <w:color w:val="000000"/>
          <w:sz w:val="20"/>
          <w:szCs w:val="20"/>
          <w:lang w:val="tr-TR" w:eastAsia="tr-TR"/>
        </w:rPr>
        <w:t>patients</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and</w:t>
      </w:r>
      <w:proofErr w:type="spellEnd"/>
      <w:r w:rsidRPr="00716BBA">
        <w:rPr>
          <w:rFonts w:ascii="Times New Roman" w:eastAsia="Times New Roman" w:hAnsi="Times New Roman" w:cs="Times New Roman"/>
          <w:color w:val="000000"/>
          <w:sz w:val="20"/>
          <w:szCs w:val="20"/>
          <w:lang w:val="tr-TR" w:eastAsia="tr-TR"/>
        </w:rPr>
        <w:t xml:space="preserve"> is </w:t>
      </w:r>
      <w:proofErr w:type="spellStart"/>
      <w:r w:rsidRPr="00716BBA">
        <w:rPr>
          <w:rFonts w:ascii="Times New Roman" w:eastAsia="Times New Roman" w:hAnsi="Times New Roman" w:cs="Times New Roman"/>
          <w:color w:val="000000"/>
          <w:sz w:val="20"/>
          <w:szCs w:val="20"/>
          <w:lang w:val="tr-TR" w:eastAsia="tr-TR"/>
        </w:rPr>
        <w:t>the</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most</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important</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laboratory</w:t>
      </w:r>
      <w:proofErr w:type="spellEnd"/>
      <w:r w:rsidRPr="00716BBA">
        <w:rPr>
          <w:rFonts w:ascii="Times New Roman" w:eastAsia="Times New Roman" w:hAnsi="Times New Roman" w:cs="Times New Roman"/>
          <w:color w:val="000000"/>
          <w:sz w:val="20"/>
          <w:szCs w:val="20"/>
          <w:lang w:val="tr-TR" w:eastAsia="tr-TR"/>
        </w:rPr>
        <w:t xml:space="preserve"> marker. </w:t>
      </w:r>
      <w:proofErr w:type="spellStart"/>
      <w:r w:rsidRPr="00716BBA">
        <w:rPr>
          <w:rFonts w:ascii="Times New Roman" w:eastAsia="Times New Roman" w:hAnsi="Times New Roman" w:cs="Times New Roman"/>
          <w:color w:val="000000"/>
          <w:sz w:val="20"/>
          <w:szCs w:val="20"/>
          <w:lang w:val="tr-TR" w:eastAsia="tr-TR"/>
        </w:rPr>
        <w:t>Acute</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phase</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reactants</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are</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frequently</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elevated</w:t>
      </w:r>
      <w:proofErr w:type="spellEnd"/>
      <w:r w:rsidRPr="00716BBA">
        <w:rPr>
          <w:rFonts w:ascii="Times New Roman" w:eastAsia="Times New Roman" w:hAnsi="Times New Roman" w:cs="Times New Roman"/>
          <w:color w:val="000000"/>
          <w:sz w:val="20"/>
          <w:szCs w:val="20"/>
          <w:lang w:val="tr-TR" w:eastAsia="tr-TR"/>
        </w:rPr>
        <w:t>.</w:t>
      </w:r>
    </w:p>
    <w:p w14:paraId="425BA876" w14:textId="77777777" w:rsidR="00716BBA" w:rsidRPr="00716BBA" w:rsidRDefault="00716BBA" w:rsidP="00716BBA">
      <w:pPr>
        <w:shd w:val="clear" w:color="auto" w:fill="FFFFFF"/>
        <w:spacing w:after="0"/>
        <w:rPr>
          <w:rFonts w:ascii="Times New Roman" w:eastAsia="Times New Roman" w:hAnsi="Times New Roman" w:cs="Times New Roman"/>
          <w:color w:val="000000"/>
          <w:sz w:val="20"/>
          <w:szCs w:val="20"/>
          <w:lang w:val="tr-TR" w:eastAsia="tr-TR"/>
        </w:rPr>
      </w:pPr>
      <w:proofErr w:type="spellStart"/>
      <w:r w:rsidRPr="00716BBA">
        <w:rPr>
          <w:rFonts w:ascii="Times New Roman" w:eastAsia="Times New Roman" w:hAnsi="Times New Roman" w:cs="Times New Roman"/>
          <w:color w:val="000000"/>
          <w:sz w:val="20"/>
          <w:szCs w:val="20"/>
          <w:lang w:val="tr-TR" w:eastAsia="tr-TR"/>
        </w:rPr>
        <w:t>Serology</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Exclusions</w:t>
      </w:r>
      <w:proofErr w:type="spellEnd"/>
      <w:r w:rsidRPr="00716BBA">
        <w:rPr>
          <w:rFonts w:ascii="Times New Roman" w:eastAsia="Times New Roman" w:hAnsi="Times New Roman" w:cs="Times New Roman"/>
          <w:color w:val="000000"/>
          <w:sz w:val="20"/>
          <w:szCs w:val="20"/>
          <w:lang w:val="tr-TR" w:eastAsia="tr-TR"/>
        </w:rPr>
        <w:t xml:space="preserve">: RF </w:t>
      </w:r>
      <w:proofErr w:type="spellStart"/>
      <w:r w:rsidRPr="00716BBA">
        <w:rPr>
          <w:rFonts w:ascii="Times New Roman" w:eastAsia="Times New Roman" w:hAnsi="Times New Roman" w:cs="Times New Roman"/>
          <w:color w:val="000000"/>
          <w:sz w:val="20"/>
          <w:szCs w:val="20"/>
          <w:lang w:val="tr-TR" w:eastAsia="tr-TR"/>
        </w:rPr>
        <w:t>and</w:t>
      </w:r>
      <w:proofErr w:type="spellEnd"/>
      <w:r w:rsidRPr="00716BBA">
        <w:rPr>
          <w:rFonts w:ascii="Times New Roman" w:eastAsia="Times New Roman" w:hAnsi="Times New Roman" w:cs="Times New Roman"/>
          <w:color w:val="000000"/>
          <w:sz w:val="20"/>
          <w:szCs w:val="20"/>
          <w:lang w:val="tr-TR" w:eastAsia="tr-TR"/>
        </w:rPr>
        <w:t xml:space="preserve"> ANA </w:t>
      </w:r>
      <w:proofErr w:type="spellStart"/>
      <w:r w:rsidRPr="00716BBA">
        <w:rPr>
          <w:rFonts w:ascii="Times New Roman" w:eastAsia="Times New Roman" w:hAnsi="Times New Roman" w:cs="Times New Roman"/>
          <w:color w:val="000000"/>
          <w:sz w:val="20"/>
          <w:szCs w:val="20"/>
          <w:lang w:val="tr-TR" w:eastAsia="tr-TR"/>
        </w:rPr>
        <w:t>are</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characteristically</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negative</w:t>
      </w:r>
      <w:proofErr w:type="spellEnd"/>
      <w:r w:rsidRPr="00716BBA">
        <w:rPr>
          <w:rFonts w:ascii="Times New Roman" w:eastAsia="Times New Roman" w:hAnsi="Times New Roman" w:cs="Times New Roman"/>
          <w:color w:val="000000"/>
          <w:sz w:val="20"/>
          <w:szCs w:val="20"/>
          <w:lang w:val="tr-TR" w:eastAsia="tr-TR"/>
        </w:rPr>
        <w:t>.</w:t>
      </w:r>
    </w:p>
    <w:p w14:paraId="515A9606" w14:textId="77777777" w:rsidR="00716BBA" w:rsidRPr="00716BBA" w:rsidRDefault="00716BBA" w:rsidP="00716BBA">
      <w:pPr>
        <w:shd w:val="clear" w:color="auto" w:fill="FFFFFF"/>
        <w:spacing w:after="0"/>
        <w:rPr>
          <w:rFonts w:ascii="Times New Roman" w:eastAsia="Times New Roman" w:hAnsi="Times New Roman" w:cs="Times New Roman"/>
          <w:color w:val="000000"/>
          <w:sz w:val="20"/>
          <w:szCs w:val="20"/>
          <w:lang w:val="tr-TR" w:eastAsia="tr-TR"/>
        </w:rPr>
      </w:pPr>
      <w:r w:rsidRPr="00716BBA">
        <w:rPr>
          <w:rFonts w:ascii="Times New Roman" w:eastAsia="Times New Roman" w:hAnsi="Times New Roman" w:cs="Times New Roman"/>
          <w:color w:val="000000"/>
          <w:sz w:val="20"/>
          <w:szCs w:val="20"/>
          <w:lang w:val="tr-TR" w:eastAsia="tr-TR"/>
        </w:rPr>
        <w:t xml:space="preserve">Advanced </w:t>
      </w:r>
      <w:proofErr w:type="spellStart"/>
      <w:r w:rsidRPr="00716BBA">
        <w:rPr>
          <w:rFonts w:ascii="Times New Roman" w:eastAsia="Times New Roman" w:hAnsi="Times New Roman" w:cs="Times New Roman"/>
          <w:color w:val="000000"/>
          <w:sz w:val="20"/>
          <w:szCs w:val="20"/>
          <w:lang w:val="tr-TR" w:eastAsia="tr-TR"/>
        </w:rPr>
        <w:t>Imaging</w:t>
      </w:r>
      <w:proofErr w:type="spellEnd"/>
      <w:r w:rsidRPr="00716BBA">
        <w:rPr>
          <w:rFonts w:ascii="Times New Roman" w:eastAsia="Times New Roman" w:hAnsi="Times New Roman" w:cs="Times New Roman"/>
          <w:color w:val="000000"/>
          <w:sz w:val="20"/>
          <w:szCs w:val="20"/>
          <w:lang w:val="tr-TR" w:eastAsia="tr-TR"/>
        </w:rPr>
        <w:t xml:space="preserve">: MRI of </w:t>
      </w:r>
      <w:proofErr w:type="spellStart"/>
      <w:r w:rsidRPr="00716BBA">
        <w:rPr>
          <w:rFonts w:ascii="Times New Roman" w:eastAsia="Times New Roman" w:hAnsi="Times New Roman" w:cs="Times New Roman"/>
          <w:color w:val="000000"/>
          <w:sz w:val="20"/>
          <w:szCs w:val="20"/>
          <w:lang w:val="tr-TR" w:eastAsia="tr-TR"/>
        </w:rPr>
        <w:t>sacroiliac</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joints</w:t>
      </w:r>
      <w:proofErr w:type="spellEnd"/>
      <w:r w:rsidRPr="00716BBA">
        <w:rPr>
          <w:rFonts w:ascii="Times New Roman" w:eastAsia="Times New Roman" w:hAnsi="Times New Roman" w:cs="Times New Roman"/>
          <w:color w:val="000000"/>
          <w:sz w:val="20"/>
          <w:szCs w:val="20"/>
          <w:lang w:val="tr-TR" w:eastAsia="tr-TR"/>
        </w:rPr>
        <w:t xml:space="preserve"> is </w:t>
      </w:r>
      <w:proofErr w:type="spellStart"/>
      <w:r w:rsidRPr="00716BBA">
        <w:rPr>
          <w:rFonts w:ascii="Times New Roman" w:eastAsia="Times New Roman" w:hAnsi="Times New Roman" w:cs="Times New Roman"/>
          <w:color w:val="000000"/>
          <w:sz w:val="20"/>
          <w:szCs w:val="20"/>
          <w:lang w:val="tr-TR" w:eastAsia="tr-TR"/>
        </w:rPr>
        <w:t>more</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sensitive</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than</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plain</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radiography</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for</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early</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sacroiliitis</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detection</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and</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should</w:t>
      </w:r>
      <w:proofErr w:type="spellEnd"/>
      <w:r w:rsidRPr="00716BBA">
        <w:rPr>
          <w:rFonts w:ascii="Times New Roman" w:eastAsia="Times New Roman" w:hAnsi="Times New Roman" w:cs="Times New Roman"/>
          <w:color w:val="000000"/>
          <w:sz w:val="20"/>
          <w:szCs w:val="20"/>
          <w:lang w:val="tr-TR" w:eastAsia="tr-TR"/>
        </w:rPr>
        <w:t xml:space="preserve"> be </w:t>
      </w:r>
      <w:proofErr w:type="spellStart"/>
      <w:r w:rsidRPr="00716BBA">
        <w:rPr>
          <w:rFonts w:ascii="Times New Roman" w:eastAsia="Times New Roman" w:hAnsi="Times New Roman" w:cs="Times New Roman"/>
          <w:color w:val="000000"/>
          <w:sz w:val="20"/>
          <w:szCs w:val="20"/>
          <w:lang w:val="tr-TR" w:eastAsia="tr-TR"/>
        </w:rPr>
        <w:t>performed</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when</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axial</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disease</w:t>
      </w:r>
      <w:proofErr w:type="spellEnd"/>
      <w:r w:rsidRPr="00716BBA">
        <w:rPr>
          <w:rFonts w:ascii="Times New Roman" w:eastAsia="Times New Roman" w:hAnsi="Times New Roman" w:cs="Times New Roman"/>
          <w:color w:val="000000"/>
          <w:sz w:val="20"/>
          <w:szCs w:val="20"/>
          <w:lang w:val="tr-TR" w:eastAsia="tr-TR"/>
        </w:rPr>
        <w:t xml:space="preserve"> is </w:t>
      </w:r>
      <w:proofErr w:type="spellStart"/>
      <w:r w:rsidRPr="00716BBA">
        <w:rPr>
          <w:rFonts w:ascii="Times New Roman" w:eastAsia="Times New Roman" w:hAnsi="Times New Roman" w:cs="Times New Roman"/>
          <w:color w:val="000000"/>
          <w:sz w:val="20"/>
          <w:szCs w:val="20"/>
          <w:lang w:val="tr-TR" w:eastAsia="tr-TR"/>
        </w:rPr>
        <w:t>suspected</w:t>
      </w:r>
      <w:proofErr w:type="spellEnd"/>
      <w:r w:rsidRPr="00716BBA">
        <w:rPr>
          <w:rFonts w:ascii="Times New Roman" w:eastAsia="Times New Roman" w:hAnsi="Times New Roman" w:cs="Times New Roman"/>
          <w:color w:val="000000"/>
          <w:sz w:val="20"/>
          <w:szCs w:val="20"/>
          <w:lang w:val="tr-TR" w:eastAsia="tr-TR"/>
        </w:rPr>
        <w:t>.</w:t>
      </w:r>
    </w:p>
    <w:p w14:paraId="27742F74" w14:textId="77777777" w:rsidR="00716BBA" w:rsidRPr="00716BBA" w:rsidRDefault="00716BBA" w:rsidP="00716BBA">
      <w:pPr>
        <w:shd w:val="clear" w:color="auto" w:fill="FFFFFF"/>
        <w:spacing w:after="0"/>
        <w:rPr>
          <w:rFonts w:ascii="Times New Roman" w:eastAsia="Times New Roman" w:hAnsi="Times New Roman" w:cs="Times New Roman"/>
          <w:color w:val="000000"/>
          <w:sz w:val="20"/>
          <w:szCs w:val="20"/>
          <w:lang w:val="tr-TR" w:eastAsia="tr-TR"/>
        </w:rPr>
      </w:pPr>
    </w:p>
    <w:p w14:paraId="1B3A583F" w14:textId="77777777" w:rsidR="00716BBA" w:rsidRPr="00716BBA" w:rsidRDefault="00716BBA" w:rsidP="00716BBA">
      <w:pPr>
        <w:shd w:val="clear" w:color="auto" w:fill="FFFFFF"/>
        <w:spacing w:after="0"/>
        <w:rPr>
          <w:rFonts w:ascii="Times New Roman" w:eastAsia="Times New Roman" w:hAnsi="Times New Roman" w:cs="Times New Roman"/>
          <w:color w:val="EE0000"/>
          <w:sz w:val="20"/>
          <w:szCs w:val="20"/>
          <w:lang w:val="tr-TR" w:eastAsia="tr-TR"/>
        </w:rPr>
      </w:pPr>
      <w:r w:rsidRPr="00716BBA">
        <w:rPr>
          <w:rFonts w:ascii="Times New Roman" w:eastAsia="Times New Roman" w:hAnsi="Times New Roman" w:cs="Times New Roman"/>
          <w:b/>
          <w:bCs/>
          <w:color w:val="EE0000"/>
          <w:sz w:val="20"/>
          <w:szCs w:val="20"/>
          <w:lang w:val="tr-TR" w:eastAsia="tr-TR"/>
        </w:rPr>
        <w:t>MODEL Z</w:t>
      </w:r>
    </w:p>
    <w:p w14:paraId="28582A3A" w14:textId="77777777" w:rsidR="00716BBA" w:rsidRPr="00716BBA" w:rsidRDefault="00716BBA" w:rsidP="00716BBA">
      <w:pPr>
        <w:shd w:val="clear" w:color="auto" w:fill="FFFFFF"/>
        <w:spacing w:after="0"/>
        <w:rPr>
          <w:rFonts w:ascii="Times New Roman" w:eastAsia="Times New Roman" w:hAnsi="Times New Roman" w:cs="Times New Roman"/>
          <w:color w:val="000000"/>
          <w:sz w:val="20"/>
          <w:szCs w:val="20"/>
          <w:lang w:val="tr-TR" w:eastAsia="tr-TR"/>
        </w:rPr>
      </w:pPr>
      <w:proofErr w:type="spellStart"/>
      <w:r w:rsidRPr="00716BBA">
        <w:rPr>
          <w:rFonts w:ascii="Times New Roman" w:eastAsia="Times New Roman" w:hAnsi="Times New Roman" w:cs="Times New Roman"/>
          <w:color w:val="000000"/>
          <w:sz w:val="20"/>
          <w:szCs w:val="20"/>
          <w:lang w:val="tr-TR" w:eastAsia="tr-TR"/>
        </w:rPr>
        <w:t>Clinical</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and</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laboratory</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features</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supporting</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Enthesitis-Related</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Arthritis</w:t>
      </w:r>
      <w:proofErr w:type="spellEnd"/>
    </w:p>
    <w:p w14:paraId="5958B588" w14:textId="77777777" w:rsidR="00716BBA" w:rsidRPr="00716BBA" w:rsidRDefault="00716BBA" w:rsidP="00716BBA">
      <w:pPr>
        <w:shd w:val="clear" w:color="auto" w:fill="FFFFFF"/>
        <w:spacing w:after="0"/>
        <w:rPr>
          <w:rFonts w:ascii="Times New Roman" w:eastAsia="Times New Roman" w:hAnsi="Times New Roman" w:cs="Times New Roman"/>
          <w:color w:val="000000"/>
          <w:sz w:val="20"/>
          <w:szCs w:val="20"/>
          <w:lang w:val="tr-TR" w:eastAsia="tr-TR"/>
        </w:rPr>
      </w:pPr>
      <w:proofErr w:type="spellStart"/>
      <w:r w:rsidRPr="00716BBA">
        <w:rPr>
          <w:rFonts w:ascii="Times New Roman" w:eastAsia="Times New Roman" w:hAnsi="Times New Roman" w:cs="Times New Roman"/>
          <w:color w:val="000000"/>
          <w:sz w:val="20"/>
          <w:szCs w:val="20"/>
          <w:lang w:val="tr-TR" w:eastAsia="tr-TR"/>
        </w:rPr>
        <w:t>Enthesitis-related</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arthritis</w:t>
      </w:r>
      <w:proofErr w:type="spellEnd"/>
      <w:r w:rsidRPr="00716BBA">
        <w:rPr>
          <w:rFonts w:ascii="Times New Roman" w:eastAsia="Times New Roman" w:hAnsi="Times New Roman" w:cs="Times New Roman"/>
          <w:color w:val="000000"/>
          <w:sz w:val="20"/>
          <w:szCs w:val="20"/>
          <w:lang w:val="tr-TR" w:eastAsia="tr-TR"/>
        </w:rPr>
        <w:t xml:space="preserve"> is </w:t>
      </w:r>
      <w:proofErr w:type="spellStart"/>
      <w:r w:rsidRPr="00716BBA">
        <w:rPr>
          <w:rFonts w:ascii="Times New Roman" w:eastAsia="Times New Roman" w:hAnsi="Times New Roman" w:cs="Times New Roman"/>
          <w:color w:val="000000"/>
          <w:sz w:val="20"/>
          <w:szCs w:val="20"/>
          <w:lang w:val="tr-TR" w:eastAsia="tr-TR"/>
        </w:rPr>
        <w:t>classified</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when</w:t>
      </w:r>
      <w:proofErr w:type="spellEnd"/>
      <w:r w:rsidRPr="00716BBA">
        <w:rPr>
          <w:rFonts w:ascii="Times New Roman" w:eastAsia="Times New Roman" w:hAnsi="Times New Roman" w:cs="Times New Roman"/>
          <w:color w:val="000000"/>
          <w:sz w:val="20"/>
          <w:szCs w:val="20"/>
          <w:lang w:val="tr-TR" w:eastAsia="tr-TR"/>
        </w:rPr>
        <w:t xml:space="preserve"> a </w:t>
      </w:r>
      <w:proofErr w:type="spellStart"/>
      <w:r w:rsidRPr="00716BBA">
        <w:rPr>
          <w:rFonts w:ascii="Times New Roman" w:eastAsia="Times New Roman" w:hAnsi="Times New Roman" w:cs="Times New Roman"/>
          <w:color w:val="000000"/>
          <w:sz w:val="20"/>
          <w:szCs w:val="20"/>
          <w:lang w:val="tr-TR" w:eastAsia="tr-TR"/>
        </w:rPr>
        <w:t>child</w:t>
      </w:r>
      <w:proofErr w:type="spellEnd"/>
      <w:r w:rsidRPr="00716BBA">
        <w:rPr>
          <w:rFonts w:ascii="Times New Roman" w:eastAsia="Times New Roman" w:hAnsi="Times New Roman" w:cs="Times New Roman"/>
          <w:color w:val="000000"/>
          <w:sz w:val="20"/>
          <w:szCs w:val="20"/>
          <w:lang w:val="tr-TR" w:eastAsia="tr-TR"/>
        </w:rPr>
        <w:t xml:space="preserve"> has </w:t>
      </w:r>
      <w:proofErr w:type="spellStart"/>
      <w:r w:rsidRPr="00716BBA">
        <w:rPr>
          <w:rFonts w:ascii="Times New Roman" w:eastAsia="Times New Roman" w:hAnsi="Times New Roman" w:cs="Times New Roman"/>
          <w:color w:val="000000"/>
          <w:sz w:val="20"/>
          <w:szCs w:val="20"/>
          <w:lang w:val="tr-TR" w:eastAsia="tr-TR"/>
        </w:rPr>
        <w:t>arthritis</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and</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enthesitis</w:t>
      </w:r>
      <w:proofErr w:type="spellEnd"/>
      <w:r w:rsidRPr="00716BBA">
        <w:rPr>
          <w:rFonts w:ascii="Times New Roman" w:eastAsia="Times New Roman" w:hAnsi="Times New Roman" w:cs="Times New Roman"/>
          <w:color w:val="000000"/>
          <w:sz w:val="20"/>
          <w:szCs w:val="20"/>
          <w:lang w:val="tr-TR" w:eastAsia="tr-TR"/>
        </w:rPr>
        <w:t xml:space="preserve">, or </w:t>
      </w:r>
      <w:proofErr w:type="spellStart"/>
      <w:r w:rsidRPr="00716BBA">
        <w:rPr>
          <w:rFonts w:ascii="Times New Roman" w:eastAsia="Times New Roman" w:hAnsi="Times New Roman" w:cs="Times New Roman"/>
          <w:color w:val="000000"/>
          <w:sz w:val="20"/>
          <w:szCs w:val="20"/>
          <w:lang w:val="tr-TR" w:eastAsia="tr-TR"/>
        </w:rPr>
        <w:t>when</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arthritis</w:t>
      </w:r>
      <w:proofErr w:type="spellEnd"/>
      <w:r w:rsidRPr="00716BBA">
        <w:rPr>
          <w:rFonts w:ascii="Times New Roman" w:eastAsia="Times New Roman" w:hAnsi="Times New Roman" w:cs="Times New Roman"/>
          <w:color w:val="000000"/>
          <w:sz w:val="20"/>
          <w:szCs w:val="20"/>
          <w:lang w:val="tr-TR" w:eastAsia="tr-TR"/>
        </w:rPr>
        <w:t xml:space="preserve"> or </w:t>
      </w:r>
      <w:proofErr w:type="spellStart"/>
      <w:r w:rsidRPr="00716BBA">
        <w:rPr>
          <w:rFonts w:ascii="Times New Roman" w:eastAsia="Times New Roman" w:hAnsi="Times New Roman" w:cs="Times New Roman"/>
          <w:color w:val="000000"/>
          <w:sz w:val="20"/>
          <w:szCs w:val="20"/>
          <w:lang w:val="tr-TR" w:eastAsia="tr-TR"/>
        </w:rPr>
        <w:t>enthesitis</w:t>
      </w:r>
      <w:proofErr w:type="spellEnd"/>
      <w:r w:rsidRPr="00716BBA">
        <w:rPr>
          <w:rFonts w:ascii="Times New Roman" w:eastAsia="Times New Roman" w:hAnsi="Times New Roman" w:cs="Times New Roman"/>
          <w:color w:val="000000"/>
          <w:sz w:val="20"/>
          <w:szCs w:val="20"/>
          <w:lang w:val="tr-TR" w:eastAsia="tr-TR"/>
        </w:rPr>
        <w:t xml:space="preserve"> is </w:t>
      </w:r>
      <w:proofErr w:type="spellStart"/>
      <w:r w:rsidRPr="00716BBA">
        <w:rPr>
          <w:rFonts w:ascii="Times New Roman" w:eastAsia="Times New Roman" w:hAnsi="Times New Roman" w:cs="Times New Roman"/>
          <w:color w:val="000000"/>
          <w:sz w:val="20"/>
          <w:szCs w:val="20"/>
          <w:lang w:val="tr-TR" w:eastAsia="tr-TR"/>
        </w:rPr>
        <w:t>present</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together</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with</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characteristic</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spondyloarthritis</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features</w:t>
      </w:r>
      <w:proofErr w:type="spellEnd"/>
      <w:r w:rsidRPr="00716BBA">
        <w:rPr>
          <w:rFonts w:ascii="Times New Roman" w:eastAsia="Times New Roman" w:hAnsi="Times New Roman" w:cs="Times New Roman"/>
          <w:color w:val="000000"/>
          <w:sz w:val="20"/>
          <w:szCs w:val="20"/>
          <w:lang w:val="tr-TR" w:eastAsia="tr-TR"/>
        </w:rPr>
        <w:t>.</w:t>
      </w:r>
    </w:p>
    <w:p w14:paraId="3B3900AB" w14:textId="77777777" w:rsidR="00716BBA" w:rsidRPr="00716BBA" w:rsidRDefault="00716BBA" w:rsidP="00716BBA">
      <w:pPr>
        <w:shd w:val="clear" w:color="auto" w:fill="FFFFFF"/>
        <w:spacing w:after="0"/>
        <w:rPr>
          <w:rFonts w:ascii="Times New Roman" w:eastAsia="Times New Roman" w:hAnsi="Times New Roman" w:cs="Times New Roman"/>
          <w:color w:val="000000"/>
          <w:sz w:val="20"/>
          <w:szCs w:val="20"/>
          <w:lang w:val="tr-TR" w:eastAsia="tr-TR"/>
        </w:rPr>
      </w:pPr>
      <w:proofErr w:type="spellStart"/>
      <w:r w:rsidRPr="00716BBA">
        <w:rPr>
          <w:rFonts w:ascii="Times New Roman" w:eastAsia="Times New Roman" w:hAnsi="Times New Roman" w:cs="Times New Roman"/>
          <w:color w:val="000000"/>
          <w:sz w:val="20"/>
          <w:szCs w:val="20"/>
          <w:lang w:val="tr-TR" w:eastAsia="tr-TR"/>
        </w:rPr>
        <w:t>Key</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clinical</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features</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include</w:t>
      </w:r>
      <w:proofErr w:type="spellEnd"/>
      <w:r w:rsidRPr="00716BBA">
        <w:rPr>
          <w:rFonts w:ascii="Times New Roman" w:eastAsia="Times New Roman" w:hAnsi="Times New Roman" w:cs="Times New Roman"/>
          <w:color w:val="000000"/>
          <w:sz w:val="20"/>
          <w:szCs w:val="20"/>
          <w:lang w:val="tr-TR" w:eastAsia="tr-TR"/>
        </w:rPr>
        <w:t>:</w:t>
      </w:r>
    </w:p>
    <w:p w14:paraId="14DB66EE" w14:textId="77777777" w:rsidR="00716BBA" w:rsidRPr="00716BBA" w:rsidRDefault="00716BBA" w:rsidP="00716BBA">
      <w:pPr>
        <w:shd w:val="clear" w:color="auto" w:fill="FFFFFF"/>
        <w:spacing w:after="0"/>
        <w:rPr>
          <w:rFonts w:ascii="Times New Roman" w:eastAsia="Times New Roman" w:hAnsi="Times New Roman" w:cs="Times New Roman"/>
          <w:color w:val="000000"/>
          <w:sz w:val="20"/>
          <w:szCs w:val="20"/>
          <w:lang w:val="tr-TR" w:eastAsia="tr-TR"/>
        </w:rPr>
      </w:pPr>
      <w:proofErr w:type="spellStart"/>
      <w:r w:rsidRPr="00716BBA">
        <w:rPr>
          <w:rFonts w:ascii="Times New Roman" w:eastAsia="Times New Roman" w:hAnsi="Times New Roman" w:cs="Times New Roman"/>
          <w:color w:val="000000"/>
          <w:sz w:val="20"/>
          <w:szCs w:val="20"/>
          <w:lang w:val="tr-TR" w:eastAsia="tr-TR"/>
        </w:rPr>
        <w:t>Enthesitis</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especially</w:t>
      </w:r>
      <w:proofErr w:type="spellEnd"/>
      <w:r w:rsidRPr="00716BBA">
        <w:rPr>
          <w:rFonts w:ascii="Times New Roman" w:eastAsia="Times New Roman" w:hAnsi="Times New Roman" w:cs="Times New Roman"/>
          <w:color w:val="000000"/>
          <w:sz w:val="20"/>
          <w:szCs w:val="20"/>
          <w:lang w:val="tr-TR" w:eastAsia="tr-TR"/>
        </w:rPr>
        <w:t xml:space="preserve"> at </w:t>
      </w:r>
      <w:proofErr w:type="spellStart"/>
      <w:r w:rsidRPr="00716BBA">
        <w:rPr>
          <w:rFonts w:ascii="Times New Roman" w:eastAsia="Times New Roman" w:hAnsi="Times New Roman" w:cs="Times New Roman"/>
          <w:color w:val="000000"/>
          <w:sz w:val="20"/>
          <w:szCs w:val="20"/>
          <w:lang w:val="tr-TR" w:eastAsia="tr-TR"/>
        </w:rPr>
        <w:t>the</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Achilles</w:t>
      </w:r>
      <w:proofErr w:type="spellEnd"/>
      <w:r w:rsidRPr="00716BBA">
        <w:rPr>
          <w:rFonts w:ascii="Times New Roman" w:eastAsia="Times New Roman" w:hAnsi="Times New Roman" w:cs="Times New Roman"/>
          <w:color w:val="000000"/>
          <w:sz w:val="20"/>
          <w:szCs w:val="20"/>
          <w:lang w:val="tr-TR" w:eastAsia="tr-TR"/>
        </w:rPr>
        <w:t xml:space="preserve"> tendon, </w:t>
      </w:r>
      <w:proofErr w:type="spellStart"/>
      <w:r w:rsidRPr="00716BBA">
        <w:rPr>
          <w:rFonts w:ascii="Times New Roman" w:eastAsia="Times New Roman" w:hAnsi="Times New Roman" w:cs="Times New Roman"/>
          <w:color w:val="000000"/>
          <w:sz w:val="20"/>
          <w:szCs w:val="20"/>
          <w:lang w:val="tr-TR" w:eastAsia="tr-TR"/>
        </w:rPr>
        <w:t>plantar</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fascia</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tibial</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tuberosity</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patellar</w:t>
      </w:r>
      <w:proofErr w:type="spellEnd"/>
      <w:r w:rsidRPr="00716BBA">
        <w:rPr>
          <w:rFonts w:ascii="Times New Roman" w:eastAsia="Times New Roman" w:hAnsi="Times New Roman" w:cs="Times New Roman"/>
          <w:color w:val="000000"/>
          <w:sz w:val="20"/>
          <w:szCs w:val="20"/>
          <w:lang w:val="tr-TR" w:eastAsia="tr-TR"/>
        </w:rPr>
        <w:t xml:space="preserve"> tendon, or </w:t>
      </w:r>
      <w:proofErr w:type="spellStart"/>
      <w:r w:rsidRPr="00716BBA">
        <w:rPr>
          <w:rFonts w:ascii="Times New Roman" w:eastAsia="Times New Roman" w:hAnsi="Times New Roman" w:cs="Times New Roman"/>
          <w:color w:val="000000"/>
          <w:sz w:val="20"/>
          <w:szCs w:val="20"/>
          <w:lang w:val="tr-TR" w:eastAsia="tr-TR"/>
        </w:rPr>
        <w:t>other</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lower-limb</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insertions</w:t>
      </w:r>
      <w:proofErr w:type="spellEnd"/>
    </w:p>
    <w:p w14:paraId="400884E3" w14:textId="77777777" w:rsidR="00716BBA" w:rsidRPr="00716BBA" w:rsidRDefault="00716BBA" w:rsidP="00716BBA">
      <w:pPr>
        <w:shd w:val="clear" w:color="auto" w:fill="FFFFFF"/>
        <w:spacing w:after="0"/>
        <w:rPr>
          <w:rFonts w:ascii="Times New Roman" w:eastAsia="Times New Roman" w:hAnsi="Times New Roman" w:cs="Times New Roman"/>
          <w:color w:val="000000"/>
          <w:sz w:val="20"/>
          <w:szCs w:val="20"/>
          <w:lang w:val="tr-TR" w:eastAsia="tr-TR"/>
        </w:rPr>
      </w:pPr>
      <w:proofErr w:type="spellStart"/>
      <w:r w:rsidRPr="00716BBA">
        <w:rPr>
          <w:rFonts w:ascii="Times New Roman" w:eastAsia="Times New Roman" w:hAnsi="Times New Roman" w:cs="Times New Roman"/>
          <w:color w:val="000000"/>
          <w:sz w:val="20"/>
          <w:szCs w:val="20"/>
          <w:lang w:val="tr-TR" w:eastAsia="tr-TR"/>
        </w:rPr>
        <w:t>Peripheral</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arthritis</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usually</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asymmetric</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and</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predominantly</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affecting</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lower-limb</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joints</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such</w:t>
      </w:r>
      <w:proofErr w:type="spellEnd"/>
      <w:r w:rsidRPr="00716BBA">
        <w:rPr>
          <w:rFonts w:ascii="Times New Roman" w:eastAsia="Times New Roman" w:hAnsi="Times New Roman" w:cs="Times New Roman"/>
          <w:color w:val="000000"/>
          <w:sz w:val="20"/>
          <w:szCs w:val="20"/>
          <w:lang w:val="tr-TR" w:eastAsia="tr-TR"/>
        </w:rPr>
        <w:t xml:space="preserve"> as </w:t>
      </w:r>
      <w:proofErr w:type="spellStart"/>
      <w:r w:rsidRPr="00716BBA">
        <w:rPr>
          <w:rFonts w:ascii="Times New Roman" w:eastAsia="Times New Roman" w:hAnsi="Times New Roman" w:cs="Times New Roman"/>
          <w:color w:val="000000"/>
          <w:sz w:val="20"/>
          <w:szCs w:val="20"/>
          <w:lang w:val="tr-TR" w:eastAsia="tr-TR"/>
        </w:rPr>
        <w:t>knees</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ankles</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hips</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and</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tarsal</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joints</w:t>
      </w:r>
      <w:proofErr w:type="spellEnd"/>
    </w:p>
    <w:p w14:paraId="21DEDCCC" w14:textId="77777777" w:rsidR="00716BBA" w:rsidRPr="00716BBA" w:rsidRDefault="00716BBA" w:rsidP="00716BBA">
      <w:pPr>
        <w:shd w:val="clear" w:color="auto" w:fill="FFFFFF"/>
        <w:spacing w:after="0"/>
        <w:rPr>
          <w:rFonts w:ascii="Times New Roman" w:eastAsia="Times New Roman" w:hAnsi="Times New Roman" w:cs="Times New Roman"/>
          <w:color w:val="000000"/>
          <w:sz w:val="20"/>
          <w:szCs w:val="20"/>
          <w:lang w:val="tr-TR" w:eastAsia="tr-TR"/>
        </w:rPr>
      </w:pPr>
      <w:proofErr w:type="spellStart"/>
      <w:r w:rsidRPr="00716BBA">
        <w:rPr>
          <w:rFonts w:ascii="Times New Roman" w:eastAsia="Times New Roman" w:hAnsi="Times New Roman" w:cs="Times New Roman"/>
          <w:color w:val="000000"/>
          <w:sz w:val="20"/>
          <w:szCs w:val="20"/>
          <w:lang w:val="tr-TR" w:eastAsia="tr-TR"/>
        </w:rPr>
        <w:t>Sacroiliac</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joint</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tenderness</w:t>
      </w:r>
      <w:proofErr w:type="spellEnd"/>
    </w:p>
    <w:p w14:paraId="7DC939E6" w14:textId="77777777" w:rsidR="00716BBA" w:rsidRPr="00716BBA" w:rsidRDefault="00716BBA" w:rsidP="00716BBA">
      <w:pPr>
        <w:shd w:val="clear" w:color="auto" w:fill="FFFFFF"/>
        <w:spacing w:after="0"/>
        <w:rPr>
          <w:rFonts w:ascii="Times New Roman" w:eastAsia="Times New Roman" w:hAnsi="Times New Roman" w:cs="Times New Roman"/>
          <w:color w:val="000000"/>
          <w:sz w:val="20"/>
          <w:szCs w:val="20"/>
          <w:lang w:val="tr-TR" w:eastAsia="tr-TR"/>
        </w:rPr>
      </w:pPr>
      <w:proofErr w:type="spellStart"/>
      <w:r w:rsidRPr="00716BBA">
        <w:rPr>
          <w:rFonts w:ascii="Times New Roman" w:eastAsia="Times New Roman" w:hAnsi="Times New Roman" w:cs="Times New Roman"/>
          <w:color w:val="000000"/>
          <w:sz w:val="20"/>
          <w:szCs w:val="20"/>
          <w:lang w:val="tr-TR" w:eastAsia="tr-TR"/>
        </w:rPr>
        <w:t>Inflammatory</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back</w:t>
      </w:r>
      <w:proofErr w:type="spellEnd"/>
      <w:r w:rsidRPr="00716BBA">
        <w:rPr>
          <w:rFonts w:ascii="Times New Roman" w:eastAsia="Times New Roman" w:hAnsi="Times New Roman" w:cs="Times New Roman"/>
          <w:color w:val="000000"/>
          <w:sz w:val="20"/>
          <w:szCs w:val="20"/>
          <w:lang w:val="tr-TR" w:eastAsia="tr-TR"/>
        </w:rPr>
        <w:t xml:space="preserve"> or </w:t>
      </w:r>
      <w:proofErr w:type="spellStart"/>
      <w:r w:rsidRPr="00716BBA">
        <w:rPr>
          <w:rFonts w:ascii="Times New Roman" w:eastAsia="Times New Roman" w:hAnsi="Times New Roman" w:cs="Times New Roman"/>
          <w:color w:val="000000"/>
          <w:sz w:val="20"/>
          <w:szCs w:val="20"/>
          <w:lang w:val="tr-TR" w:eastAsia="tr-TR"/>
        </w:rPr>
        <w:t>buttock</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pain</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particularly</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if</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axial</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disease</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develops</w:t>
      </w:r>
      <w:proofErr w:type="spellEnd"/>
    </w:p>
    <w:p w14:paraId="2BBF2ACF" w14:textId="77777777" w:rsidR="00716BBA" w:rsidRPr="00716BBA" w:rsidRDefault="00716BBA" w:rsidP="00716BBA">
      <w:pPr>
        <w:shd w:val="clear" w:color="auto" w:fill="FFFFFF"/>
        <w:spacing w:after="0"/>
        <w:rPr>
          <w:rFonts w:ascii="Times New Roman" w:eastAsia="Times New Roman" w:hAnsi="Times New Roman" w:cs="Times New Roman"/>
          <w:color w:val="000000"/>
          <w:sz w:val="20"/>
          <w:szCs w:val="20"/>
          <w:lang w:val="tr-TR" w:eastAsia="tr-TR"/>
        </w:rPr>
      </w:pPr>
      <w:proofErr w:type="spellStart"/>
      <w:r w:rsidRPr="00716BBA">
        <w:rPr>
          <w:rFonts w:ascii="Times New Roman" w:eastAsia="Times New Roman" w:hAnsi="Times New Roman" w:cs="Times New Roman"/>
          <w:color w:val="000000"/>
          <w:sz w:val="20"/>
          <w:szCs w:val="20"/>
          <w:lang w:val="tr-TR" w:eastAsia="tr-TR"/>
        </w:rPr>
        <w:t>Acute</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symptomatic</w:t>
      </w:r>
      <w:proofErr w:type="spellEnd"/>
      <w:r w:rsidRPr="00716BBA">
        <w:rPr>
          <w:rFonts w:ascii="Times New Roman" w:eastAsia="Times New Roman" w:hAnsi="Times New Roman" w:cs="Times New Roman"/>
          <w:color w:val="000000"/>
          <w:sz w:val="20"/>
          <w:szCs w:val="20"/>
          <w:lang w:val="tr-TR" w:eastAsia="tr-TR"/>
        </w:rPr>
        <w:t xml:space="preserve"> anterior </w:t>
      </w:r>
      <w:proofErr w:type="spellStart"/>
      <w:r w:rsidRPr="00716BBA">
        <w:rPr>
          <w:rFonts w:ascii="Times New Roman" w:eastAsia="Times New Roman" w:hAnsi="Times New Roman" w:cs="Times New Roman"/>
          <w:color w:val="000000"/>
          <w:sz w:val="20"/>
          <w:szCs w:val="20"/>
          <w:lang w:val="tr-TR" w:eastAsia="tr-TR"/>
        </w:rPr>
        <w:t>uveitis</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usually</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painful</w:t>
      </w:r>
      <w:proofErr w:type="spellEnd"/>
      <w:r w:rsidRPr="00716BBA">
        <w:rPr>
          <w:rFonts w:ascii="Times New Roman" w:eastAsia="Times New Roman" w:hAnsi="Times New Roman" w:cs="Times New Roman"/>
          <w:color w:val="000000"/>
          <w:sz w:val="20"/>
          <w:szCs w:val="20"/>
          <w:lang w:val="tr-TR" w:eastAsia="tr-TR"/>
        </w:rPr>
        <w:t>/</w:t>
      </w:r>
      <w:proofErr w:type="spellStart"/>
      <w:r w:rsidRPr="00716BBA">
        <w:rPr>
          <w:rFonts w:ascii="Times New Roman" w:eastAsia="Times New Roman" w:hAnsi="Times New Roman" w:cs="Times New Roman"/>
          <w:color w:val="000000"/>
          <w:sz w:val="20"/>
          <w:szCs w:val="20"/>
          <w:lang w:val="tr-TR" w:eastAsia="tr-TR"/>
        </w:rPr>
        <w:t>red</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eye</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rather</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than</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silent</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chronic</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uveitis</w:t>
      </w:r>
      <w:proofErr w:type="spellEnd"/>
    </w:p>
    <w:p w14:paraId="5FDA2396" w14:textId="77777777" w:rsidR="00716BBA" w:rsidRPr="00716BBA" w:rsidRDefault="00716BBA" w:rsidP="00716BBA">
      <w:pPr>
        <w:shd w:val="clear" w:color="auto" w:fill="FFFFFF"/>
        <w:spacing w:after="0"/>
        <w:rPr>
          <w:rFonts w:ascii="Times New Roman" w:eastAsia="Times New Roman" w:hAnsi="Times New Roman" w:cs="Times New Roman"/>
          <w:color w:val="000000"/>
          <w:sz w:val="20"/>
          <w:szCs w:val="20"/>
          <w:lang w:val="tr-TR" w:eastAsia="tr-TR"/>
        </w:rPr>
      </w:pPr>
      <w:r w:rsidRPr="00716BBA">
        <w:rPr>
          <w:rFonts w:ascii="Times New Roman" w:eastAsia="Times New Roman" w:hAnsi="Times New Roman" w:cs="Times New Roman"/>
          <w:color w:val="000000"/>
          <w:sz w:val="20"/>
          <w:szCs w:val="20"/>
          <w:lang w:val="tr-TR" w:eastAsia="tr-TR"/>
        </w:rPr>
        <w:t xml:space="preserve">Male </w:t>
      </w:r>
      <w:proofErr w:type="spellStart"/>
      <w:r w:rsidRPr="00716BBA">
        <w:rPr>
          <w:rFonts w:ascii="Times New Roman" w:eastAsia="Times New Roman" w:hAnsi="Times New Roman" w:cs="Times New Roman"/>
          <w:color w:val="000000"/>
          <w:sz w:val="20"/>
          <w:szCs w:val="20"/>
          <w:lang w:val="tr-TR" w:eastAsia="tr-TR"/>
        </w:rPr>
        <w:t>sex</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and</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onset</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after</w:t>
      </w:r>
      <w:proofErr w:type="spellEnd"/>
      <w:r w:rsidRPr="00716BBA">
        <w:rPr>
          <w:rFonts w:ascii="Times New Roman" w:eastAsia="Times New Roman" w:hAnsi="Times New Roman" w:cs="Times New Roman"/>
          <w:color w:val="000000"/>
          <w:sz w:val="20"/>
          <w:szCs w:val="20"/>
          <w:lang w:val="tr-TR" w:eastAsia="tr-TR"/>
        </w:rPr>
        <w:t xml:space="preserve"> 6 </w:t>
      </w:r>
      <w:proofErr w:type="spellStart"/>
      <w:r w:rsidRPr="00716BBA">
        <w:rPr>
          <w:rFonts w:ascii="Times New Roman" w:eastAsia="Times New Roman" w:hAnsi="Times New Roman" w:cs="Times New Roman"/>
          <w:color w:val="000000"/>
          <w:sz w:val="20"/>
          <w:szCs w:val="20"/>
          <w:lang w:val="tr-TR" w:eastAsia="tr-TR"/>
        </w:rPr>
        <w:t>years</w:t>
      </w:r>
      <w:proofErr w:type="spellEnd"/>
      <w:r w:rsidRPr="00716BBA">
        <w:rPr>
          <w:rFonts w:ascii="Times New Roman" w:eastAsia="Times New Roman" w:hAnsi="Times New Roman" w:cs="Times New Roman"/>
          <w:color w:val="000000"/>
          <w:sz w:val="20"/>
          <w:szCs w:val="20"/>
          <w:lang w:val="tr-TR" w:eastAsia="tr-TR"/>
        </w:rPr>
        <w:t xml:space="preserve"> of </w:t>
      </w:r>
      <w:proofErr w:type="spellStart"/>
      <w:r w:rsidRPr="00716BBA">
        <w:rPr>
          <w:rFonts w:ascii="Times New Roman" w:eastAsia="Times New Roman" w:hAnsi="Times New Roman" w:cs="Times New Roman"/>
          <w:color w:val="000000"/>
          <w:sz w:val="20"/>
          <w:szCs w:val="20"/>
          <w:lang w:val="tr-TR" w:eastAsia="tr-TR"/>
        </w:rPr>
        <w:t>age</w:t>
      </w:r>
      <w:proofErr w:type="spellEnd"/>
    </w:p>
    <w:p w14:paraId="4E9409E8" w14:textId="77777777" w:rsidR="00716BBA" w:rsidRPr="00716BBA" w:rsidRDefault="00716BBA" w:rsidP="00716BBA">
      <w:pPr>
        <w:shd w:val="clear" w:color="auto" w:fill="FFFFFF"/>
        <w:spacing w:after="0"/>
        <w:rPr>
          <w:rFonts w:ascii="Times New Roman" w:eastAsia="Times New Roman" w:hAnsi="Times New Roman" w:cs="Times New Roman"/>
          <w:color w:val="000000"/>
          <w:sz w:val="20"/>
          <w:szCs w:val="20"/>
          <w:lang w:val="tr-TR" w:eastAsia="tr-TR"/>
        </w:rPr>
      </w:pPr>
      <w:proofErr w:type="spellStart"/>
      <w:r w:rsidRPr="00716BBA">
        <w:rPr>
          <w:rFonts w:ascii="Times New Roman" w:eastAsia="Times New Roman" w:hAnsi="Times New Roman" w:cs="Times New Roman"/>
          <w:color w:val="000000"/>
          <w:sz w:val="20"/>
          <w:szCs w:val="20"/>
          <w:lang w:val="tr-TR" w:eastAsia="tr-TR"/>
        </w:rPr>
        <w:t>Family</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history</w:t>
      </w:r>
      <w:proofErr w:type="spellEnd"/>
      <w:r w:rsidRPr="00716BBA">
        <w:rPr>
          <w:rFonts w:ascii="Times New Roman" w:eastAsia="Times New Roman" w:hAnsi="Times New Roman" w:cs="Times New Roman"/>
          <w:color w:val="000000"/>
          <w:sz w:val="20"/>
          <w:szCs w:val="20"/>
          <w:lang w:val="tr-TR" w:eastAsia="tr-TR"/>
        </w:rPr>
        <w:t xml:space="preserve"> of HLA-B27–</w:t>
      </w:r>
      <w:proofErr w:type="spellStart"/>
      <w:r w:rsidRPr="00716BBA">
        <w:rPr>
          <w:rFonts w:ascii="Times New Roman" w:eastAsia="Times New Roman" w:hAnsi="Times New Roman" w:cs="Times New Roman"/>
          <w:color w:val="000000"/>
          <w:sz w:val="20"/>
          <w:szCs w:val="20"/>
          <w:lang w:val="tr-TR" w:eastAsia="tr-TR"/>
        </w:rPr>
        <w:t>associated</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disease</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such</w:t>
      </w:r>
      <w:proofErr w:type="spellEnd"/>
      <w:r w:rsidRPr="00716BBA">
        <w:rPr>
          <w:rFonts w:ascii="Times New Roman" w:eastAsia="Times New Roman" w:hAnsi="Times New Roman" w:cs="Times New Roman"/>
          <w:color w:val="000000"/>
          <w:sz w:val="20"/>
          <w:szCs w:val="20"/>
          <w:lang w:val="tr-TR" w:eastAsia="tr-TR"/>
        </w:rPr>
        <w:t xml:space="preserve"> as </w:t>
      </w:r>
      <w:proofErr w:type="spellStart"/>
      <w:r w:rsidRPr="00716BBA">
        <w:rPr>
          <w:rFonts w:ascii="Times New Roman" w:eastAsia="Times New Roman" w:hAnsi="Times New Roman" w:cs="Times New Roman"/>
          <w:color w:val="000000"/>
          <w:sz w:val="20"/>
          <w:szCs w:val="20"/>
          <w:lang w:val="tr-TR" w:eastAsia="tr-TR"/>
        </w:rPr>
        <w:t>ankylosing</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spondylitis</w:t>
      </w:r>
      <w:proofErr w:type="spellEnd"/>
      <w:r w:rsidRPr="00716BBA">
        <w:rPr>
          <w:rFonts w:ascii="Times New Roman" w:eastAsia="Times New Roman" w:hAnsi="Times New Roman" w:cs="Times New Roman"/>
          <w:color w:val="000000"/>
          <w:sz w:val="20"/>
          <w:szCs w:val="20"/>
          <w:lang w:val="tr-TR" w:eastAsia="tr-TR"/>
        </w:rPr>
        <w:t xml:space="preserve">, ERA, </w:t>
      </w:r>
      <w:proofErr w:type="spellStart"/>
      <w:r w:rsidRPr="00716BBA">
        <w:rPr>
          <w:rFonts w:ascii="Times New Roman" w:eastAsia="Times New Roman" w:hAnsi="Times New Roman" w:cs="Times New Roman"/>
          <w:color w:val="000000"/>
          <w:sz w:val="20"/>
          <w:szCs w:val="20"/>
          <w:lang w:val="tr-TR" w:eastAsia="tr-TR"/>
        </w:rPr>
        <w:t>sacroiliitis</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with</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inflammatory</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bowel</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disease</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reactive</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arthritis</w:t>
      </w:r>
      <w:proofErr w:type="spellEnd"/>
      <w:r w:rsidRPr="00716BBA">
        <w:rPr>
          <w:rFonts w:ascii="Times New Roman" w:eastAsia="Times New Roman" w:hAnsi="Times New Roman" w:cs="Times New Roman"/>
          <w:color w:val="000000"/>
          <w:sz w:val="20"/>
          <w:szCs w:val="20"/>
          <w:lang w:val="tr-TR" w:eastAsia="tr-TR"/>
        </w:rPr>
        <w:t xml:space="preserve">, or </w:t>
      </w:r>
      <w:proofErr w:type="spellStart"/>
      <w:r w:rsidRPr="00716BBA">
        <w:rPr>
          <w:rFonts w:ascii="Times New Roman" w:eastAsia="Times New Roman" w:hAnsi="Times New Roman" w:cs="Times New Roman"/>
          <w:color w:val="000000"/>
          <w:sz w:val="20"/>
          <w:szCs w:val="20"/>
          <w:lang w:val="tr-TR" w:eastAsia="tr-TR"/>
        </w:rPr>
        <w:t>acute</w:t>
      </w:r>
      <w:proofErr w:type="spellEnd"/>
      <w:r w:rsidRPr="00716BBA">
        <w:rPr>
          <w:rFonts w:ascii="Times New Roman" w:eastAsia="Times New Roman" w:hAnsi="Times New Roman" w:cs="Times New Roman"/>
          <w:color w:val="000000"/>
          <w:sz w:val="20"/>
          <w:szCs w:val="20"/>
          <w:lang w:val="tr-TR" w:eastAsia="tr-TR"/>
        </w:rPr>
        <w:t xml:space="preserve"> anterior </w:t>
      </w:r>
      <w:proofErr w:type="spellStart"/>
      <w:r w:rsidRPr="00716BBA">
        <w:rPr>
          <w:rFonts w:ascii="Times New Roman" w:eastAsia="Times New Roman" w:hAnsi="Times New Roman" w:cs="Times New Roman"/>
          <w:color w:val="000000"/>
          <w:sz w:val="20"/>
          <w:szCs w:val="20"/>
          <w:lang w:val="tr-TR" w:eastAsia="tr-TR"/>
        </w:rPr>
        <w:t>uveitis</w:t>
      </w:r>
      <w:proofErr w:type="spellEnd"/>
    </w:p>
    <w:p w14:paraId="204CF003" w14:textId="77777777" w:rsidR="00716BBA" w:rsidRPr="00716BBA" w:rsidRDefault="00716BBA" w:rsidP="00716BBA">
      <w:pPr>
        <w:shd w:val="clear" w:color="auto" w:fill="FFFFFF"/>
        <w:spacing w:after="0"/>
        <w:rPr>
          <w:rFonts w:ascii="Times New Roman" w:eastAsia="Times New Roman" w:hAnsi="Times New Roman" w:cs="Times New Roman"/>
          <w:color w:val="000000"/>
          <w:sz w:val="20"/>
          <w:szCs w:val="20"/>
          <w:lang w:val="tr-TR" w:eastAsia="tr-TR"/>
        </w:rPr>
      </w:pPr>
      <w:proofErr w:type="spellStart"/>
      <w:r w:rsidRPr="00716BBA">
        <w:rPr>
          <w:rFonts w:ascii="Times New Roman" w:eastAsia="Times New Roman" w:hAnsi="Times New Roman" w:cs="Times New Roman"/>
          <w:color w:val="000000"/>
          <w:sz w:val="20"/>
          <w:szCs w:val="20"/>
          <w:lang w:val="tr-TR" w:eastAsia="tr-TR"/>
        </w:rPr>
        <w:t>Supportive</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laboratory</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findings</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include</w:t>
      </w:r>
      <w:proofErr w:type="spellEnd"/>
      <w:r w:rsidRPr="00716BBA">
        <w:rPr>
          <w:rFonts w:ascii="Times New Roman" w:eastAsia="Times New Roman" w:hAnsi="Times New Roman" w:cs="Times New Roman"/>
          <w:color w:val="000000"/>
          <w:sz w:val="20"/>
          <w:szCs w:val="20"/>
          <w:lang w:val="tr-TR" w:eastAsia="tr-TR"/>
        </w:rPr>
        <w:t>:</w:t>
      </w:r>
    </w:p>
    <w:p w14:paraId="42A057B1" w14:textId="77777777" w:rsidR="00716BBA" w:rsidRPr="00716BBA" w:rsidRDefault="00716BBA" w:rsidP="00716BBA">
      <w:pPr>
        <w:shd w:val="clear" w:color="auto" w:fill="FFFFFF"/>
        <w:spacing w:after="0"/>
        <w:rPr>
          <w:rFonts w:ascii="Times New Roman" w:eastAsia="Times New Roman" w:hAnsi="Times New Roman" w:cs="Times New Roman"/>
          <w:color w:val="000000"/>
          <w:sz w:val="20"/>
          <w:szCs w:val="20"/>
          <w:lang w:val="tr-TR" w:eastAsia="tr-TR"/>
        </w:rPr>
      </w:pPr>
      <w:r w:rsidRPr="00716BBA">
        <w:rPr>
          <w:rFonts w:ascii="Times New Roman" w:eastAsia="Times New Roman" w:hAnsi="Times New Roman" w:cs="Times New Roman"/>
          <w:color w:val="000000"/>
          <w:sz w:val="20"/>
          <w:szCs w:val="20"/>
          <w:lang w:val="tr-TR" w:eastAsia="tr-TR"/>
        </w:rPr>
        <w:t xml:space="preserve">HLA-B27 </w:t>
      </w:r>
      <w:proofErr w:type="spellStart"/>
      <w:r w:rsidRPr="00716BBA">
        <w:rPr>
          <w:rFonts w:ascii="Times New Roman" w:eastAsia="Times New Roman" w:hAnsi="Times New Roman" w:cs="Times New Roman"/>
          <w:color w:val="000000"/>
          <w:sz w:val="20"/>
          <w:szCs w:val="20"/>
          <w:lang w:val="tr-TR" w:eastAsia="tr-TR"/>
        </w:rPr>
        <w:t>positivity</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the</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most</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important</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laboratory</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feature</w:t>
      </w:r>
      <w:proofErr w:type="spellEnd"/>
    </w:p>
    <w:p w14:paraId="1C50E869" w14:textId="77777777" w:rsidR="00716BBA" w:rsidRPr="00716BBA" w:rsidRDefault="00716BBA" w:rsidP="00716BBA">
      <w:pPr>
        <w:shd w:val="clear" w:color="auto" w:fill="FFFFFF"/>
        <w:spacing w:after="0"/>
        <w:rPr>
          <w:rFonts w:ascii="Times New Roman" w:eastAsia="Times New Roman" w:hAnsi="Times New Roman" w:cs="Times New Roman"/>
          <w:color w:val="000000"/>
          <w:sz w:val="20"/>
          <w:szCs w:val="20"/>
          <w:lang w:val="tr-TR" w:eastAsia="tr-TR"/>
        </w:rPr>
      </w:pPr>
      <w:proofErr w:type="spellStart"/>
      <w:r w:rsidRPr="00716BBA">
        <w:rPr>
          <w:rFonts w:ascii="Times New Roman" w:eastAsia="Times New Roman" w:hAnsi="Times New Roman" w:cs="Times New Roman"/>
          <w:color w:val="000000"/>
          <w:sz w:val="20"/>
          <w:szCs w:val="20"/>
          <w:lang w:val="tr-TR" w:eastAsia="tr-TR"/>
        </w:rPr>
        <w:t>Raised</w:t>
      </w:r>
      <w:proofErr w:type="spellEnd"/>
      <w:r w:rsidRPr="00716BBA">
        <w:rPr>
          <w:rFonts w:ascii="Times New Roman" w:eastAsia="Times New Roman" w:hAnsi="Times New Roman" w:cs="Times New Roman"/>
          <w:color w:val="000000"/>
          <w:sz w:val="20"/>
          <w:szCs w:val="20"/>
          <w:lang w:val="tr-TR" w:eastAsia="tr-TR"/>
        </w:rPr>
        <w:t xml:space="preserve"> ESR or CRP, </w:t>
      </w:r>
      <w:proofErr w:type="spellStart"/>
      <w:r w:rsidRPr="00716BBA">
        <w:rPr>
          <w:rFonts w:ascii="Times New Roman" w:eastAsia="Times New Roman" w:hAnsi="Times New Roman" w:cs="Times New Roman"/>
          <w:color w:val="000000"/>
          <w:sz w:val="20"/>
          <w:szCs w:val="20"/>
          <w:lang w:val="tr-TR" w:eastAsia="tr-TR"/>
        </w:rPr>
        <w:t>if</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active</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inflammation</w:t>
      </w:r>
      <w:proofErr w:type="spellEnd"/>
      <w:r w:rsidRPr="00716BBA">
        <w:rPr>
          <w:rFonts w:ascii="Times New Roman" w:eastAsia="Times New Roman" w:hAnsi="Times New Roman" w:cs="Times New Roman"/>
          <w:color w:val="000000"/>
          <w:sz w:val="20"/>
          <w:szCs w:val="20"/>
          <w:lang w:val="tr-TR" w:eastAsia="tr-TR"/>
        </w:rPr>
        <w:t xml:space="preserve"> is </w:t>
      </w:r>
      <w:proofErr w:type="spellStart"/>
      <w:r w:rsidRPr="00716BBA">
        <w:rPr>
          <w:rFonts w:ascii="Times New Roman" w:eastAsia="Times New Roman" w:hAnsi="Times New Roman" w:cs="Times New Roman"/>
          <w:color w:val="000000"/>
          <w:sz w:val="20"/>
          <w:szCs w:val="20"/>
          <w:lang w:val="tr-TR" w:eastAsia="tr-TR"/>
        </w:rPr>
        <w:t>present</w:t>
      </w:r>
      <w:proofErr w:type="spellEnd"/>
    </w:p>
    <w:p w14:paraId="66F0C614" w14:textId="77777777" w:rsidR="00716BBA" w:rsidRPr="00716BBA" w:rsidRDefault="00716BBA" w:rsidP="00716BBA">
      <w:pPr>
        <w:shd w:val="clear" w:color="auto" w:fill="FFFFFF"/>
        <w:spacing w:after="0"/>
        <w:rPr>
          <w:rFonts w:ascii="Times New Roman" w:eastAsia="Times New Roman" w:hAnsi="Times New Roman" w:cs="Times New Roman"/>
          <w:color w:val="000000"/>
          <w:sz w:val="20"/>
          <w:szCs w:val="20"/>
          <w:lang w:val="tr-TR" w:eastAsia="tr-TR"/>
        </w:rPr>
      </w:pPr>
      <w:proofErr w:type="spellStart"/>
      <w:r w:rsidRPr="00716BBA">
        <w:rPr>
          <w:rFonts w:ascii="Times New Roman" w:eastAsia="Times New Roman" w:hAnsi="Times New Roman" w:cs="Times New Roman"/>
          <w:color w:val="000000"/>
          <w:sz w:val="20"/>
          <w:szCs w:val="20"/>
          <w:lang w:val="tr-TR" w:eastAsia="tr-TR"/>
        </w:rPr>
        <w:t>Usually</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negative</w:t>
      </w:r>
      <w:proofErr w:type="spellEnd"/>
      <w:r w:rsidRPr="00716BBA">
        <w:rPr>
          <w:rFonts w:ascii="Times New Roman" w:eastAsia="Times New Roman" w:hAnsi="Times New Roman" w:cs="Times New Roman"/>
          <w:color w:val="000000"/>
          <w:sz w:val="20"/>
          <w:szCs w:val="20"/>
          <w:lang w:val="tr-TR" w:eastAsia="tr-TR"/>
        </w:rPr>
        <w:t xml:space="preserve"> RF</w:t>
      </w:r>
    </w:p>
    <w:p w14:paraId="3DEBE779" w14:textId="77777777" w:rsidR="00716BBA" w:rsidRPr="00716BBA" w:rsidRDefault="00716BBA" w:rsidP="00716BBA">
      <w:pPr>
        <w:shd w:val="clear" w:color="auto" w:fill="FFFFFF"/>
        <w:spacing w:after="0"/>
        <w:rPr>
          <w:rFonts w:ascii="Times New Roman" w:eastAsia="Times New Roman" w:hAnsi="Times New Roman" w:cs="Times New Roman"/>
          <w:color w:val="000000"/>
          <w:sz w:val="20"/>
          <w:szCs w:val="20"/>
          <w:lang w:val="tr-TR" w:eastAsia="tr-TR"/>
        </w:rPr>
      </w:pPr>
      <w:r w:rsidRPr="00716BBA">
        <w:rPr>
          <w:rFonts w:ascii="Times New Roman" w:eastAsia="Times New Roman" w:hAnsi="Times New Roman" w:cs="Times New Roman"/>
          <w:color w:val="000000"/>
          <w:sz w:val="20"/>
          <w:szCs w:val="20"/>
          <w:lang w:val="tr-TR" w:eastAsia="tr-TR"/>
        </w:rPr>
        <w:t xml:space="preserve">ANA </w:t>
      </w:r>
      <w:proofErr w:type="spellStart"/>
      <w:r w:rsidRPr="00716BBA">
        <w:rPr>
          <w:rFonts w:ascii="Times New Roman" w:eastAsia="Times New Roman" w:hAnsi="Times New Roman" w:cs="Times New Roman"/>
          <w:color w:val="000000"/>
          <w:sz w:val="20"/>
          <w:szCs w:val="20"/>
          <w:lang w:val="tr-TR" w:eastAsia="tr-TR"/>
        </w:rPr>
        <w:t>may</w:t>
      </w:r>
      <w:proofErr w:type="spellEnd"/>
      <w:r w:rsidRPr="00716BBA">
        <w:rPr>
          <w:rFonts w:ascii="Times New Roman" w:eastAsia="Times New Roman" w:hAnsi="Times New Roman" w:cs="Times New Roman"/>
          <w:color w:val="000000"/>
          <w:sz w:val="20"/>
          <w:szCs w:val="20"/>
          <w:lang w:val="tr-TR" w:eastAsia="tr-TR"/>
        </w:rPr>
        <w:t xml:space="preserve"> be </w:t>
      </w:r>
      <w:proofErr w:type="spellStart"/>
      <w:r w:rsidRPr="00716BBA">
        <w:rPr>
          <w:rFonts w:ascii="Times New Roman" w:eastAsia="Times New Roman" w:hAnsi="Times New Roman" w:cs="Times New Roman"/>
          <w:color w:val="000000"/>
          <w:sz w:val="20"/>
          <w:szCs w:val="20"/>
          <w:lang w:val="tr-TR" w:eastAsia="tr-TR"/>
        </w:rPr>
        <w:t>negative</w:t>
      </w:r>
      <w:proofErr w:type="spellEnd"/>
      <w:r w:rsidRPr="00716BBA">
        <w:rPr>
          <w:rFonts w:ascii="Times New Roman" w:eastAsia="Times New Roman" w:hAnsi="Times New Roman" w:cs="Times New Roman"/>
          <w:color w:val="000000"/>
          <w:sz w:val="20"/>
          <w:szCs w:val="20"/>
          <w:lang w:val="tr-TR" w:eastAsia="tr-TR"/>
        </w:rPr>
        <w:t xml:space="preserve"> or </w:t>
      </w:r>
      <w:proofErr w:type="spellStart"/>
      <w:r w:rsidRPr="00716BBA">
        <w:rPr>
          <w:rFonts w:ascii="Times New Roman" w:eastAsia="Times New Roman" w:hAnsi="Times New Roman" w:cs="Times New Roman"/>
          <w:color w:val="000000"/>
          <w:sz w:val="20"/>
          <w:szCs w:val="20"/>
          <w:lang w:val="tr-TR" w:eastAsia="tr-TR"/>
        </w:rPr>
        <w:t>positive</w:t>
      </w:r>
      <w:proofErr w:type="spellEnd"/>
      <w:r w:rsidRPr="00716BBA">
        <w:rPr>
          <w:rFonts w:ascii="Times New Roman" w:eastAsia="Times New Roman" w:hAnsi="Times New Roman" w:cs="Times New Roman"/>
          <w:color w:val="000000"/>
          <w:sz w:val="20"/>
          <w:szCs w:val="20"/>
          <w:lang w:val="tr-TR" w:eastAsia="tr-TR"/>
        </w:rPr>
        <w:t xml:space="preserve">, but ANA </w:t>
      </w:r>
      <w:proofErr w:type="spellStart"/>
      <w:r w:rsidRPr="00716BBA">
        <w:rPr>
          <w:rFonts w:ascii="Times New Roman" w:eastAsia="Times New Roman" w:hAnsi="Times New Roman" w:cs="Times New Roman"/>
          <w:color w:val="000000"/>
          <w:sz w:val="20"/>
          <w:szCs w:val="20"/>
          <w:lang w:val="tr-TR" w:eastAsia="tr-TR"/>
        </w:rPr>
        <w:t>positivity</w:t>
      </w:r>
      <w:proofErr w:type="spellEnd"/>
      <w:r w:rsidRPr="00716BBA">
        <w:rPr>
          <w:rFonts w:ascii="Times New Roman" w:eastAsia="Times New Roman" w:hAnsi="Times New Roman" w:cs="Times New Roman"/>
          <w:color w:val="000000"/>
          <w:sz w:val="20"/>
          <w:szCs w:val="20"/>
          <w:lang w:val="tr-TR" w:eastAsia="tr-TR"/>
        </w:rPr>
        <w:t xml:space="preserve"> is not a </w:t>
      </w:r>
      <w:proofErr w:type="spellStart"/>
      <w:r w:rsidRPr="00716BBA">
        <w:rPr>
          <w:rFonts w:ascii="Times New Roman" w:eastAsia="Times New Roman" w:hAnsi="Times New Roman" w:cs="Times New Roman"/>
          <w:color w:val="000000"/>
          <w:sz w:val="20"/>
          <w:szCs w:val="20"/>
          <w:lang w:val="tr-TR" w:eastAsia="tr-TR"/>
        </w:rPr>
        <w:t>defining</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feature</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and</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does</w:t>
      </w:r>
      <w:proofErr w:type="spellEnd"/>
      <w:r w:rsidRPr="00716BBA">
        <w:rPr>
          <w:rFonts w:ascii="Times New Roman" w:eastAsia="Times New Roman" w:hAnsi="Times New Roman" w:cs="Times New Roman"/>
          <w:color w:val="000000"/>
          <w:sz w:val="20"/>
          <w:szCs w:val="20"/>
          <w:lang w:val="tr-TR" w:eastAsia="tr-TR"/>
        </w:rPr>
        <w:t xml:space="preserve"> not </w:t>
      </w:r>
      <w:proofErr w:type="spellStart"/>
      <w:r w:rsidRPr="00716BBA">
        <w:rPr>
          <w:rFonts w:ascii="Times New Roman" w:eastAsia="Times New Roman" w:hAnsi="Times New Roman" w:cs="Times New Roman"/>
          <w:color w:val="000000"/>
          <w:sz w:val="20"/>
          <w:szCs w:val="20"/>
          <w:lang w:val="tr-TR" w:eastAsia="tr-TR"/>
        </w:rPr>
        <w:t>classify</w:t>
      </w:r>
      <w:proofErr w:type="spellEnd"/>
      <w:r w:rsidRPr="00716BBA">
        <w:rPr>
          <w:rFonts w:ascii="Times New Roman" w:eastAsia="Times New Roman" w:hAnsi="Times New Roman" w:cs="Times New Roman"/>
          <w:color w:val="000000"/>
          <w:sz w:val="20"/>
          <w:szCs w:val="20"/>
          <w:lang w:val="tr-TR" w:eastAsia="tr-TR"/>
        </w:rPr>
        <w:t xml:space="preserve"> ERA</w:t>
      </w:r>
    </w:p>
    <w:p w14:paraId="1E1BF09D" w14:textId="77777777" w:rsidR="00716BBA" w:rsidRPr="00716BBA" w:rsidRDefault="00716BBA" w:rsidP="00716BBA">
      <w:pPr>
        <w:shd w:val="clear" w:color="auto" w:fill="FFFFFF"/>
        <w:spacing w:after="0"/>
        <w:rPr>
          <w:rFonts w:ascii="Times New Roman" w:eastAsia="Times New Roman" w:hAnsi="Times New Roman" w:cs="Times New Roman"/>
          <w:color w:val="000000"/>
          <w:sz w:val="20"/>
          <w:szCs w:val="20"/>
          <w:lang w:val="tr-TR" w:eastAsia="tr-TR"/>
        </w:rPr>
      </w:pPr>
      <w:proofErr w:type="spellStart"/>
      <w:r w:rsidRPr="00716BBA">
        <w:rPr>
          <w:rFonts w:ascii="Times New Roman" w:eastAsia="Times New Roman" w:hAnsi="Times New Roman" w:cs="Times New Roman"/>
          <w:color w:val="000000"/>
          <w:sz w:val="20"/>
          <w:szCs w:val="20"/>
          <w:lang w:val="tr-TR" w:eastAsia="tr-TR"/>
        </w:rPr>
        <w:t>Imaging</w:t>
      </w:r>
      <w:proofErr w:type="spellEnd"/>
      <w:r w:rsidRPr="00716BBA">
        <w:rPr>
          <w:rFonts w:ascii="Times New Roman" w:eastAsia="Times New Roman" w:hAnsi="Times New Roman" w:cs="Times New Roman"/>
          <w:color w:val="000000"/>
          <w:sz w:val="20"/>
          <w:szCs w:val="20"/>
          <w:lang w:val="tr-TR" w:eastAsia="tr-TR"/>
        </w:rPr>
        <w:t xml:space="preserve"> can </w:t>
      </w:r>
      <w:proofErr w:type="spellStart"/>
      <w:r w:rsidRPr="00716BBA">
        <w:rPr>
          <w:rFonts w:ascii="Times New Roman" w:eastAsia="Times New Roman" w:hAnsi="Times New Roman" w:cs="Times New Roman"/>
          <w:color w:val="000000"/>
          <w:sz w:val="20"/>
          <w:szCs w:val="20"/>
          <w:lang w:val="tr-TR" w:eastAsia="tr-TR"/>
        </w:rPr>
        <w:t>support</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classification</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when</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axial</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disease</w:t>
      </w:r>
      <w:proofErr w:type="spellEnd"/>
      <w:r w:rsidRPr="00716BBA">
        <w:rPr>
          <w:rFonts w:ascii="Times New Roman" w:eastAsia="Times New Roman" w:hAnsi="Times New Roman" w:cs="Times New Roman"/>
          <w:color w:val="000000"/>
          <w:sz w:val="20"/>
          <w:szCs w:val="20"/>
          <w:lang w:val="tr-TR" w:eastAsia="tr-TR"/>
        </w:rPr>
        <w:t xml:space="preserve"> is </w:t>
      </w:r>
      <w:proofErr w:type="spellStart"/>
      <w:r w:rsidRPr="00716BBA">
        <w:rPr>
          <w:rFonts w:ascii="Times New Roman" w:eastAsia="Times New Roman" w:hAnsi="Times New Roman" w:cs="Times New Roman"/>
          <w:color w:val="000000"/>
          <w:sz w:val="20"/>
          <w:szCs w:val="20"/>
          <w:lang w:val="tr-TR" w:eastAsia="tr-TR"/>
        </w:rPr>
        <w:t>suspected</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especially</w:t>
      </w:r>
      <w:proofErr w:type="spellEnd"/>
      <w:r w:rsidRPr="00716BBA">
        <w:rPr>
          <w:rFonts w:ascii="Times New Roman" w:eastAsia="Times New Roman" w:hAnsi="Times New Roman" w:cs="Times New Roman"/>
          <w:color w:val="000000"/>
          <w:sz w:val="20"/>
          <w:szCs w:val="20"/>
          <w:lang w:val="tr-TR" w:eastAsia="tr-TR"/>
        </w:rPr>
        <w:t xml:space="preserve"> MRI </w:t>
      </w:r>
      <w:proofErr w:type="spellStart"/>
      <w:r w:rsidRPr="00716BBA">
        <w:rPr>
          <w:rFonts w:ascii="Times New Roman" w:eastAsia="Times New Roman" w:hAnsi="Times New Roman" w:cs="Times New Roman"/>
          <w:color w:val="000000"/>
          <w:sz w:val="20"/>
          <w:szCs w:val="20"/>
          <w:lang w:val="tr-TR" w:eastAsia="tr-TR"/>
        </w:rPr>
        <w:t>evidence</w:t>
      </w:r>
      <w:proofErr w:type="spellEnd"/>
      <w:r w:rsidRPr="00716BBA">
        <w:rPr>
          <w:rFonts w:ascii="Times New Roman" w:eastAsia="Times New Roman" w:hAnsi="Times New Roman" w:cs="Times New Roman"/>
          <w:color w:val="000000"/>
          <w:sz w:val="20"/>
          <w:szCs w:val="20"/>
          <w:lang w:val="tr-TR" w:eastAsia="tr-TR"/>
        </w:rPr>
        <w:t xml:space="preserve"> of </w:t>
      </w:r>
      <w:proofErr w:type="spellStart"/>
      <w:r w:rsidRPr="00716BBA">
        <w:rPr>
          <w:rFonts w:ascii="Times New Roman" w:eastAsia="Times New Roman" w:hAnsi="Times New Roman" w:cs="Times New Roman"/>
          <w:color w:val="000000"/>
          <w:sz w:val="20"/>
          <w:szCs w:val="20"/>
          <w:lang w:val="tr-TR" w:eastAsia="tr-TR"/>
        </w:rPr>
        <w:t>active</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sacroiliitis</w:t>
      </w:r>
      <w:proofErr w:type="spellEnd"/>
      <w:r w:rsidRPr="00716BBA">
        <w:rPr>
          <w:rFonts w:ascii="Times New Roman" w:eastAsia="Times New Roman" w:hAnsi="Times New Roman" w:cs="Times New Roman"/>
          <w:color w:val="000000"/>
          <w:sz w:val="20"/>
          <w:szCs w:val="20"/>
          <w:lang w:val="tr-TR" w:eastAsia="tr-TR"/>
        </w:rPr>
        <w:t>.</w:t>
      </w:r>
    </w:p>
    <w:p w14:paraId="30EA80D7" w14:textId="77777777" w:rsidR="00716BBA" w:rsidRPr="00716BBA" w:rsidRDefault="00716BBA" w:rsidP="00716BBA">
      <w:pPr>
        <w:shd w:val="clear" w:color="auto" w:fill="FFFFFF"/>
        <w:spacing w:after="0"/>
        <w:rPr>
          <w:rFonts w:ascii="Times New Roman" w:eastAsia="Times New Roman" w:hAnsi="Times New Roman" w:cs="Times New Roman"/>
          <w:color w:val="000000"/>
          <w:sz w:val="20"/>
          <w:szCs w:val="20"/>
          <w:lang w:val="tr-TR" w:eastAsia="tr-TR"/>
        </w:rPr>
      </w:pPr>
      <w:proofErr w:type="spellStart"/>
      <w:r w:rsidRPr="00716BBA">
        <w:rPr>
          <w:rFonts w:ascii="Times New Roman" w:eastAsia="Times New Roman" w:hAnsi="Times New Roman" w:cs="Times New Roman"/>
          <w:color w:val="000000"/>
          <w:sz w:val="20"/>
          <w:szCs w:val="20"/>
          <w:lang w:val="tr-TR" w:eastAsia="tr-TR"/>
        </w:rPr>
        <w:t>The</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key</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distinction</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from</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other</w:t>
      </w:r>
      <w:proofErr w:type="spellEnd"/>
      <w:r w:rsidRPr="00716BBA">
        <w:rPr>
          <w:rFonts w:ascii="Times New Roman" w:eastAsia="Times New Roman" w:hAnsi="Times New Roman" w:cs="Times New Roman"/>
          <w:color w:val="000000"/>
          <w:sz w:val="20"/>
          <w:szCs w:val="20"/>
          <w:lang w:val="tr-TR" w:eastAsia="tr-TR"/>
        </w:rPr>
        <w:t xml:space="preserve"> JIA </w:t>
      </w:r>
      <w:proofErr w:type="spellStart"/>
      <w:r w:rsidRPr="00716BBA">
        <w:rPr>
          <w:rFonts w:ascii="Times New Roman" w:eastAsia="Times New Roman" w:hAnsi="Times New Roman" w:cs="Times New Roman"/>
          <w:color w:val="000000"/>
          <w:sz w:val="20"/>
          <w:szCs w:val="20"/>
          <w:lang w:val="tr-TR" w:eastAsia="tr-TR"/>
        </w:rPr>
        <w:t>subtypes</w:t>
      </w:r>
      <w:proofErr w:type="spellEnd"/>
      <w:r w:rsidRPr="00716BBA">
        <w:rPr>
          <w:rFonts w:ascii="Times New Roman" w:eastAsia="Times New Roman" w:hAnsi="Times New Roman" w:cs="Times New Roman"/>
          <w:color w:val="000000"/>
          <w:sz w:val="20"/>
          <w:szCs w:val="20"/>
          <w:lang w:val="tr-TR" w:eastAsia="tr-TR"/>
        </w:rPr>
        <w:t xml:space="preserve"> is </w:t>
      </w:r>
      <w:proofErr w:type="spellStart"/>
      <w:r w:rsidRPr="00716BBA">
        <w:rPr>
          <w:rFonts w:ascii="Times New Roman" w:eastAsia="Times New Roman" w:hAnsi="Times New Roman" w:cs="Times New Roman"/>
          <w:color w:val="000000"/>
          <w:sz w:val="20"/>
          <w:szCs w:val="20"/>
          <w:lang w:val="tr-TR" w:eastAsia="tr-TR"/>
        </w:rPr>
        <w:t>the</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combination</w:t>
      </w:r>
      <w:proofErr w:type="spellEnd"/>
      <w:r w:rsidRPr="00716BBA">
        <w:rPr>
          <w:rFonts w:ascii="Times New Roman" w:eastAsia="Times New Roman" w:hAnsi="Times New Roman" w:cs="Times New Roman"/>
          <w:color w:val="000000"/>
          <w:sz w:val="20"/>
          <w:szCs w:val="20"/>
          <w:lang w:val="tr-TR" w:eastAsia="tr-TR"/>
        </w:rPr>
        <w:t xml:space="preserve"> of </w:t>
      </w:r>
      <w:proofErr w:type="spellStart"/>
      <w:r w:rsidRPr="00716BBA">
        <w:rPr>
          <w:rFonts w:ascii="Times New Roman" w:eastAsia="Times New Roman" w:hAnsi="Times New Roman" w:cs="Times New Roman"/>
          <w:color w:val="000000"/>
          <w:sz w:val="20"/>
          <w:szCs w:val="20"/>
          <w:lang w:val="tr-TR" w:eastAsia="tr-TR"/>
        </w:rPr>
        <w:t>enthesitis</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lower-limb</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asymmetric</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arthritis</w:t>
      </w:r>
      <w:proofErr w:type="spellEnd"/>
      <w:r w:rsidRPr="00716BBA">
        <w:rPr>
          <w:rFonts w:ascii="Times New Roman" w:eastAsia="Times New Roman" w:hAnsi="Times New Roman" w:cs="Times New Roman"/>
          <w:color w:val="000000"/>
          <w:sz w:val="20"/>
          <w:szCs w:val="20"/>
          <w:lang w:val="tr-TR" w:eastAsia="tr-TR"/>
        </w:rPr>
        <w:t xml:space="preserve">, HLA-B27 </w:t>
      </w:r>
      <w:proofErr w:type="spellStart"/>
      <w:r w:rsidRPr="00716BBA">
        <w:rPr>
          <w:rFonts w:ascii="Times New Roman" w:eastAsia="Times New Roman" w:hAnsi="Times New Roman" w:cs="Times New Roman"/>
          <w:color w:val="000000"/>
          <w:sz w:val="20"/>
          <w:szCs w:val="20"/>
          <w:lang w:val="tr-TR" w:eastAsia="tr-TR"/>
        </w:rPr>
        <w:t>association</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acute</w:t>
      </w:r>
      <w:proofErr w:type="spellEnd"/>
      <w:r w:rsidRPr="00716BBA">
        <w:rPr>
          <w:rFonts w:ascii="Times New Roman" w:eastAsia="Times New Roman" w:hAnsi="Times New Roman" w:cs="Times New Roman"/>
          <w:color w:val="000000"/>
          <w:sz w:val="20"/>
          <w:szCs w:val="20"/>
          <w:lang w:val="tr-TR" w:eastAsia="tr-TR"/>
        </w:rPr>
        <w:t xml:space="preserve"> anterior </w:t>
      </w:r>
      <w:proofErr w:type="spellStart"/>
      <w:r w:rsidRPr="00716BBA">
        <w:rPr>
          <w:rFonts w:ascii="Times New Roman" w:eastAsia="Times New Roman" w:hAnsi="Times New Roman" w:cs="Times New Roman"/>
          <w:color w:val="000000"/>
          <w:sz w:val="20"/>
          <w:szCs w:val="20"/>
          <w:lang w:val="tr-TR" w:eastAsia="tr-TR"/>
        </w:rPr>
        <w:t>uveitis</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and</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possible</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sacroiliitis</w:t>
      </w:r>
      <w:proofErr w:type="spellEnd"/>
      <w:r w:rsidRPr="00716BBA">
        <w:rPr>
          <w:rFonts w:ascii="Times New Roman" w:eastAsia="Times New Roman" w:hAnsi="Times New Roman" w:cs="Times New Roman"/>
          <w:color w:val="000000"/>
          <w:sz w:val="20"/>
          <w:szCs w:val="20"/>
          <w:lang w:val="tr-TR" w:eastAsia="tr-TR"/>
        </w:rPr>
        <w:t>/</w:t>
      </w:r>
      <w:proofErr w:type="spellStart"/>
      <w:r w:rsidRPr="00716BBA">
        <w:rPr>
          <w:rFonts w:ascii="Times New Roman" w:eastAsia="Times New Roman" w:hAnsi="Times New Roman" w:cs="Times New Roman"/>
          <w:color w:val="000000"/>
          <w:sz w:val="20"/>
          <w:szCs w:val="20"/>
          <w:lang w:val="tr-TR" w:eastAsia="tr-TR"/>
        </w:rPr>
        <w:t>axial</w:t>
      </w:r>
      <w:proofErr w:type="spellEnd"/>
      <w:r w:rsidRPr="00716BBA">
        <w:rPr>
          <w:rFonts w:ascii="Times New Roman" w:eastAsia="Times New Roman" w:hAnsi="Times New Roman" w:cs="Times New Roman"/>
          <w:color w:val="000000"/>
          <w:sz w:val="20"/>
          <w:szCs w:val="20"/>
          <w:lang w:val="tr-TR" w:eastAsia="tr-TR"/>
        </w:rPr>
        <w:t xml:space="preserve"> </w:t>
      </w:r>
      <w:proofErr w:type="spellStart"/>
      <w:r w:rsidRPr="00716BBA">
        <w:rPr>
          <w:rFonts w:ascii="Times New Roman" w:eastAsia="Times New Roman" w:hAnsi="Times New Roman" w:cs="Times New Roman"/>
          <w:color w:val="000000"/>
          <w:sz w:val="20"/>
          <w:szCs w:val="20"/>
          <w:lang w:val="tr-TR" w:eastAsia="tr-TR"/>
        </w:rPr>
        <w:t>involvement</w:t>
      </w:r>
      <w:proofErr w:type="spellEnd"/>
      <w:r w:rsidRPr="00716BBA">
        <w:rPr>
          <w:rFonts w:ascii="Times New Roman" w:eastAsia="Times New Roman" w:hAnsi="Times New Roman" w:cs="Times New Roman"/>
          <w:color w:val="000000"/>
          <w:sz w:val="20"/>
          <w:szCs w:val="20"/>
          <w:lang w:val="tr-TR" w:eastAsia="tr-TR"/>
        </w:rPr>
        <w:t>.</w:t>
      </w:r>
    </w:p>
    <w:p w14:paraId="2F5D8EB9" w14:textId="77777777" w:rsidR="00716BBA" w:rsidRPr="00716BBA" w:rsidRDefault="00716BBA" w:rsidP="00716BBA">
      <w:pPr>
        <w:spacing w:after="0"/>
        <w:rPr>
          <w:rFonts w:ascii="Times New Roman" w:eastAsia="Times New Roman" w:hAnsi="Times New Roman" w:cs="Times New Roman"/>
          <w:sz w:val="20"/>
          <w:szCs w:val="20"/>
          <w:lang w:val="tr-TR" w:eastAsia="tr-TR"/>
        </w:rPr>
      </w:pPr>
    </w:p>
    <w:p w14:paraId="58924904" w14:textId="3C3746B7" w:rsidR="00EB6F05" w:rsidRPr="00716BBA" w:rsidRDefault="00EB6F05" w:rsidP="00716BBA">
      <w:pPr>
        <w:spacing w:after="60"/>
        <w:rPr>
          <w:rFonts w:ascii="Times New Roman" w:hAnsi="Times New Roman" w:cs="Times New Roman"/>
          <w:sz w:val="20"/>
          <w:szCs w:val="20"/>
        </w:rPr>
      </w:pPr>
    </w:p>
    <w:p w14:paraId="7F0802C7" w14:textId="77777777" w:rsidR="00EB6F05" w:rsidRPr="00716BBA" w:rsidRDefault="00000000" w:rsidP="00716BBA">
      <w:pPr>
        <w:spacing w:before="200" w:after="120"/>
        <w:rPr>
          <w:rFonts w:ascii="Times New Roman" w:hAnsi="Times New Roman" w:cs="Times New Roman"/>
          <w:color w:val="EE0000"/>
          <w:sz w:val="20"/>
          <w:szCs w:val="20"/>
        </w:rPr>
      </w:pPr>
      <w:r w:rsidRPr="00716BBA">
        <w:rPr>
          <w:rFonts w:ascii="Times New Roman" w:hAnsi="Times New Roman" w:cs="Times New Roman"/>
          <w:b/>
          <w:color w:val="EE0000"/>
          <w:sz w:val="20"/>
          <w:szCs w:val="20"/>
        </w:rPr>
        <w:t>Q5. How is Psoriatic JIA classified according to current criteria, and which features help distinguish it from other JIA subtypes?</w:t>
      </w:r>
    </w:p>
    <w:p w14:paraId="715F94CF" w14:textId="77777777" w:rsidR="00EB6F05" w:rsidRPr="00716BBA" w:rsidRDefault="00000000" w:rsidP="00716BBA">
      <w:pPr>
        <w:spacing w:before="160" w:after="60"/>
        <w:rPr>
          <w:rFonts w:ascii="Times New Roman" w:hAnsi="Times New Roman" w:cs="Times New Roman"/>
          <w:color w:val="EE0000"/>
          <w:sz w:val="20"/>
          <w:szCs w:val="20"/>
        </w:rPr>
      </w:pPr>
      <w:r w:rsidRPr="00716BBA">
        <w:rPr>
          <w:rFonts w:ascii="Times New Roman" w:hAnsi="Times New Roman" w:cs="Times New Roman"/>
          <w:b/>
          <w:color w:val="EE0000"/>
          <w:sz w:val="20"/>
          <w:szCs w:val="20"/>
        </w:rPr>
        <w:t>MODEL X</w:t>
      </w:r>
    </w:p>
    <w:p w14:paraId="7ADCC773"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Classification Criteria</w:t>
      </w:r>
    </w:p>
    <w:p w14:paraId="02DC8988"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Classification requires the presence of objective arthritis plus at least one of the following core features:</w:t>
      </w:r>
    </w:p>
    <w:p w14:paraId="6194D888"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Psoriasis: A biopsy-confirmed or clinically diagnostic active psoriatic skin rash in the patient.</w:t>
      </w:r>
    </w:p>
    <w:p w14:paraId="2643C71B"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Family History: A documented first-degree relative (parent or sibling) with psoriasis.</w:t>
      </w:r>
    </w:p>
    <w:p w14:paraId="113A1E4B"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Dactylitis: Current or historical presence of "sausage digit(s)" (diffuse, uniform swelling of a finger or toe that extends beyond the joint margins, caused by simultaneous flexor tenosynovitis and arthritis).</w:t>
      </w:r>
    </w:p>
    <w:p w14:paraId="7DA8E1A8"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Nail Changes: Psoriatic nail pitting (at least 2 pits) or onycholysis (separation of the nail plate from the nail bed) on physical examination.</w:t>
      </w:r>
    </w:p>
    <w:p w14:paraId="52E5F5FF"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Distinguishing Features</w:t>
      </w:r>
    </w:p>
    <w:p w14:paraId="5B1B1D2A"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Psoriatic JIA exhibits a highly heterogeneous phenotype, but it is clinically distinguished from other JIA subtypes by several distinct patterns:</w:t>
      </w:r>
    </w:p>
    <w:p w14:paraId="3A3AB2D1"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lastRenderedPageBreak/>
        <w:t>Asymmetric Small Joint Involvement: Frequently involves an asymmetric combination of large and small joints, specifically including the distal interphalangeal (DIP) joints, which are rarely affected in oligoarticular or RF-negative polyarticular JIA.</w:t>
      </w:r>
    </w:p>
    <w:p w14:paraId="78EADE9A"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Dactylitis and Enthesitis Axis: The presence of dactylitis reflects an underlying tenosynovitis and enthesitis phenotype, distinguishing it from pure synovitis subcategories.</w:t>
      </w:r>
    </w:p>
    <w:p w14:paraId="656AC29D"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Uveitis Risk and Presentation: Unlike the acute, painful uveitis seen in Enthesitis-Related Arthritis (ERA), patients with Psoriatic JIA often carry a high risk for chronic, asymptomatic, bilateral anterior uveitis, resembling the ocular presentation of Early-Onset ANA-Positive JIA.</w:t>
      </w:r>
    </w:p>
    <w:p w14:paraId="4BB8E6DD"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Autoantibody Profile: Typically negative for Rheumatoid Factor (RF), but Antinuclear Antibody (ANA) positivity is common and correlates with a younger age at onset and an increased risk of uveitis.</w:t>
      </w:r>
    </w:p>
    <w:p w14:paraId="0F7D805C"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Critical Exclusions</w:t>
      </w:r>
    </w:p>
    <w:p w14:paraId="5CB1F541"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Under ILAR criteria, the diagnosis is excluded if the patient fits the criteria for ERA (e.g., HLA-B27 positive with sacroiliitis) or is RF-positive, ensuring a distinct classification boundary from those entities.</w:t>
      </w:r>
    </w:p>
    <w:p w14:paraId="321AA26B" w14:textId="77777777" w:rsidR="00EB6F05" w:rsidRPr="00716BBA" w:rsidRDefault="00000000" w:rsidP="00716BBA">
      <w:pPr>
        <w:spacing w:before="160" w:after="60"/>
        <w:rPr>
          <w:rFonts w:ascii="Times New Roman" w:hAnsi="Times New Roman" w:cs="Times New Roman"/>
          <w:color w:val="EE0000"/>
          <w:sz w:val="20"/>
          <w:szCs w:val="20"/>
        </w:rPr>
      </w:pPr>
      <w:r w:rsidRPr="00716BBA">
        <w:rPr>
          <w:rFonts w:ascii="Times New Roman" w:hAnsi="Times New Roman" w:cs="Times New Roman"/>
          <w:b/>
          <w:color w:val="EE0000"/>
          <w:sz w:val="20"/>
          <w:szCs w:val="20"/>
        </w:rPr>
        <w:t>MODEL Y</w:t>
      </w:r>
    </w:p>
    <w:p w14:paraId="42D5BA9D"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Psoriatic JIA — Classification Criteria and Distinguishing Features</w:t>
      </w:r>
    </w:p>
    <w:p w14:paraId="1C64E76A"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ILAR Criteria: Requires arthritis plus psoriasis, or arthritis plus at least 2 of the following features in the absence of confirmed psoriasis:</w:t>
      </w:r>
    </w:p>
    <w:p w14:paraId="660E80D5"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Dactylitis</w:t>
      </w:r>
    </w:p>
    <w:p w14:paraId="5571557A"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Nail pitting or onycholysis</w:t>
      </w:r>
    </w:p>
    <w:p w14:paraId="77E90AF3"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Psoriasis in a first-degree relative</w:t>
      </w:r>
    </w:p>
    <w:p w14:paraId="4256001E"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Exclusion Criteria: Includes RF positivity, HLA-B27 positive male with onset after age 6, ankylosing spondylitis or ERA in a first-degree relative, and systemic JIA features.</w:t>
      </w:r>
    </w:p>
    <w:p w14:paraId="784F51B1"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Key Clinical Distinguishing Features:</w:t>
      </w:r>
    </w:p>
    <w:p w14:paraId="15FDE87E"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Dactylitis: Diffuse swelling of an entire digit giving the classic sausage finger or toe appearance. It is highly characteristic and one of the most useful clinical markers distinguishing psoriatic JIA from other subtypes.</w:t>
      </w:r>
    </w:p>
    <w:p w14:paraId="48CCE08C"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Nail Changes: Pitting, onycholysis, and leukonychia are present in a significant proportion and should be actively sought on examination.</w:t>
      </w:r>
    </w:p>
    <w:p w14:paraId="76CF2C3A"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Joint Involvement Pattern: Variable pattern that can be oligoarticular or polyarticular, symmetric or asymmetric. Small joint involvement of hands and feet resembling adult psoriatic arthritis occurs but is less common in children.</w:t>
      </w:r>
    </w:p>
    <w:p w14:paraId="04E0B751"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Cutaneous Presentation: Psoriasis itself may be absent at arthritis onset and can appear years later, making the associated features diagnostically critical in early disease.</w:t>
      </w:r>
    </w:p>
    <w:p w14:paraId="3BE556D9"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PRINTO Revisions: Proposed separating psoriatic JIA into distinct categories based on ANA status and age of onset, recognizing that early-onset ANA-positive patients currently classified as psoriatic JIA likely belong to the early-onset ANA-positive category biologically.</w:t>
      </w:r>
    </w:p>
    <w:p w14:paraId="6841940D"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Uveitis Risk Profile: ANA positivity and uveitis risk profile in psoriatic JIA more closely resembles oligoarticular JIA than ERA, which is an important clinical distinction for uveitis surveillance planning.</w:t>
      </w:r>
    </w:p>
    <w:p w14:paraId="36D9B308" w14:textId="77777777" w:rsidR="00EB6F05" w:rsidRPr="00716BBA" w:rsidRDefault="00000000" w:rsidP="00716BBA">
      <w:pPr>
        <w:spacing w:before="160" w:after="60"/>
        <w:rPr>
          <w:rFonts w:ascii="Times New Roman" w:hAnsi="Times New Roman" w:cs="Times New Roman"/>
          <w:color w:val="EE0000"/>
          <w:sz w:val="20"/>
          <w:szCs w:val="20"/>
        </w:rPr>
      </w:pPr>
      <w:r w:rsidRPr="00716BBA">
        <w:rPr>
          <w:rFonts w:ascii="Times New Roman" w:hAnsi="Times New Roman" w:cs="Times New Roman"/>
          <w:b/>
          <w:color w:val="EE0000"/>
          <w:sz w:val="20"/>
          <w:szCs w:val="20"/>
        </w:rPr>
        <w:t>MODEL Z</w:t>
      </w:r>
    </w:p>
    <w:p w14:paraId="58B5FA7E"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Classification of psoriatic JIA</w:t>
      </w:r>
    </w:p>
    <w:p w14:paraId="5857A3A4"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Under ILAR criteria, psoriatic JIA is classified when arthritis begins before age 16, persists for at least 6 weeks, and is associated with either:</w:t>
      </w:r>
    </w:p>
    <w:p w14:paraId="352DABB0"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Arthritis plus psoriasis, or</w:t>
      </w:r>
      <w:r w:rsidRPr="00716BBA">
        <w:rPr>
          <w:rFonts w:ascii="Times New Roman" w:hAnsi="Times New Roman" w:cs="Times New Roman"/>
          <w:sz w:val="20"/>
          <w:szCs w:val="20"/>
        </w:rPr>
        <w:br/>
        <w:t>Arthritis plus at least two of the following:</w:t>
      </w:r>
    </w:p>
    <w:p w14:paraId="34204200"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Dactylitis</w:t>
      </w:r>
    </w:p>
    <w:p w14:paraId="5490C347"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Nail pitting or onycholysis</w:t>
      </w:r>
    </w:p>
    <w:p w14:paraId="50A06D5C"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Psoriasis in a first-degree relative</w:t>
      </w:r>
    </w:p>
    <w:p w14:paraId="359031D9"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lastRenderedPageBreak/>
        <w:t>Important ILAR exclusions include systemic JIA, RF-positive arthritis, and features suggesting the HLA-B27/enthesitis-related arthritis spectrum.</w:t>
      </w:r>
    </w:p>
    <w:p w14:paraId="77D519FC"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Clinically, psoriatic JIA is distinguished by psoriatic skin disease, nail changes, dactylitis, and often asymmetric arthritis involving both large and small joints. Early-onset cases may resemble ANA-positive oligoarticular JIA and carry a risk of chronic anterior uveitis; older-onset cases may overlap with juvenile spondyloarthritis, particularly if enthesitis, sacroiliitis, HLA-B27 positivity, or acute anterior uveitis are present.</w:t>
      </w:r>
    </w:p>
    <w:p w14:paraId="4552D5AD"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In the PRINTO provisional classification, psoriatic JIA is not retained as a separate main category. Children with psoriasis-related features are classified according to the dominant phenotype, such as early-onset ANA-positive JIA, enthesitis/spondylitis-related JIA, or other JIA.</w:t>
      </w:r>
    </w:p>
    <w:p w14:paraId="15DC34BA"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The key point is: ILAR recognizes psoriatic JIA as a distinct category; PRINTO does not, and instead redistributes these patients into more phenotype-based groups.</w:t>
      </w:r>
    </w:p>
    <w:p w14:paraId="3BDF861B" w14:textId="77777777" w:rsidR="00EB6F05" w:rsidRPr="00716BBA" w:rsidRDefault="00EB6F05" w:rsidP="00716BBA">
      <w:pPr>
        <w:spacing w:after="60"/>
        <w:rPr>
          <w:rFonts w:ascii="Times New Roman" w:hAnsi="Times New Roman" w:cs="Times New Roman"/>
          <w:sz w:val="20"/>
          <w:szCs w:val="20"/>
        </w:rPr>
      </w:pPr>
    </w:p>
    <w:p w14:paraId="09289F0A" w14:textId="77777777" w:rsidR="00EB6F05" w:rsidRPr="00716BBA" w:rsidRDefault="00000000" w:rsidP="00716BBA">
      <w:pPr>
        <w:spacing w:before="200" w:after="120"/>
        <w:rPr>
          <w:rFonts w:ascii="Times New Roman" w:hAnsi="Times New Roman" w:cs="Times New Roman"/>
          <w:color w:val="EE0000"/>
          <w:sz w:val="20"/>
          <w:szCs w:val="20"/>
        </w:rPr>
      </w:pPr>
      <w:r w:rsidRPr="00716BBA">
        <w:rPr>
          <w:rFonts w:ascii="Times New Roman" w:hAnsi="Times New Roman" w:cs="Times New Roman"/>
          <w:b/>
          <w:color w:val="EE0000"/>
          <w:sz w:val="20"/>
          <w:szCs w:val="20"/>
        </w:rPr>
        <w:t>Q6. What are the major differences between the PRINTO and ILAR classification systems for Juvenile Idiopathic Arthritis?</w:t>
      </w:r>
    </w:p>
    <w:p w14:paraId="766A0551" w14:textId="77777777" w:rsidR="00EB6F05" w:rsidRPr="00716BBA" w:rsidRDefault="00000000" w:rsidP="00716BBA">
      <w:pPr>
        <w:spacing w:before="160" w:after="60"/>
        <w:rPr>
          <w:rFonts w:ascii="Times New Roman" w:hAnsi="Times New Roman" w:cs="Times New Roman"/>
          <w:color w:val="EE0000"/>
          <w:sz w:val="20"/>
          <w:szCs w:val="20"/>
        </w:rPr>
      </w:pPr>
      <w:r w:rsidRPr="00716BBA">
        <w:rPr>
          <w:rFonts w:ascii="Times New Roman" w:hAnsi="Times New Roman" w:cs="Times New Roman"/>
          <w:b/>
          <w:color w:val="EE0000"/>
          <w:sz w:val="20"/>
          <w:szCs w:val="20"/>
        </w:rPr>
        <w:t>MODEL X</w:t>
      </w:r>
    </w:p>
    <w:p w14:paraId="5C5AE797"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The major differences between the ILAR (International League of Associations for Rheumatology) and the newer PRINTO (Pediatric Rheumatology International Trials Organization) classification systems focus on improving category homogeneity, incorporating modern biomarker data, and removing artificial exclusions.</w:t>
      </w:r>
    </w:p>
    <w:p w14:paraId="26736CBD"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1. Underlying Conceptual Philosophy</w:t>
      </w:r>
    </w:p>
    <w:p w14:paraId="351F632E"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ILAR System: Classified JIA based primarily on clinical phenotypes observed during the first 6 months of disease (e.g., counting the number of affected joints), creating categories that frequently overlap biologically.</w:t>
      </w:r>
    </w:p>
    <w:p w14:paraId="102CB15B"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PRINTO System: Prioritizes homogenous, biologically distinct disease entities by integrating modern laboratory, genetic, and clinical markers to group patients who share pathophysiological mechanisms and treatment responses.</w:t>
      </w:r>
    </w:p>
    <w:p w14:paraId="1D9CBB24"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2. Restructuring and Simplification of Categories</w:t>
      </w:r>
    </w:p>
    <w:p w14:paraId="20C407B5"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PRINTO reduces the number of distinct JIA categories to eliminate heterogeneous catch-all groups:</w:t>
      </w:r>
    </w:p>
    <w:p w14:paraId="1B686400"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Elimination of Oligoarticular vs. Polyarticular Split: PRINTO discards the 6-month joint-count threshold (1–4 vs. ≥5 joints) that defined the ILAR oligoarticular and polyarticular subtypes, recognizing that joint count alone does not define distinct pathophysiology.</w:t>
      </w:r>
    </w:p>
    <w:p w14:paraId="0ED12527"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Introduction of Early-Onset ANA-Positive JIA: PRINTO introduces this as a dedicated, standalone category (onset age ≤6 years, asymmetric arthritis, and two positive ANA titers ≥1/160). In the ILAR system, these identical patients were fragmented across oligoarticular, RF-negative polyarticular, or psoriatic categories.</w:t>
      </w:r>
    </w:p>
    <w:p w14:paraId="088AF1C8"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Consolidation of Systemic JIA: PRINTO refines systemic JIA to better capture Macrophage Activation Syndrome (MAS) tendencies and response to IL-1/IL-6 inhibition.</w:t>
      </w:r>
    </w:p>
    <w:p w14:paraId="556A4A5D"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3. Inclusion of Modern Biomarkers</w:t>
      </w:r>
    </w:p>
    <w:p w14:paraId="69B3C147"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ILAR System: Relied exclusively on Rheumatoid Factor (RF) testing and HLA-B27 status for specific subsets.</w:t>
      </w:r>
    </w:p>
    <w:p w14:paraId="300AA56C"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PRINTO System: Formally integrates Anti-Cyclic Citrullinated Peptide (anti-CCP) antibodies alongside RF to classify Rheumatoid Factor–Positive JIA, aligning the pediatric definition with adult rheumatoid arthritis criteria.</w:t>
      </w:r>
    </w:p>
    <w:p w14:paraId="2378F7E7"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4. Elimination of Strict Exclusion Rules</w:t>
      </w:r>
    </w:p>
    <w:p w14:paraId="72CB2052"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ILAR System: Imposed rigid "exclusionary criteria" where the presence of a single clinical feature (like a family history of psoriasis or HLA-B27 positivity) could disqualify a patient from their primary clinical presentation and place them into an "Other Arthritis" (undifferentiated) category.</w:t>
      </w:r>
    </w:p>
    <w:p w14:paraId="75A3EDF6"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PRINTO System: Removes these artificial exclusions, permitting classification based on the predominant biological and clinical features, which significantly reduces the proportion of unclassifiable patients.</w:t>
      </w:r>
    </w:p>
    <w:p w14:paraId="2CECE018" w14:textId="77777777" w:rsidR="00EB6F05" w:rsidRPr="00716BBA" w:rsidRDefault="00000000" w:rsidP="00716BBA">
      <w:pPr>
        <w:spacing w:before="160" w:after="60"/>
        <w:rPr>
          <w:rFonts w:ascii="Times New Roman" w:hAnsi="Times New Roman" w:cs="Times New Roman"/>
          <w:color w:val="EE0000"/>
          <w:sz w:val="20"/>
          <w:szCs w:val="20"/>
        </w:rPr>
      </w:pPr>
      <w:r w:rsidRPr="00716BBA">
        <w:rPr>
          <w:rFonts w:ascii="Times New Roman" w:hAnsi="Times New Roman" w:cs="Times New Roman"/>
          <w:b/>
          <w:color w:val="EE0000"/>
          <w:sz w:val="20"/>
          <w:szCs w:val="20"/>
        </w:rPr>
        <w:t>MODEL Y</w:t>
      </w:r>
    </w:p>
    <w:p w14:paraId="165DB796"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PRINTO vs ILAR Classification — Major Differences</w:t>
      </w:r>
    </w:p>
    <w:p w14:paraId="2458B82E"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lastRenderedPageBreak/>
        <w:t>Foundational Approach: * ILAR (1997, revised 2001): Based primarily on expert consensus and clinical observation.</w:t>
      </w:r>
    </w:p>
    <w:p w14:paraId="7A9E8982"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PRINTO (2019): Developed using large international datasets, statistical validation, and evidence-based methodology, representing a fundamentally more rigorous framework.</w:t>
      </w:r>
    </w:p>
    <w:p w14:paraId="2F0E4766"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Categorical Restructuring: * PRINTO proposes a restructured system where the most significant change is the introduction of Early-Onset ANA-Positive JIA as a distinct category, consolidating patients previously scattered across oligoarticular, RF-negative polyarticular, and psoriatic categories based on shared biological and clinical features.</w:t>
      </w:r>
    </w:p>
    <w:p w14:paraId="51D5E19B"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Systemic JIA is reconceptualized in PRINTO as a distinct autoinflammatory disease rather than a subtype of JIA proper, reflecting its fundamentally different pathogenesis (IL-1 and IL-6 driven innate immune dysregulation rather than adaptive immune-mediated arthritis).</w:t>
      </w:r>
    </w:p>
    <w:p w14:paraId="153CD113"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Oligoarticular Category: ILAR retains oligoarticular JIA as a distinct category. In the PRINTO system, early-onset ANA-positive patients who would previously have been classified as oligoarticular are reclassified, substantially redefining what remains in this category.</w:t>
      </w:r>
    </w:p>
    <w:p w14:paraId="592D909B"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Undifferentiated Arthritis: ILAR has a formal undifferentiated category for patients meeting no criteria or criteria for more than one category. PRINTO aims to reduce this category through better-defined boundaries and biologically coherent groupings.</w:t>
      </w:r>
    </w:p>
    <w:p w14:paraId="441167D2"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Exclusion Criteria: ILAR relies heavily on exclusion criteria, which created significant overlap and classification ambiguity. PRINTO shifts toward positive inclusion criteria based on validated clinical and laboratory features, reducing ambiguity.</w:t>
      </w:r>
    </w:p>
    <w:p w14:paraId="6AC8B123"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Anti-CCP: PRINTO formally incorporates anti-CCP positivity alongside RF for RF-positive polyarticular disease, reflecting its established clinical and prognostic relevance.</w:t>
      </w:r>
    </w:p>
    <w:p w14:paraId="3040815B"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Practical Implication: The PRINTO system is not yet universally adopted in clinical practice and regulatory contexts still reference ILAR, but PRINTO is increasingly used in research and is expected to replace ILAR as the standard framework.</w:t>
      </w:r>
    </w:p>
    <w:p w14:paraId="35AF3A47" w14:textId="77777777" w:rsidR="00EB6F05" w:rsidRPr="00716BBA" w:rsidRDefault="00000000" w:rsidP="00716BBA">
      <w:pPr>
        <w:spacing w:before="160" w:after="60"/>
        <w:rPr>
          <w:rFonts w:ascii="Times New Roman" w:hAnsi="Times New Roman" w:cs="Times New Roman"/>
          <w:color w:val="EE0000"/>
          <w:sz w:val="20"/>
          <w:szCs w:val="20"/>
        </w:rPr>
      </w:pPr>
      <w:r w:rsidRPr="00716BBA">
        <w:rPr>
          <w:rFonts w:ascii="Times New Roman" w:hAnsi="Times New Roman" w:cs="Times New Roman"/>
          <w:b/>
          <w:color w:val="EE0000"/>
          <w:sz w:val="20"/>
          <w:szCs w:val="20"/>
        </w:rPr>
        <w:t>MODEL Z</w:t>
      </w:r>
    </w:p>
    <w:p w14:paraId="1E5B94CE"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Major differences between PRINTO and ILAR JIA classification</w:t>
      </w:r>
    </w:p>
    <w:p w14:paraId="3A68629A"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The ILAR system classifies JIA into mainly clinical subtypes: systemic JIA, oligoarthritis, RF-negative polyarthritis, RF-positive polyarthritis, psoriatic arthritis, enthesitis-related arthritis, and undifferentiated arthritis. It relies heavily on joint count during the first 6 months, psoriasis/enthesitis features, RF status, and multiple exclusion rules.</w:t>
      </w:r>
    </w:p>
    <w:p w14:paraId="519B7786"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The PRINTO system was designed to create more biologically and clinically homogeneous groups. Its main categories are systemic JIA, RF-positive JIA, early-onset ANA-positive JIA, enthesitis/spondylitis-related JIA, other JIA, and unclassified JIA.</w:t>
      </w:r>
    </w:p>
    <w:p w14:paraId="544537C1"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The most important change is the introduction of early-onset ANA-positive JIA. This group includes children with arthritis onset at ≤6 years and repeated ANA positivity, regardless of whether they initially have oligoarticular or polyarticular disease. This category captures a clinically recognizable phenotype with high chronic anterior uveitis risk, which ILAR divides across oligoarthritis, RF-negative polyarthritis, psoriatic arthritis, and undifferentiated arthritis.</w:t>
      </w:r>
    </w:p>
    <w:p w14:paraId="7E78CC6A"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PRINTO gives less central importance to the oligoarticular versus polyarticular distinction. In ILAR, joint count is a defining feature; in PRINTO, many oligoarticular and RF-negative polyarticular patients are reclassified according to ANA-positive early-onset disease or placed in “other JIA.”</w:t>
      </w:r>
    </w:p>
    <w:p w14:paraId="7B46EE86"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Psoriatic JIA is no longer a separate major PRINTO category. Patients with psoriasis-related features are classified according to the dominant phenotype, such as early-onset ANA-positive JIA, enthesitis/spondylitis-related JIA, or other JIA.</w:t>
      </w:r>
    </w:p>
    <w:p w14:paraId="6B3979CC"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Enthesitis-related arthritis is reframed as enthesitis/spondylitis-related JIA, aligning more closely with the juvenile spondyloarthritis spectrum and giving more explicit weight to axial disease, inflammatory back pain, sacroiliitis, HLA-B27, acute anterior uveitis, and family history.</w:t>
      </w:r>
    </w:p>
    <w:p w14:paraId="17026F56"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For systemic JIA, PRINTO aligns the disease more closely with Still’s disease biology. Arthritis is not as central as in older JIA definitions; quotidian fever with typical systemic features can define the category.</w:t>
      </w:r>
    </w:p>
    <w:p w14:paraId="53760331" w14:textId="77777777" w:rsidR="00EB6F05"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 xml:space="preserve">Overall, ILAR is a clinical-exclusion-based system, while PRINTO is a phenotype-driven system aiming for more homogeneous disease groups. The practical consequence is that PRINTO reduces some artificial overlap and reclassifies </w:t>
      </w:r>
      <w:r w:rsidRPr="00716BBA">
        <w:rPr>
          <w:rFonts w:ascii="Times New Roman" w:hAnsi="Times New Roman" w:cs="Times New Roman"/>
          <w:sz w:val="20"/>
          <w:szCs w:val="20"/>
        </w:rPr>
        <w:lastRenderedPageBreak/>
        <w:t>many ILAR oligoarticular, RF-negative polyarticular, psoriatic, and undifferentiated patients into more biologically meaningful categories.</w:t>
      </w:r>
    </w:p>
    <w:p w14:paraId="566BD0C4" w14:textId="655B8B43" w:rsidR="00644855" w:rsidRPr="00716BBA" w:rsidRDefault="00644855" w:rsidP="00716BBA">
      <w:pPr>
        <w:spacing w:after="60"/>
        <w:ind w:left="216"/>
        <w:rPr>
          <w:rFonts w:ascii="Times New Roman" w:hAnsi="Times New Roman" w:cs="Times New Roman"/>
          <w:sz w:val="20"/>
          <w:szCs w:val="20"/>
        </w:rPr>
      </w:pPr>
    </w:p>
    <w:p w14:paraId="71655D8B" w14:textId="041103CA" w:rsidR="00EB6F05" w:rsidRPr="00644855" w:rsidRDefault="00644855" w:rsidP="00644855">
      <w:pPr>
        <w:rPr>
          <w:rFonts w:ascii="Times New Roman" w:hAnsi="Times New Roman" w:cs="Times New Roman"/>
          <w:b/>
          <w:bCs/>
        </w:rPr>
      </w:pPr>
      <w:r w:rsidRPr="00644855">
        <w:rPr>
          <w:rFonts w:ascii="Times New Roman" w:hAnsi="Times New Roman" w:cs="Times New Roman"/>
          <w:b/>
          <w:bCs/>
        </w:rPr>
        <w:t xml:space="preserve">Category B: Treatment and Follow-up </w:t>
      </w:r>
    </w:p>
    <w:p w14:paraId="58C2892B" w14:textId="77777777" w:rsidR="00EB6F05" w:rsidRPr="00716BBA" w:rsidRDefault="00000000" w:rsidP="00716BBA">
      <w:pPr>
        <w:spacing w:before="200" w:after="120"/>
        <w:rPr>
          <w:rFonts w:ascii="Times New Roman" w:hAnsi="Times New Roman" w:cs="Times New Roman"/>
          <w:color w:val="EE0000"/>
          <w:sz w:val="20"/>
          <w:szCs w:val="20"/>
        </w:rPr>
      </w:pPr>
      <w:r w:rsidRPr="00716BBA">
        <w:rPr>
          <w:rFonts w:ascii="Times New Roman" w:hAnsi="Times New Roman" w:cs="Times New Roman"/>
          <w:b/>
          <w:color w:val="EE0000"/>
          <w:sz w:val="20"/>
          <w:szCs w:val="20"/>
        </w:rPr>
        <w:t>Q7. What is the recommended next-line therapeutic approach for a patient with oligoarthritis who has an inadequate response to initial NSAIDs and intra-articular glucocorticoid injections?</w:t>
      </w:r>
    </w:p>
    <w:p w14:paraId="3A151136" w14:textId="77777777" w:rsidR="00EB6F05" w:rsidRPr="00716BBA" w:rsidRDefault="00000000" w:rsidP="00716BBA">
      <w:pPr>
        <w:spacing w:before="160" w:after="60"/>
        <w:rPr>
          <w:rFonts w:ascii="Times New Roman" w:hAnsi="Times New Roman" w:cs="Times New Roman"/>
          <w:color w:val="EE0000"/>
          <w:sz w:val="20"/>
          <w:szCs w:val="20"/>
        </w:rPr>
      </w:pPr>
      <w:r w:rsidRPr="00716BBA">
        <w:rPr>
          <w:rFonts w:ascii="Times New Roman" w:hAnsi="Times New Roman" w:cs="Times New Roman"/>
          <w:b/>
          <w:color w:val="EE0000"/>
          <w:sz w:val="20"/>
          <w:szCs w:val="20"/>
        </w:rPr>
        <w:t>MODEL X</w:t>
      </w:r>
    </w:p>
    <w:p w14:paraId="55420F3F"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According to current international pediatric rheumatology guidelines, the recommended next-line therapeutic approach is the initiation of a conventional synthetic disease-modifying antirheumatic drug (csDMARD), with methotrexate being the preferred first-choice agent.</w:t>
      </w:r>
    </w:p>
    <w:p w14:paraId="624FBA6D" w14:textId="77777777" w:rsidR="00EB6F05" w:rsidRPr="00716BBA" w:rsidRDefault="00000000" w:rsidP="00716BBA">
      <w:pPr>
        <w:spacing w:before="160" w:after="60"/>
        <w:rPr>
          <w:rFonts w:ascii="Times New Roman" w:hAnsi="Times New Roman" w:cs="Times New Roman"/>
          <w:color w:val="EE0000"/>
          <w:sz w:val="20"/>
          <w:szCs w:val="20"/>
        </w:rPr>
      </w:pPr>
      <w:r w:rsidRPr="00716BBA">
        <w:rPr>
          <w:rFonts w:ascii="Times New Roman" w:hAnsi="Times New Roman" w:cs="Times New Roman"/>
          <w:b/>
          <w:color w:val="EE0000"/>
          <w:sz w:val="20"/>
          <w:szCs w:val="20"/>
        </w:rPr>
        <w:t>MODEL Y</w:t>
      </w:r>
    </w:p>
    <w:p w14:paraId="27AFDFEF"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In oligoarticular JIA with inadequate response to NSAIDs and intra-articular corticosteroid injections (including repeat injections where appropriate), the recommended next step is methotrexate (MTX) as the first conventional synthetic DMARD.</w:t>
      </w:r>
    </w:p>
    <w:p w14:paraId="212EA2BA"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First-Line Conventional DMARD Therapy:</w:t>
      </w:r>
    </w:p>
    <w:p w14:paraId="15257750"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Preferred Medication: Methotrexate (MTX).</w:t>
      </w:r>
    </w:p>
    <w:p w14:paraId="595F0550"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Route of Administration: Subcutaneous is preferred over oral due to better bioavailability and tolerability.</w:t>
      </w:r>
    </w:p>
    <w:p w14:paraId="2D5BB251"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Dosing Guidelines: Calculated at a dose of 10–15 mg/m²/week, with a maximum limit of 20–25 mg/week. Folic acid supplementation must be given concurrently.</w:t>
      </w:r>
    </w:p>
    <w:p w14:paraId="31D4A89D"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Alternative Option: If MTX is contraindicated or not tolerated, leflunomide is an acceptable alternative conventional synthetic DMARD.</w:t>
      </w:r>
    </w:p>
    <w:p w14:paraId="46556B0C"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Biologic Escalation Criteria:</w:t>
      </w:r>
    </w:p>
    <w:p w14:paraId="55F8874C"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Indication for Escalation: Persistent or extended oligoarthritis that fails to achieve adequate response with MTX.</w:t>
      </w:r>
    </w:p>
    <w:p w14:paraId="3A6B4394"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Preferred Biologic Agents: Escalation to a TNF inhibitor is required. Etanercept or adalimumab are the most firmly established agents in this pediatric age group, per ACR 2019 and PRES/PReS guidelines.</w:t>
      </w:r>
    </w:p>
    <w:p w14:paraId="400C5DDB"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Clinical Triggers: The key clinical triggers for biologic escalation are active joint disease causing functional limitation, ongoing synovitis, or risk of permanent joint damage/leg length discrepancy, rather than waiting for structural damage to appear on imaging.</w:t>
      </w:r>
    </w:p>
    <w:p w14:paraId="35797346" w14:textId="77777777" w:rsidR="00EB6F05" w:rsidRPr="00716BBA" w:rsidRDefault="00000000" w:rsidP="00716BBA">
      <w:pPr>
        <w:spacing w:before="160" w:after="60"/>
        <w:rPr>
          <w:rFonts w:ascii="Times New Roman" w:hAnsi="Times New Roman" w:cs="Times New Roman"/>
          <w:color w:val="EE0000"/>
          <w:sz w:val="20"/>
          <w:szCs w:val="20"/>
        </w:rPr>
      </w:pPr>
      <w:r w:rsidRPr="00716BBA">
        <w:rPr>
          <w:rFonts w:ascii="Times New Roman" w:hAnsi="Times New Roman" w:cs="Times New Roman"/>
          <w:b/>
          <w:color w:val="EE0000"/>
          <w:sz w:val="20"/>
          <w:szCs w:val="20"/>
        </w:rPr>
        <w:t>MODEL Z</w:t>
      </w:r>
    </w:p>
    <w:p w14:paraId="0F4820AB"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Recommended next-line approach in oligoarticular JIA</w:t>
      </w:r>
    </w:p>
    <w:p w14:paraId="5D1A0A99"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For oligoarthritis with inadequate response to initial NSAIDs and intra-articular glucocorticoid injections, the recommended next step is to start a conventional synthetic DMARD, with methotrexate as the preferred option.</w:t>
      </w:r>
    </w:p>
    <w:p w14:paraId="4B157E8D"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Methotrexate is preferred over other csDMARDs such as leflunomide or sulfasalazine because it has the strongest pediatric experience and guideline support in JIA.</w:t>
      </w:r>
    </w:p>
    <w:p w14:paraId="12A4C170"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The approach should also include reassessment for poor-prognosis features, such as ankle/wrist/hip/TMJ involvement, erosive disease, high inflammatory markers, or progression toward extended oligoarthritis. If active disease persists despite an adequate methotrexate trial, or if methotrexate is not tolerated, escalation to a biologic DMARD is appropriate, most commonly a TNF inhibitor.</w:t>
      </w:r>
    </w:p>
    <w:p w14:paraId="559DB3D6"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The key answer is: start methotrexate as the next-line systemic therapy; reserve biologic therapy for inadequate response or intolerance to methotrexate, or for more aggressive disease requiring earlier escalation.</w:t>
      </w:r>
    </w:p>
    <w:p w14:paraId="1E0903E4" w14:textId="77777777" w:rsidR="00EB6F05" w:rsidRPr="00716BBA" w:rsidRDefault="00EB6F05" w:rsidP="00716BBA">
      <w:pPr>
        <w:spacing w:after="60"/>
        <w:rPr>
          <w:rFonts w:ascii="Times New Roman" w:hAnsi="Times New Roman" w:cs="Times New Roman"/>
          <w:sz w:val="20"/>
          <w:szCs w:val="20"/>
        </w:rPr>
      </w:pPr>
    </w:p>
    <w:p w14:paraId="5AE711ED" w14:textId="77777777" w:rsidR="00EB6F05" w:rsidRPr="00716BBA" w:rsidRDefault="00000000" w:rsidP="00716BBA">
      <w:pPr>
        <w:spacing w:before="200" w:after="120"/>
        <w:rPr>
          <w:rFonts w:ascii="Times New Roman" w:hAnsi="Times New Roman" w:cs="Times New Roman"/>
          <w:color w:val="EE0000"/>
          <w:sz w:val="20"/>
          <w:szCs w:val="20"/>
        </w:rPr>
      </w:pPr>
      <w:r w:rsidRPr="00716BBA">
        <w:rPr>
          <w:rFonts w:ascii="Times New Roman" w:hAnsi="Times New Roman" w:cs="Times New Roman"/>
          <w:b/>
          <w:color w:val="EE0000"/>
          <w:sz w:val="20"/>
          <w:szCs w:val="20"/>
        </w:rPr>
        <w:t>Q8. What is the preferred first-line systemic treatment option for a patient newly diagnosed with active Systemic JIA without Macrophage Activation Syndrome ?</w:t>
      </w:r>
    </w:p>
    <w:p w14:paraId="6DA7919A" w14:textId="77777777" w:rsidR="00EB6F05" w:rsidRPr="00716BBA" w:rsidRDefault="00000000" w:rsidP="00716BBA">
      <w:pPr>
        <w:spacing w:before="160" w:after="60"/>
        <w:rPr>
          <w:rFonts w:ascii="Times New Roman" w:hAnsi="Times New Roman" w:cs="Times New Roman"/>
          <w:color w:val="EE0000"/>
          <w:sz w:val="20"/>
          <w:szCs w:val="20"/>
        </w:rPr>
      </w:pPr>
      <w:r w:rsidRPr="00716BBA">
        <w:rPr>
          <w:rFonts w:ascii="Times New Roman" w:hAnsi="Times New Roman" w:cs="Times New Roman"/>
          <w:b/>
          <w:color w:val="EE0000"/>
          <w:sz w:val="20"/>
          <w:szCs w:val="20"/>
        </w:rPr>
        <w:lastRenderedPageBreak/>
        <w:t>MODEL X</w:t>
      </w:r>
    </w:p>
    <w:p w14:paraId="5089BF59"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According to current international pediatric rheumatology guidelines, the preferred first-line systemic treatment option for active systemic juvenile idiopathic arthritis (sJIA) without macrophage activation syndrome (MAS) is biologic therapy using either an IL-1 inhibitor (anakinra or canakinumab) or an IL-6 inhibitor (tocilizumab), initiated with or without systemic glucocorticoids.</w:t>
      </w:r>
    </w:p>
    <w:p w14:paraId="4F7EA3A8" w14:textId="77777777" w:rsidR="00EB6F05" w:rsidRPr="00716BBA" w:rsidRDefault="00000000" w:rsidP="00716BBA">
      <w:pPr>
        <w:spacing w:before="160" w:after="60"/>
        <w:rPr>
          <w:rFonts w:ascii="Times New Roman" w:hAnsi="Times New Roman" w:cs="Times New Roman"/>
          <w:color w:val="EE0000"/>
          <w:sz w:val="20"/>
          <w:szCs w:val="20"/>
        </w:rPr>
      </w:pPr>
      <w:r w:rsidRPr="00716BBA">
        <w:rPr>
          <w:rFonts w:ascii="Times New Roman" w:hAnsi="Times New Roman" w:cs="Times New Roman"/>
          <w:b/>
          <w:color w:val="EE0000"/>
          <w:sz w:val="20"/>
          <w:szCs w:val="20"/>
        </w:rPr>
        <w:t>MODEL Y</w:t>
      </w:r>
    </w:p>
    <w:p w14:paraId="48593434"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For newly diagnosed active systemic JIA (sJIA) without MAS, current evidence and international guidelines (ACR 2021, PRES) have shifted away from the traditional step-up approach.</w:t>
      </w:r>
    </w:p>
    <w:p w14:paraId="2134965E"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First-Line Systemic Treatment Strategy:</w:t>
      </w:r>
    </w:p>
    <w:p w14:paraId="79796811"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Preferred Biologic Class: IL-1 inhibitors, specifically anakinra or canakinumab.</w:t>
      </w:r>
    </w:p>
    <w:p w14:paraId="419A3ECD"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Timing: Used early in the disease course rather than after NSAID or corticosteroid failure.</w:t>
      </w:r>
    </w:p>
    <w:p w14:paraId="5568043B"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Clinical Rationale: Represents a treat-to-target, biologics-first strategy. Early IL-1 blockade achieves clinical remission, prevents corticosteroid dependency, reduces MAS risk, and may prevent the development of chronic articular disease.</w:t>
      </w:r>
    </w:p>
    <w:p w14:paraId="12772966"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Alternative Biologic Options:</w:t>
      </w:r>
    </w:p>
    <w:p w14:paraId="007BD8FE"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IL-6 Inhibition: Tocilizumab is an equally recommended alternative. It is preferred particularly in patients with prominent articular involvement or when IL-1 inhibitors are unavailable.</w:t>
      </w:r>
    </w:p>
    <w:p w14:paraId="2A403ED3"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Role of Conventional Therapies:</w:t>
      </w:r>
    </w:p>
    <w:p w14:paraId="7DB6E11E"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Systemic Corticosteroids: Now strictly reserved for bridging therapy or severe systemic features (such as high spiking fevers, serositis, significant functional impairment). They should not be used as primary long-term treatment given their adverse effect profile in this population.</w:t>
      </w:r>
    </w:p>
    <w:p w14:paraId="6BE737A4"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NSAIDs: Useful only for symptomatic relief of fever and pain. They are not considered disease-modifying agents in sJIA.</w:t>
      </w:r>
    </w:p>
    <w:p w14:paraId="204E7ADA"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Critical Clinical Point: Early cytokine-directed therapy, initiated before chronic corticosteroid exposure occurs, is associated with significantly better long-term outcomes, including lower rates of growth failure, osteoporosis, and MAS-related mortality.</w:t>
      </w:r>
    </w:p>
    <w:p w14:paraId="7DCBC2CD" w14:textId="77777777" w:rsidR="00EB6F05" w:rsidRPr="00716BBA" w:rsidRDefault="00000000" w:rsidP="00716BBA">
      <w:pPr>
        <w:spacing w:before="160" w:after="60"/>
        <w:rPr>
          <w:rFonts w:ascii="Times New Roman" w:hAnsi="Times New Roman" w:cs="Times New Roman"/>
          <w:color w:val="EE0000"/>
          <w:sz w:val="20"/>
          <w:szCs w:val="20"/>
        </w:rPr>
      </w:pPr>
      <w:r w:rsidRPr="00716BBA">
        <w:rPr>
          <w:rFonts w:ascii="Times New Roman" w:hAnsi="Times New Roman" w:cs="Times New Roman"/>
          <w:b/>
          <w:color w:val="EE0000"/>
          <w:sz w:val="20"/>
          <w:szCs w:val="20"/>
        </w:rPr>
        <w:t>MODEL Z</w:t>
      </w:r>
    </w:p>
    <w:p w14:paraId="0CFD28DD"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Preferred first-line systemic treatment in active systemic JIA without MAS</w:t>
      </w:r>
    </w:p>
    <w:p w14:paraId="67155976"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For newly diagnosed active systemic JIA without macrophage activation syndrome, the preferred first-line systemic treatment is a biologic DMARD targeting IL-1 or IL-6.</w:t>
      </w:r>
    </w:p>
    <w:p w14:paraId="3915E008"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Recommended options include:</w:t>
      </w:r>
    </w:p>
    <w:p w14:paraId="1740566B"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IL-1 inhibition: anakinra or canakinumab</w:t>
      </w:r>
    </w:p>
    <w:p w14:paraId="1A40139A"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IL-6 inhibition: tocilizumab</w:t>
      </w:r>
    </w:p>
    <w:p w14:paraId="273CAE6C"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There is no single preferred agent between IL-1 and IL-6 inhibitors; the choice depends on disease phenotype, severity, route/frequency preference, safety profile, access, and clinician experience.</w:t>
      </w:r>
    </w:p>
    <w:p w14:paraId="5DFC36E8"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NSAID monotherapy, conventional DMARD monotherapy such as methotrexate, and oral glucocorticoid monotherapy are not preferred as initial systemic treatment. Glucocorticoids may be used briefly as bridging therapy when clinically necessary, but the goal is early cytokine-targeted treatment and rapid steroid minimization. The 2026 ACR JIA guideline summary strongly recommends IL-1 or IL-6 inhibitor biologic therapy as first-line treatment in newly diagnosed sJIA without MAS, with no preferred agent.</w:t>
      </w:r>
    </w:p>
    <w:p w14:paraId="2FD33BAC" w14:textId="77777777" w:rsidR="00EB6F05" w:rsidRPr="00716BBA" w:rsidRDefault="00EB6F05" w:rsidP="00716BBA">
      <w:pPr>
        <w:spacing w:after="60"/>
        <w:rPr>
          <w:rFonts w:ascii="Times New Roman" w:hAnsi="Times New Roman" w:cs="Times New Roman"/>
          <w:sz w:val="20"/>
          <w:szCs w:val="20"/>
        </w:rPr>
      </w:pPr>
    </w:p>
    <w:p w14:paraId="55A503B5" w14:textId="77777777" w:rsidR="00EB6F05" w:rsidRPr="00716BBA" w:rsidRDefault="00000000" w:rsidP="00716BBA">
      <w:pPr>
        <w:spacing w:before="200" w:after="120"/>
        <w:rPr>
          <w:rFonts w:ascii="Times New Roman" w:hAnsi="Times New Roman" w:cs="Times New Roman"/>
          <w:color w:val="EE0000"/>
          <w:sz w:val="20"/>
          <w:szCs w:val="20"/>
        </w:rPr>
      </w:pPr>
      <w:r w:rsidRPr="00716BBA">
        <w:rPr>
          <w:rFonts w:ascii="Times New Roman" w:hAnsi="Times New Roman" w:cs="Times New Roman"/>
          <w:b/>
          <w:color w:val="EE0000"/>
          <w:sz w:val="20"/>
          <w:szCs w:val="20"/>
        </w:rPr>
        <w:t>Q9. Which specific biologic mechanisms or interleukin inhibitors are preferred as first-line therapy when Systemic JIA is complicated by Macrophage Activation Syndrome ?</w:t>
      </w:r>
      <w:r w:rsidRPr="00716BBA">
        <w:rPr>
          <w:rFonts w:ascii="Times New Roman" w:hAnsi="Times New Roman" w:cs="Times New Roman"/>
          <w:b/>
          <w:color w:val="EE0000"/>
          <w:sz w:val="20"/>
          <w:szCs w:val="20"/>
        </w:rPr>
        <w:br/>
        <w:t>When systemic juvenile idiopathic arthritis (sJIA) is complicated by Macrophage Activation Syndrome (MAS), IL-1 inhibitors (specifically anakinra) are preferred over IL-6 inhibitors as first-line biologic therapy, typically introduced alongside high-dose systemic glucocorticoids.</w:t>
      </w:r>
    </w:p>
    <w:p w14:paraId="368C28DF" w14:textId="77777777" w:rsidR="00EB6F05" w:rsidRPr="00716BBA" w:rsidRDefault="00000000" w:rsidP="00716BBA">
      <w:pPr>
        <w:spacing w:before="160" w:after="60"/>
        <w:rPr>
          <w:rFonts w:ascii="Times New Roman" w:hAnsi="Times New Roman" w:cs="Times New Roman"/>
          <w:color w:val="EE0000"/>
          <w:sz w:val="20"/>
          <w:szCs w:val="20"/>
        </w:rPr>
      </w:pPr>
      <w:r w:rsidRPr="00716BBA">
        <w:rPr>
          <w:rFonts w:ascii="Times New Roman" w:hAnsi="Times New Roman" w:cs="Times New Roman"/>
          <w:b/>
          <w:color w:val="EE0000"/>
          <w:sz w:val="20"/>
          <w:szCs w:val="20"/>
        </w:rPr>
        <w:t>MODEL X</w:t>
      </w:r>
    </w:p>
    <w:p w14:paraId="3A08BEFD"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lastRenderedPageBreak/>
        <w:t>While both IL-1 and IL-6 contribute to the cytokine storm, blocking the IL-1 pathway is favored due to its swift efficacy in controlling hyperinflammation and the short half-life of anakinra, which allows for rapid dose titrations and swift discontinuation if adverse events occur.</w:t>
      </w:r>
    </w:p>
    <w:p w14:paraId="7C93D0CA" w14:textId="77777777" w:rsidR="00EB6F05" w:rsidRPr="00716BBA" w:rsidRDefault="00000000" w:rsidP="00716BBA">
      <w:pPr>
        <w:spacing w:before="160" w:after="60"/>
        <w:rPr>
          <w:rFonts w:ascii="Times New Roman" w:hAnsi="Times New Roman" w:cs="Times New Roman"/>
          <w:color w:val="EE0000"/>
          <w:sz w:val="20"/>
          <w:szCs w:val="20"/>
        </w:rPr>
      </w:pPr>
      <w:r w:rsidRPr="00716BBA">
        <w:rPr>
          <w:rFonts w:ascii="Times New Roman" w:hAnsi="Times New Roman" w:cs="Times New Roman"/>
          <w:b/>
          <w:color w:val="EE0000"/>
          <w:sz w:val="20"/>
          <w:szCs w:val="20"/>
        </w:rPr>
        <w:t>MODEL Y</w:t>
      </w:r>
    </w:p>
    <w:p w14:paraId="4DBDD044"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In sJIA complicated by MAS, the therapeutic approach targets the underlying hyperinflammatory cytokine storm, and the preferred agents differ importantly from uncomplicated sJIA.</w:t>
      </w:r>
    </w:p>
    <w:p w14:paraId="05EB965A"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Immediate Cornerstone Management:</w:t>
      </w:r>
    </w:p>
    <w:p w14:paraId="39F39F69"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Corticosteroids: High-dose systemic corticosteroids remain the immediate cornerstone of acute MAS management and should be initiated without delay. This is typically achieved via IV methylprednisolone pulse therapy.</w:t>
      </w:r>
    </w:p>
    <w:p w14:paraId="52375922"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Biologic Intervention Hiearchy:</w:t>
      </w:r>
    </w:p>
    <w:p w14:paraId="30634CF6"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Anakinra (IL-1 Inhibitor): The preferred biologic agent in MAS-complicated sJIA. It holds the most robust evidence in this context.</w:t>
      </w:r>
    </w:p>
    <w:p w14:paraId="6C8C4A83"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Dosing in Refractory Cases: Rapid dose escalation is utilized in refractory presentations. Doses significantly higher than standard JIA dosing (up to 2–10 mg/kg/day IV or SC) are used in severe or refractory MAS. Its short half-life and daily dosing allow rapid titration, providing a critical practical advantage in an unstable hyperinflammatory state.</w:t>
      </w:r>
    </w:p>
    <w:p w14:paraId="5D1378ED"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Emapalumab (Anti-IFN-γ Monoclonal Antibody): Specifically approved for refractory primary HLH and has emerging evidence in refractory MAS/sJIA. IFN-γ is a central pathogenic driver in both HLH and MAS, making this a mechanistically rational target. It is strictly reserved for corticosteroid and anakinra-refractory cases.</w:t>
      </w:r>
    </w:p>
    <w:p w14:paraId="4F13072B"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Agents to Avoid or Use with Caution:</w:t>
      </w:r>
    </w:p>
    <w:p w14:paraId="2806EC1E"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Tocilizumab (IL-6 Inhibitor): Generally avoided or used with caution in active MAS. This is because IL-6 blockade can mask fever and CRP elevation, critically impairing the clinician's ability to monitor disease activity and treatment response.</w:t>
      </w:r>
    </w:p>
    <w:p w14:paraId="2C9CF92A"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Alternative Immunosuppression:</w:t>
      </w:r>
    </w:p>
    <w:p w14:paraId="1D0F97ED"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Cyclosporine A: Retains a specific role particularly in MAS cases presenting with CNS involvement or corticosteroid-refractory disease, often used in combination with anakinra.</w:t>
      </w:r>
    </w:p>
    <w:p w14:paraId="7A442680"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Key Mechanistic Principle: MAS in sJIA is driven predominantly by IFN-γ and IL-18 dysregulation rather than IL-1 alone. This pathobiological underpinning explains the therapeutic hierarchy from corticosteroids to anakinra and ultimately to emapalumab in escalating refractory disease.</w:t>
      </w:r>
    </w:p>
    <w:p w14:paraId="238600AD" w14:textId="77777777" w:rsidR="00EB6F05" w:rsidRPr="00716BBA" w:rsidRDefault="00000000" w:rsidP="00716BBA">
      <w:pPr>
        <w:spacing w:before="160" w:after="60"/>
        <w:rPr>
          <w:rFonts w:ascii="Times New Roman" w:hAnsi="Times New Roman" w:cs="Times New Roman"/>
          <w:color w:val="EE0000"/>
          <w:sz w:val="20"/>
          <w:szCs w:val="20"/>
        </w:rPr>
      </w:pPr>
      <w:r w:rsidRPr="00716BBA">
        <w:rPr>
          <w:rFonts w:ascii="Times New Roman" w:hAnsi="Times New Roman" w:cs="Times New Roman"/>
          <w:b/>
          <w:color w:val="EE0000"/>
          <w:sz w:val="20"/>
          <w:szCs w:val="20"/>
        </w:rPr>
        <w:t>MODEL Z</w:t>
      </w:r>
    </w:p>
    <w:p w14:paraId="66D4B035"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Preferred biologic approach in systemic JIA complicated by MAS</w:t>
      </w:r>
    </w:p>
    <w:p w14:paraId="0878C669"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In systemic JIA with overt macrophage activation syndrome, first-line biologic treatment should target the dominant cytokine pathways of systemic JIA, especially:</w:t>
      </w:r>
    </w:p>
    <w:p w14:paraId="1C6065DD"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1. IL-1 inhibition — usually preferred in acute MAS</w:t>
      </w:r>
    </w:p>
    <w:p w14:paraId="3930A035"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The most commonly preferred biologic mechanism is IL-1 blockade, particularly:</w:t>
      </w:r>
    </w:p>
    <w:p w14:paraId="197EF1B0"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Anakinra — often favored in acute MAS because it has rapid onset, short half-life, and can be dose-escalated.</w:t>
      </w:r>
    </w:p>
    <w:p w14:paraId="360ABE03"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Canakinumab — IL-1β inhibition; appropriate for systemic JIA control, but less flexible in rapidly evolving MAS because of its long half-life.</w:t>
      </w:r>
    </w:p>
    <w:p w14:paraId="55284118"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2. IL-6 inhibition — accepted alternative or adjunctive pathway</w:t>
      </w:r>
    </w:p>
    <w:p w14:paraId="045624EB"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Tocilizumab may be used for systemic JIA with MAS, especially when IL-6–driven systemic inflammation or arthritis is prominent.</w:t>
      </w:r>
    </w:p>
    <w:p w14:paraId="77D2EDC3"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However, IL-6 blockade can suppress fever and CRP, so MAS activity may be harder to monitor clinically and biochemically.</w:t>
      </w:r>
    </w:p>
    <w:p w14:paraId="71F839FD"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Current ACR guidance supports IL-1 or IL-6 inhibitors over calcineurin inhibitor monotherapy for achieving inactive disease and MAS resolution, with glucocorticoids included as part of initial treatment. It does not mandate one specific biologic for all patients.</w:t>
      </w:r>
    </w:p>
    <w:p w14:paraId="5AD58B2E"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lastRenderedPageBreak/>
        <w:t>In practice, the clearest expert answer is: high-dose systemic glucocorticoids plus IL-1 blockade, especially anakinra, is the preferred first-line biologic strategy for acute systemic JIA–associated MAS; IL-6 blockade with tocilizumab is an accepted alternative, but requires caution because it may mask MAS activity.</w:t>
      </w:r>
    </w:p>
    <w:p w14:paraId="4D494FAF" w14:textId="77777777" w:rsidR="00EB6F05" w:rsidRPr="00716BBA" w:rsidRDefault="00EB6F05" w:rsidP="00716BBA">
      <w:pPr>
        <w:spacing w:after="60"/>
        <w:rPr>
          <w:rFonts w:ascii="Times New Roman" w:hAnsi="Times New Roman" w:cs="Times New Roman"/>
          <w:sz w:val="20"/>
          <w:szCs w:val="20"/>
        </w:rPr>
      </w:pPr>
    </w:p>
    <w:p w14:paraId="1082BC9A" w14:textId="77777777" w:rsidR="00EB6F05" w:rsidRPr="00716BBA" w:rsidRDefault="00000000" w:rsidP="00716BBA">
      <w:pPr>
        <w:spacing w:before="200" w:after="120"/>
        <w:rPr>
          <w:rFonts w:ascii="Times New Roman" w:hAnsi="Times New Roman" w:cs="Times New Roman"/>
          <w:color w:val="EE0000"/>
          <w:sz w:val="20"/>
          <w:szCs w:val="20"/>
        </w:rPr>
      </w:pPr>
      <w:r w:rsidRPr="00716BBA">
        <w:rPr>
          <w:rFonts w:ascii="Times New Roman" w:hAnsi="Times New Roman" w:cs="Times New Roman"/>
          <w:b/>
          <w:color w:val="EE0000"/>
          <w:sz w:val="20"/>
          <w:szCs w:val="20"/>
        </w:rPr>
        <w:t>Q10. What is the recommended switching strategy when a JIA patient exhibits an inadequate clinical response to their first TNF inhibitor?</w:t>
      </w:r>
    </w:p>
    <w:p w14:paraId="028A1320" w14:textId="77777777" w:rsidR="00EB6F05" w:rsidRPr="00716BBA" w:rsidRDefault="00000000" w:rsidP="00716BBA">
      <w:pPr>
        <w:spacing w:before="160" w:after="60"/>
        <w:rPr>
          <w:rFonts w:ascii="Times New Roman" w:hAnsi="Times New Roman" w:cs="Times New Roman"/>
          <w:color w:val="EE0000"/>
          <w:sz w:val="20"/>
          <w:szCs w:val="20"/>
        </w:rPr>
      </w:pPr>
      <w:r w:rsidRPr="00716BBA">
        <w:rPr>
          <w:rFonts w:ascii="Times New Roman" w:hAnsi="Times New Roman" w:cs="Times New Roman"/>
          <w:b/>
          <w:color w:val="EE0000"/>
          <w:sz w:val="20"/>
          <w:szCs w:val="20"/>
        </w:rPr>
        <w:t>MODEL X</w:t>
      </w:r>
    </w:p>
    <w:p w14:paraId="060C686D"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According to current guidelines, when a patient exhibits an inadequate clinical response to their first TNF inhibitor, the recommended switching strategy is to transition either to a second TNF inhibitor or to a biologic agent with a different mechanism of action (such as an IL-6 inhibitor or a T-cell costimulation inhibitor).</w:t>
      </w:r>
    </w:p>
    <w:p w14:paraId="250EE11D"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The choice depends primarily on the clinical context: switching to an alternative mechanism of action is generally favored if the primary failure indicates a lack of class efficacy, whereas a second TNF inhibitor is appropriate if the failure is secondary (loss of response over time due to immunogenicity) or due to intolerance.</w:t>
      </w:r>
    </w:p>
    <w:p w14:paraId="46DED2E6" w14:textId="77777777" w:rsidR="00EB6F05" w:rsidRPr="00716BBA" w:rsidRDefault="00000000" w:rsidP="00716BBA">
      <w:pPr>
        <w:spacing w:before="160" w:after="60"/>
        <w:rPr>
          <w:rFonts w:ascii="Times New Roman" w:hAnsi="Times New Roman" w:cs="Times New Roman"/>
          <w:color w:val="EE0000"/>
          <w:sz w:val="20"/>
          <w:szCs w:val="20"/>
        </w:rPr>
      </w:pPr>
      <w:r w:rsidRPr="00716BBA">
        <w:rPr>
          <w:rFonts w:ascii="Times New Roman" w:hAnsi="Times New Roman" w:cs="Times New Roman"/>
          <w:b/>
          <w:color w:val="EE0000"/>
          <w:sz w:val="20"/>
          <w:szCs w:val="20"/>
        </w:rPr>
        <w:t>MODEL Y</w:t>
      </w:r>
    </w:p>
    <w:p w14:paraId="6D4D8AAF"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When a JIA patient has an inadequate response to a first TNF inhibitor, the recommended switching strategy depends on the reason for failure, which dictates the most appropriate next agent.</w:t>
      </w:r>
    </w:p>
    <w:p w14:paraId="52CE4034"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Primary Non-Response Strategy:</w:t>
      </w:r>
    </w:p>
    <w:p w14:paraId="4D81E2A2"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Clinical Presentation: Failure to achieve meaningful clinical improvement from the outset.</w:t>
      </w:r>
    </w:p>
    <w:p w14:paraId="0AE02F3B"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Recommended Action: Favors switching to a biologic with a different mechanism of action rather than cycling to a second TNF inhibitor, as true primary non-response suggests the TNF pathway may not be the dominant driver in that patient.</w:t>
      </w:r>
    </w:p>
    <w:p w14:paraId="55809DC2"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Secondary Non-Response Strategy:</w:t>
      </w:r>
    </w:p>
    <w:p w14:paraId="42310593"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Clinical Presentation: Initial meaningful response followed by a subsequent loss of efficacy.</w:t>
      </w:r>
    </w:p>
    <w:p w14:paraId="6DAFBA08"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Potential Cause: Often due to immunogenicity and anti-drug antibody formation.</w:t>
      </w:r>
    </w:p>
    <w:p w14:paraId="0980B8C0"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Recommended Action: Switching to another TNF inhibitor or optimizing therapy with combination MTX is reasonable, as the TNF pathway remains relevant.</w:t>
      </w:r>
    </w:p>
    <w:p w14:paraId="2A3C4A2F"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Preferred Non-TNF Alternatives:</w:t>
      </w:r>
    </w:p>
    <w:p w14:paraId="65F6BBE6"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Abatacept: A CTLA-4-Ig agent that functions via T-cell costimulation blockade; supported by evidence in JIA.</w:t>
      </w:r>
    </w:p>
    <w:p w14:paraId="459343B1"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Tocilizumab: An IL-6 inhibitor; noted as particularly effective in polyarticular JIA and sJIA.</w:t>
      </w:r>
    </w:p>
    <w:p w14:paraId="3D98AEAC"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IL-1 Inhibitors: Reserved specifically for sJIA presentations if not previously utilized.</w:t>
      </w:r>
    </w:p>
    <w:p w14:paraId="2571E05E"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Rituximab: An anti-CD20 option for polyarticular RF-positive JIA specifically after TNF inhibitor failure, consistent with its established role in adult RA.</w:t>
      </w:r>
    </w:p>
    <w:p w14:paraId="1CB92E7F"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Role of JAK Inhibitors:</w:t>
      </w:r>
    </w:p>
    <w:p w14:paraId="07398865"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Preferred Agents: Tofacitinib and baricitinib are now guideline-supported options.</w:t>
      </w:r>
    </w:p>
    <w:p w14:paraId="45323E64"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Clinical Setting: Indicated in polyarticular JIA following biologic failure, representing an important mechanistic alternative targeting intracellular signaling rather than specific extracellular cytokines.</w:t>
      </w:r>
    </w:p>
    <w:p w14:paraId="339068E8"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Critical Clinical Principle: Switching the mechanism of action is preferred over sequential TNF inhibitor cycling in primary non-response. Clinicians should also take this opportunity to reassess the diagnosis, check for comorbidities such as fibromyalgia or enthesitis-related arthritis overlap, and confirm ongoing objective synovitis rather than non-inflammatory pain as the source of apparent treatment failure.</w:t>
      </w:r>
    </w:p>
    <w:p w14:paraId="4615594F" w14:textId="77777777" w:rsidR="00EB6F05" w:rsidRPr="00716BBA" w:rsidRDefault="00000000" w:rsidP="00716BBA">
      <w:pPr>
        <w:spacing w:before="160" w:after="60"/>
        <w:rPr>
          <w:rFonts w:ascii="Times New Roman" w:hAnsi="Times New Roman" w:cs="Times New Roman"/>
          <w:color w:val="EE0000"/>
          <w:sz w:val="20"/>
          <w:szCs w:val="20"/>
        </w:rPr>
      </w:pPr>
      <w:r w:rsidRPr="00716BBA">
        <w:rPr>
          <w:rFonts w:ascii="Times New Roman" w:hAnsi="Times New Roman" w:cs="Times New Roman"/>
          <w:b/>
          <w:color w:val="EE0000"/>
          <w:sz w:val="20"/>
          <w:szCs w:val="20"/>
        </w:rPr>
        <w:t>MODEL Z</w:t>
      </w:r>
    </w:p>
    <w:p w14:paraId="3C0FFB0D"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Recommended switching strategy after inadequate response to first TNF inhibitor in JIA</w:t>
      </w:r>
    </w:p>
    <w:p w14:paraId="4C1EE2E9"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For a JIA patient with persistent active disease despite an adequate trial of a first TNF inhibitor, the preferred strategy is not automatic cycling to another TNF inhibitor. Current guideline-based practice is to reassess phenotype, disease activity, adherence, dosing, and comorbid features, then switch according to the clinical scenario.</w:t>
      </w:r>
    </w:p>
    <w:p w14:paraId="57F3DF88"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lastRenderedPageBreak/>
        <w:t>In polyarticular-course JIA with moderate or high disease activity, switching to a non-TNF biologic is generally preferred over switching to a second TNF inhibitor. The main options are abatacept or tocilizumab, selected according to patient profile, route, safety issues, and physician experience. This is especially appropriate in primary non-response to the first TNF inhibitor.</w:t>
      </w:r>
    </w:p>
    <w:p w14:paraId="41D34AE9"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A second TNF inhibitor is still reasonable when the patient had a clear initial response followed by secondary loss of response, particularly if loss of efficacy may relate to anti-drug antibodies, suboptimal drug exposure, or intolerance rather than true TNF-class failure. In that setting, switching from one monoclonal TNFi to another, or from etanercept to a monoclonal TNFi, may be appropriate.</w:t>
      </w:r>
    </w:p>
    <w:p w14:paraId="61ED92B3"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If there is active JIA-associated uveitis, the strategy differs: inadequate response to standard-dose monoclonal TNFi usually favors dose/frequency escalation first, and if this fails, switching to another monoclonal TNF inhibitor is preferred. Etanercept should generally be avoided for active uveitis.</w:t>
      </w:r>
    </w:p>
    <w:p w14:paraId="7221D6DC"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If the phenotype is systemic JIA, persistent systemic activity or MAS risk should prompt switching away from TNF inhibition toward IL-1 or IL-6 blockade, rather than using another TNF inhibitor.</w:t>
      </w:r>
    </w:p>
    <w:p w14:paraId="173C9D1A"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Overall, the key principle is treat-to-target: if inactive disease or at least low disease activity is not achieved after an adequate TNFi trial, therapy should be escalated promptly, with non-TNF biologic switching favored for primary TNFi failure in polyarticular-course JIA, and TNFi cycling reserved for selected cases of secondary failure or uveitis-specific indications.</w:t>
      </w:r>
    </w:p>
    <w:p w14:paraId="0B63A692" w14:textId="77777777" w:rsidR="00EB6F05" w:rsidRPr="00716BBA" w:rsidRDefault="00EB6F05" w:rsidP="00716BBA">
      <w:pPr>
        <w:spacing w:after="60"/>
        <w:rPr>
          <w:rFonts w:ascii="Times New Roman" w:hAnsi="Times New Roman" w:cs="Times New Roman"/>
          <w:sz w:val="20"/>
          <w:szCs w:val="20"/>
        </w:rPr>
      </w:pPr>
    </w:p>
    <w:p w14:paraId="08F9E464" w14:textId="77777777" w:rsidR="00EB6F05" w:rsidRPr="00716BBA" w:rsidRDefault="00000000" w:rsidP="00716BBA">
      <w:pPr>
        <w:spacing w:before="200" w:after="120"/>
        <w:rPr>
          <w:rFonts w:ascii="Times New Roman" w:hAnsi="Times New Roman" w:cs="Times New Roman"/>
          <w:color w:val="EE0000"/>
          <w:sz w:val="20"/>
          <w:szCs w:val="20"/>
        </w:rPr>
      </w:pPr>
      <w:r w:rsidRPr="00716BBA">
        <w:rPr>
          <w:rFonts w:ascii="Times New Roman" w:hAnsi="Times New Roman" w:cs="Times New Roman"/>
          <w:b/>
          <w:color w:val="EE0000"/>
          <w:sz w:val="20"/>
          <w:szCs w:val="20"/>
        </w:rPr>
        <w:t>Q11. What is the recommended approach to tapering or discontinuing biologic therapy in patients with Systemic JIA who achieve sustained inactive disease?</w:t>
      </w:r>
    </w:p>
    <w:p w14:paraId="75BB9064" w14:textId="77777777" w:rsidR="00EB6F05" w:rsidRPr="00716BBA" w:rsidRDefault="00000000" w:rsidP="00716BBA">
      <w:pPr>
        <w:spacing w:before="160" w:after="60"/>
        <w:rPr>
          <w:rFonts w:ascii="Times New Roman" w:hAnsi="Times New Roman" w:cs="Times New Roman"/>
          <w:color w:val="EE0000"/>
          <w:sz w:val="20"/>
          <w:szCs w:val="20"/>
        </w:rPr>
      </w:pPr>
      <w:r w:rsidRPr="00716BBA">
        <w:rPr>
          <w:rFonts w:ascii="Times New Roman" w:hAnsi="Times New Roman" w:cs="Times New Roman"/>
          <w:b/>
          <w:color w:val="EE0000"/>
          <w:sz w:val="20"/>
          <w:szCs w:val="20"/>
        </w:rPr>
        <w:t>MODEL X</w:t>
      </w:r>
    </w:p>
    <w:p w14:paraId="379F31C8"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According to current international pediatric rheumatology guidelines, the recommended approach to tapering biologic therapy in patients with systemic juvenile idiopathic arthritis (sJIA) who achieve sustained inactive disease—typically defined as a minimum of 6 to 12 months of continuous clinical remission—is a gradual reduction rather than abrupt discontinuation.</w:t>
      </w:r>
    </w:p>
    <w:p w14:paraId="71459D3F"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The strategy involves prolonging the dosing interval or reducing the dose of the IL-1 or IL-6 inhibitor while closely monitoring for clinical or laboratory signs of flare or Macrophage Activation Syndrome (MAS). Complete discontinuation is considered only after a successful, extended period of stable inactive disease on the tapered regimen.</w:t>
      </w:r>
    </w:p>
    <w:p w14:paraId="16AE60B1" w14:textId="77777777" w:rsidR="00EB6F05" w:rsidRPr="00716BBA" w:rsidRDefault="00000000" w:rsidP="00716BBA">
      <w:pPr>
        <w:spacing w:before="160" w:after="60"/>
        <w:rPr>
          <w:rFonts w:ascii="Times New Roman" w:hAnsi="Times New Roman" w:cs="Times New Roman"/>
          <w:color w:val="EE0000"/>
          <w:sz w:val="20"/>
          <w:szCs w:val="20"/>
        </w:rPr>
      </w:pPr>
      <w:r w:rsidRPr="00716BBA">
        <w:rPr>
          <w:rFonts w:ascii="Times New Roman" w:hAnsi="Times New Roman" w:cs="Times New Roman"/>
          <w:b/>
          <w:color w:val="EE0000"/>
          <w:sz w:val="20"/>
          <w:szCs w:val="20"/>
        </w:rPr>
        <w:t>MODEL Y</w:t>
      </w:r>
    </w:p>
    <w:p w14:paraId="3AC021DF"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In sJIA patients who achieve sustained clinically inactive disease on biologic therapy, tapering and discontinuation is recommended rather than indefinite treatment, following a structured, cautious approach given the risk of flare and MAS upon withdrawal.</w:t>
      </w:r>
    </w:p>
    <w:p w14:paraId="77E02AFF"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Prerequisites for Tapering:</w:t>
      </w:r>
    </w:p>
    <w:p w14:paraId="6DDE614F"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Clinical Criteria: Confirmed sustained inactive disease, defined as no active arthritis, no systemic features, normal inflammatory markers (CRP, ESR), normal ferritin, and no active uveitis.</w:t>
      </w:r>
    </w:p>
    <w:p w14:paraId="07480A77"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Sustained Duration: Must be maintained for a minimum of 6 to 12 months on current therapy, per ACR and PRES consensus recommendations.</w:t>
      </w:r>
    </w:p>
    <w:p w14:paraId="71C626F5"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Preferred Tapering Sequence:</w:t>
      </w:r>
    </w:p>
    <w:p w14:paraId="59D179E4"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Order of Withdrawal: Reduce and discontinue systemic corticosteroids first before initiating the tapering of biologic agents, prioritizing the minimization of steroid-related toxicity.</w:t>
      </w:r>
    </w:p>
    <w:p w14:paraId="543E0774"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Biologic-Specific Tapering Methods:</w:t>
      </w:r>
    </w:p>
    <w:p w14:paraId="6AB0CEFF"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General Approach: Dose reduction or interval extension is strictly preferred over abrupt discontinuation.</w:t>
      </w:r>
    </w:p>
    <w:p w14:paraId="1C01EF05"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Canakinumab &amp; Tocilizumab: Extending the dosing interval is the standard practical approach.</w:t>
      </w:r>
    </w:p>
    <w:p w14:paraId="113B5941"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Anakinra: Dose reduction precedes ultimate discontinuation due to its short half-life.</w:t>
      </w:r>
    </w:p>
    <w:p w14:paraId="2CDBBC33"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Conventional DMARDs: Agents such as MTX, if used in combination, are typically tapered only after the biologic agent is successfully discontinued.</w:t>
      </w:r>
    </w:p>
    <w:p w14:paraId="04CFC31A"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lastRenderedPageBreak/>
        <w:t>Rigorous Clinical and Laboratory Monitoring:</w:t>
      </w:r>
    </w:p>
    <w:p w14:paraId="317C765E"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Stepwise Assessment: Clinical assessment and inflammatory markers must be checked at each step.</w:t>
      </w:r>
    </w:p>
    <w:p w14:paraId="0ED5B74A"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Vigilance for Early MAS Signs: Particular vigilance is mandatory for early macrophage activation syndrome (MAS) indicators, including rising ferritin, a paradoxically falling ESR, new-onset cytopenias, and hepatosplenomegaly.</w:t>
      </w:r>
    </w:p>
    <w:p w14:paraId="37E53BC5"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Critical Clinical Points: Flare rates after biologic discontinuation in sJIA remain substantial, reported in up to 50% or more of patients. Because MAS can be precipitated by tapering, a slow stepwise reduction with close monitoring is non-negotiable. Patients with a documented history of MAS warrant an especially conservative tapering protocol and prolonged observation after discontinuation.</w:t>
      </w:r>
    </w:p>
    <w:p w14:paraId="7032BCA5" w14:textId="77777777" w:rsidR="00EB6F05" w:rsidRPr="00716BBA" w:rsidRDefault="00000000" w:rsidP="00716BBA">
      <w:pPr>
        <w:spacing w:before="160" w:after="60"/>
        <w:rPr>
          <w:rFonts w:ascii="Times New Roman" w:hAnsi="Times New Roman" w:cs="Times New Roman"/>
          <w:color w:val="EE0000"/>
          <w:sz w:val="20"/>
          <w:szCs w:val="20"/>
        </w:rPr>
      </w:pPr>
      <w:r w:rsidRPr="00716BBA">
        <w:rPr>
          <w:rFonts w:ascii="Times New Roman" w:hAnsi="Times New Roman" w:cs="Times New Roman"/>
          <w:b/>
          <w:color w:val="EE0000"/>
          <w:sz w:val="20"/>
          <w:szCs w:val="20"/>
        </w:rPr>
        <w:t>MODEL Z</w:t>
      </w:r>
    </w:p>
    <w:p w14:paraId="657BFC1A"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In systemic JIA with sustained inactive disease, the first step is to ensure that systemic glucocorticoids have already been tapered and discontinued. Biologic tapering should not be attempted while the child remains steroid-dependent. ACR guidance strongly recommends stopping glucocorticoids after inactive disease is achieved, and only then considering tapering biologic DMARDs.</w:t>
      </w:r>
    </w:p>
    <w:p w14:paraId="60835C84"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For patients who remain in clinically inactive disease off glucocorticoids, tapering or discontinuing the biologic may be considered, but this is a conditional recommendation because evidence is limited. The goal is drug-free remission, but the decision should be individualized according to disease severity, prior MAS, duration of remission, residual arthritis, inflammatory markers, family preference, and risk tolerance.</w:t>
      </w:r>
    </w:p>
    <w:p w14:paraId="2A812373"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A practical approach is gradual tapering rather than abrupt cessation. Most clinicians prefer to extend the dosing interval stepwise rather than suddenly stopping the IL-1 or IL-6 inhibitor. Dose reduction is also possible, but there is no guideline-proven superior method.</w:t>
      </w:r>
    </w:p>
    <w:p w14:paraId="3739B10B"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Biologic tapering should generally be delayed if there has been recent MAS, persistent systemic inflammation, active arthritis, elevated CRP/ESR/ferritin, lung disease concern, or difficulty achieving remission. In more severe or difficult-to-treat systemic JIA, maintaining inactive disease off steroids for at least 6 months before tapering is a safer threshold.</w:t>
      </w:r>
    </w:p>
    <w:p w14:paraId="3B49CAAA"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After tapering, patients require close clinical and laboratory monitoring. If fever, rash, arthritis, rising inflammatory markers, or MAS features recur, the previously effective biologic should usually be reintroduced promptly, and major flares should be treated aggressively.</w:t>
      </w:r>
    </w:p>
    <w:p w14:paraId="18F0A32B" w14:textId="77777777" w:rsidR="00EB6F05" w:rsidRPr="00716BBA" w:rsidRDefault="00EB6F05" w:rsidP="00716BBA">
      <w:pPr>
        <w:spacing w:after="60"/>
        <w:rPr>
          <w:rFonts w:ascii="Times New Roman" w:hAnsi="Times New Roman" w:cs="Times New Roman"/>
          <w:sz w:val="20"/>
          <w:szCs w:val="20"/>
        </w:rPr>
      </w:pPr>
    </w:p>
    <w:p w14:paraId="62B06011" w14:textId="77777777" w:rsidR="00EB6F05" w:rsidRPr="00716BBA" w:rsidRDefault="00000000" w:rsidP="00716BBA">
      <w:pPr>
        <w:spacing w:before="200" w:after="120"/>
        <w:rPr>
          <w:rFonts w:ascii="Times New Roman" w:hAnsi="Times New Roman" w:cs="Times New Roman"/>
          <w:color w:val="EE0000"/>
          <w:sz w:val="20"/>
          <w:szCs w:val="20"/>
        </w:rPr>
      </w:pPr>
      <w:r w:rsidRPr="00716BBA">
        <w:rPr>
          <w:rFonts w:ascii="Times New Roman" w:hAnsi="Times New Roman" w:cs="Times New Roman"/>
          <w:b/>
          <w:color w:val="EE0000"/>
          <w:sz w:val="20"/>
          <w:szCs w:val="20"/>
        </w:rPr>
        <w:t>Q12. What is the standard required frequency of screening for chronic anterior uveitis in a high-risk JIA patient?</w:t>
      </w:r>
    </w:p>
    <w:p w14:paraId="236255E7" w14:textId="77777777" w:rsidR="00EB6F05" w:rsidRPr="00716BBA" w:rsidRDefault="00000000" w:rsidP="00716BBA">
      <w:pPr>
        <w:spacing w:before="160" w:after="60"/>
        <w:rPr>
          <w:rFonts w:ascii="Times New Roman" w:hAnsi="Times New Roman" w:cs="Times New Roman"/>
          <w:color w:val="EE0000"/>
          <w:sz w:val="20"/>
          <w:szCs w:val="20"/>
        </w:rPr>
      </w:pPr>
      <w:r w:rsidRPr="00716BBA">
        <w:rPr>
          <w:rFonts w:ascii="Times New Roman" w:hAnsi="Times New Roman" w:cs="Times New Roman"/>
          <w:b/>
          <w:color w:val="EE0000"/>
          <w:sz w:val="20"/>
          <w:szCs w:val="20"/>
        </w:rPr>
        <w:t>MODEL X</w:t>
      </w:r>
    </w:p>
    <w:p w14:paraId="0E863DB6" w14:textId="77777777" w:rsidR="00EB6F05" w:rsidRPr="00716BBA" w:rsidRDefault="00000000" w:rsidP="00716BBA">
      <w:pPr>
        <w:spacing w:after="160"/>
        <w:rPr>
          <w:rFonts w:ascii="Times New Roman" w:hAnsi="Times New Roman" w:cs="Times New Roman"/>
          <w:sz w:val="20"/>
          <w:szCs w:val="20"/>
        </w:rPr>
      </w:pPr>
      <w:r w:rsidRPr="00716BBA">
        <w:rPr>
          <w:rFonts w:ascii="Times New Roman" w:hAnsi="Times New Roman" w:cs="Times New Roman"/>
          <w:sz w:val="20"/>
          <w:szCs w:val="20"/>
        </w:rPr>
        <w:t>According to current international pediatric rheumatology and ophthalmology guidelines, a high-risk juvenile idiopathic arthritis (JIA) patient—typically defined as an ANA-positive patient with oligoarthritis, polyarthritis, or psoriatic arthritis, and a disease duration of less than 4 years—requires screening for chronic anterior uveitis every 3 months.</w:t>
      </w:r>
    </w:p>
    <w:p w14:paraId="4EFA2AD6" w14:textId="77777777" w:rsidR="00EB6F05" w:rsidRPr="00716BBA" w:rsidRDefault="00000000" w:rsidP="00716BBA">
      <w:pPr>
        <w:spacing w:before="160" w:after="60"/>
        <w:rPr>
          <w:rFonts w:ascii="Times New Roman" w:hAnsi="Times New Roman" w:cs="Times New Roman"/>
          <w:color w:val="EE0000"/>
          <w:sz w:val="20"/>
          <w:szCs w:val="20"/>
        </w:rPr>
      </w:pPr>
      <w:r w:rsidRPr="00716BBA">
        <w:rPr>
          <w:rFonts w:ascii="Times New Roman" w:hAnsi="Times New Roman" w:cs="Times New Roman"/>
          <w:b/>
          <w:color w:val="EE0000"/>
          <w:sz w:val="20"/>
          <w:szCs w:val="20"/>
        </w:rPr>
        <w:t>MODEL Y</w:t>
      </w:r>
    </w:p>
    <w:p w14:paraId="6E4A24AA"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Uveitis screening frequency in JIA is stratified by risk category, with the highest risk group requiring the most intensive surveillance.</w:t>
      </w:r>
    </w:p>
    <w:p w14:paraId="2D6D6E31"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High-Risk Group Definition:</w:t>
      </w:r>
    </w:p>
    <w:p w14:paraId="5A291EF2"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Criteria: Defined by the combination of oligoarticular or polyarticular RF-negative JIA, ANA positivity, age at arthritis onset under 6 years, and disease duration under 4 years.</w:t>
      </w:r>
    </w:p>
    <w:p w14:paraId="76951F40"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Clinical Risk: This group carries the greatest risk for chronic anterior uveitis, which is characteristically asymptomatic and can cause irreversible visual damage including band keratopathy, cataract, glaucoma, and phthisis bulbi if detected late.</w:t>
      </w:r>
    </w:p>
    <w:p w14:paraId="51DCC552"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Screening Protocols by Risk Category:</w:t>
      </w:r>
    </w:p>
    <w:p w14:paraId="1D8ACA5C"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High-Risk Patients: The recommended screening frequency is every 3 months by slit-lamp examination performed by an ophthalmologist experienced in pediatric uveitis.</w:t>
      </w:r>
    </w:p>
    <w:p w14:paraId="7081F0A7"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lastRenderedPageBreak/>
        <w:t>Extended Disease Duration: As disease duration extends beyond 4 years and the patient remains uveitis-free, risk decreases and screening intervals can be extended to every 6 months, then annually, provided the risk profile otherwise remains stable.</w:t>
      </w:r>
    </w:p>
    <w:p w14:paraId="43FA3094"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Intermediate-Risk Patients: Patients such as ANA-negative oligoarticular or polyarticular JIA, or those with an older age at onset, are screened every 6 months.</w:t>
      </w:r>
    </w:p>
    <w:p w14:paraId="7026659F"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Lower-Risk Groups: Subtypes including RF-positive polyarticular JIA, enthesitis-related arthritis (ERA), and psoriatic JIA have an annual screening schedule. However, ERA patients warrant close monitoring for acute symptomatic uveitis given its distinct symptomatic presentation in that subtype.</w:t>
      </w:r>
    </w:p>
    <w:p w14:paraId="0C156606"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Critical Clinical Point: Screening must be performed by slit-lamp biomicroscopy regardless of symptoms. Parental or patient-reported absence of red eye or photophobia is not a reliable indicator of disease absence in chronic anterior uveitis, and symptom-triggered examination alone is insufficient and dangerous in this population.</w:t>
      </w:r>
    </w:p>
    <w:p w14:paraId="2BF79ED1" w14:textId="77777777" w:rsidR="00EB6F05" w:rsidRPr="00716BBA" w:rsidRDefault="00000000" w:rsidP="00716BBA">
      <w:pPr>
        <w:spacing w:before="160" w:after="60"/>
        <w:rPr>
          <w:rFonts w:ascii="Times New Roman" w:hAnsi="Times New Roman" w:cs="Times New Roman"/>
          <w:color w:val="EE0000"/>
          <w:sz w:val="20"/>
          <w:szCs w:val="20"/>
        </w:rPr>
      </w:pPr>
      <w:r w:rsidRPr="00716BBA">
        <w:rPr>
          <w:rFonts w:ascii="Times New Roman" w:hAnsi="Times New Roman" w:cs="Times New Roman"/>
          <w:b/>
          <w:color w:val="EE0000"/>
          <w:sz w:val="20"/>
          <w:szCs w:val="20"/>
        </w:rPr>
        <w:t>MODEL Z</w:t>
      </w:r>
    </w:p>
    <w:p w14:paraId="559478F6"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In a high-risk JIA patient, screening for chronic anterior uveitis should be performed by an ophthalmologist with slit-lamp examination every 3 months. This applies even if the child has no ocular symptoms, because JIA-associated chronic anterior uveitis is often asymptomatic.</w:t>
      </w:r>
    </w:p>
    <w:p w14:paraId="3BF168AF"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High-risk features typically include:</w:t>
      </w:r>
    </w:p>
    <w:p w14:paraId="3749C9F5"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ANA positivity</w:t>
      </w:r>
    </w:p>
    <w:p w14:paraId="24D58151"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JIA onset before 7 years of age</w:t>
      </w:r>
    </w:p>
    <w:p w14:paraId="2DCEB494"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Disease duration ≤4 years</w:t>
      </w:r>
    </w:p>
    <w:p w14:paraId="6DF2556C"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Especially oligoarticular JIA, RF-negative polyarticular JIA, psoriatic JIA, or undifferentiated JIA</w:t>
      </w:r>
    </w:p>
    <w:p w14:paraId="04C41144"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The key answer is: ophthalmologic screening every 3 months for high-risk patients.</w:t>
      </w:r>
    </w:p>
    <w:p w14:paraId="70D708EF" w14:textId="77777777" w:rsidR="00EB6F05" w:rsidRPr="00716BBA" w:rsidRDefault="00EB6F05" w:rsidP="00716BBA">
      <w:pPr>
        <w:spacing w:after="60"/>
        <w:rPr>
          <w:rFonts w:ascii="Times New Roman" w:hAnsi="Times New Roman" w:cs="Times New Roman"/>
          <w:sz w:val="20"/>
          <w:szCs w:val="20"/>
        </w:rPr>
      </w:pPr>
    </w:p>
    <w:p w14:paraId="047EB19D" w14:textId="77777777" w:rsidR="00EB6F05" w:rsidRPr="00716BBA" w:rsidRDefault="00000000" w:rsidP="00716BBA">
      <w:pPr>
        <w:spacing w:before="200" w:after="120"/>
        <w:rPr>
          <w:rFonts w:ascii="Times New Roman" w:hAnsi="Times New Roman" w:cs="Times New Roman"/>
          <w:color w:val="EE0000"/>
          <w:sz w:val="20"/>
          <w:szCs w:val="20"/>
        </w:rPr>
      </w:pPr>
      <w:r w:rsidRPr="00716BBA">
        <w:rPr>
          <w:rFonts w:ascii="Times New Roman" w:hAnsi="Times New Roman" w:cs="Times New Roman"/>
          <w:b/>
          <w:color w:val="EE0000"/>
          <w:sz w:val="20"/>
          <w:szCs w:val="20"/>
        </w:rPr>
        <w:t>Q13. Which mandatory screening protocol must be completed for latent infections prior to initiating any biologic DMARD therapy in a child with JIA?</w:t>
      </w:r>
    </w:p>
    <w:p w14:paraId="0B708006" w14:textId="77777777" w:rsidR="00EB6F05" w:rsidRPr="00716BBA" w:rsidRDefault="00000000" w:rsidP="00716BBA">
      <w:pPr>
        <w:spacing w:before="160" w:after="60"/>
        <w:rPr>
          <w:rFonts w:ascii="Times New Roman" w:hAnsi="Times New Roman" w:cs="Times New Roman"/>
          <w:color w:val="EE0000"/>
          <w:sz w:val="20"/>
          <w:szCs w:val="20"/>
        </w:rPr>
      </w:pPr>
      <w:r w:rsidRPr="00716BBA">
        <w:rPr>
          <w:rFonts w:ascii="Times New Roman" w:hAnsi="Times New Roman" w:cs="Times New Roman"/>
          <w:b/>
          <w:color w:val="EE0000"/>
          <w:sz w:val="20"/>
          <w:szCs w:val="20"/>
        </w:rPr>
        <w:t>MODEL X</w:t>
      </w:r>
    </w:p>
    <w:p w14:paraId="75EC0B31"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Prior to initiating any biologic DMARD therapy, screening for latent tuberculosis (TB) is mandatory.</w:t>
      </w:r>
    </w:p>
    <w:p w14:paraId="7B764CA9"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The protocol must include a comprehensive clinical history of exposure, physical examination, a chest X-ray, and an immune-based assay—either a Tuberculin Skin Test (TST) or an Interferon-Gamma Release Assay (IGRA), depending on national vaccination protocols and patient age.</w:t>
      </w:r>
    </w:p>
    <w:p w14:paraId="0467E4F6"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Additionally, current guidelines require screening for viral hepatitis, specifically Hepatitis B (HBV) and Hepatitis C (HCV) serologies, before treatment initiation.</w:t>
      </w:r>
    </w:p>
    <w:p w14:paraId="20C764B2" w14:textId="77777777" w:rsidR="00EB6F05" w:rsidRPr="00716BBA" w:rsidRDefault="00000000" w:rsidP="00716BBA">
      <w:pPr>
        <w:spacing w:before="160" w:after="60"/>
        <w:rPr>
          <w:rFonts w:ascii="Times New Roman" w:hAnsi="Times New Roman" w:cs="Times New Roman"/>
          <w:color w:val="EE0000"/>
          <w:sz w:val="20"/>
          <w:szCs w:val="20"/>
        </w:rPr>
      </w:pPr>
      <w:r w:rsidRPr="00716BBA">
        <w:rPr>
          <w:rFonts w:ascii="Times New Roman" w:hAnsi="Times New Roman" w:cs="Times New Roman"/>
          <w:b/>
          <w:color w:val="EE0000"/>
          <w:sz w:val="20"/>
          <w:szCs w:val="20"/>
        </w:rPr>
        <w:t>MODEL Y</w:t>
      </w:r>
    </w:p>
    <w:p w14:paraId="1C6EC467"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Prior to initiating any biologic DMARD in a child with JIA, mandatory pre-treatment infectious screening is required to prevent reactivation of latent infections, particularly tuberculosis and hepatitis B, which can cause life-threatening disease under immunosuppression.</w:t>
      </w:r>
    </w:p>
    <w:p w14:paraId="60715EAF"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Latent Tuberculosis Screening:</w:t>
      </w:r>
    </w:p>
    <w:p w14:paraId="784A5369"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Core Protocol: Universally required before all biologics, particularly TNF inhibitors. Includes the tuberculin skin test (TST/Mantoux) and/or interferon-gamma release assay (IGRA — QuantiFERON-TB Gold or T-SPOT.TB).</w:t>
      </w:r>
    </w:p>
    <w:p w14:paraId="566EDC4D"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Preferred Test: IGRA is preferred in BCG-vaccinated children as it is not confounded by prior BCG vaccination, though both tests may be used together in high-risk or immunocompromised patients where false negatives are possible.</w:t>
      </w:r>
    </w:p>
    <w:p w14:paraId="76066B3C"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Imaging Requirement: A chest radiograph is performed in all cases regardless of TST/IGRA results to exclude active pulmonary tuberculosis or prior infection sequelae.</w:t>
      </w:r>
    </w:p>
    <w:p w14:paraId="6F4CC0E6"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Prophylaxis Protocol: Confirmed latent TB requires treatment with isoniazid prophylaxis for a minimum of one month — ideally completing the full prophylactic course — before biologic initiation. In urgent clinical situations, biologics may be started after 4 weeks of prophylaxis under close monitoring.</w:t>
      </w:r>
    </w:p>
    <w:p w14:paraId="6E912B2B"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lastRenderedPageBreak/>
        <w:t>Hepatitis B &amp; C Screening:</w:t>
      </w:r>
    </w:p>
    <w:p w14:paraId="5231F4F3"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Hepatitis B Markers: Requires HBsAg, anti-HBs, and anti-HBc (total) at a minimum.</w:t>
      </w:r>
    </w:p>
    <w:p w14:paraId="618EF082"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HBsAg-Positive Strategy: Requires hepatology consultation and antiviral prophylaxis before biologic initiation.</w:t>
      </w:r>
    </w:p>
    <w:p w14:paraId="43AD8A16"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Anti-HBc-Positive Strategy: Anti-HBc positive with HBsAg negative patients require close monitoring or prophylaxis depending on anti-HBs levels and the specific biologic chosen, as reactivation risk varies.</w:t>
      </w:r>
    </w:p>
    <w:p w14:paraId="7397462E"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Hepatitis C: Serology (anti-HCV) is recommended as standard pre-biologic screening.</w:t>
      </w:r>
    </w:p>
    <w:p w14:paraId="0D6C4AE6"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HIV &amp; Varicella Zoster Stratification:</w:t>
      </w:r>
    </w:p>
    <w:p w14:paraId="0E821A85"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HIV Testing: Recommended particularly in endemic regions or when clinical risk factors are present.</w:t>
      </w:r>
    </w:p>
    <w:p w14:paraId="3040264D"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Varicella Zoster: Immunity should be assessed. Seronegative patients should receive varicella vaccination and allow adequate time before biologic initiation.</w:t>
      </w:r>
    </w:p>
    <w:p w14:paraId="280A247A"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Live Vaccine Restrictions:</w:t>
      </w:r>
    </w:p>
    <w:p w14:paraId="28262142"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Live vaccines are strictly contraindicated once biologic therapy has commenced.</w:t>
      </w:r>
    </w:p>
    <w:p w14:paraId="59D698A6"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Critical Clinical Principle: All recommended live vaccines must be completed and up to date before starting biologic therapy. This makes a comprehensive pre-treatment immunization status review an integral, non-negotiable part of the mandatory screening protocol.</w:t>
      </w:r>
    </w:p>
    <w:p w14:paraId="18AAF093" w14:textId="77777777" w:rsidR="00EB6F05" w:rsidRPr="00716BBA" w:rsidRDefault="00000000" w:rsidP="00716BBA">
      <w:pPr>
        <w:spacing w:before="160" w:after="60"/>
        <w:rPr>
          <w:rFonts w:ascii="Times New Roman" w:hAnsi="Times New Roman" w:cs="Times New Roman"/>
          <w:color w:val="EE0000"/>
          <w:sz w:val="20"/>
          <w:szCs w:val="20"/>
        </w:rPr>
      </w:pPr>
      <w:r w:rsidRPr="00716BBA">
        <w:rPr>
          <w:rFonts w:ascii="Times New Roman" w:hAnsi="Times New Roman" w:cs="Times New Roman"/>
          <w:b/>
          <w:color w:val="EE0000"/>
          <w:sz w:val="20"/>
          <w:szCs w:val="20"/>
        </w:rPr>
        <w:t>MODEL Z</w:t>
      </w:r>
    </w:p>
    <w:p w14:paraId="70DBE9D4"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Mandatory latent infection screening before biologic DMARDs in JIA</w:t>
      </w:r>
    </w:p>
    <w:p w14:paraId="3FA64D39"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Before starting any biologic DMARD, the essential mandatory latent infection screen is latent tuberculosis infection screening. Current JIA guidance recommends TB screening before biologic initiation and repeat screening only if there is new exposure risk or clinical concern.</w:t>
      </w:r>
    </w:p>
    <w:p w14:paraId="69ED4A10"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The protocol should include:</w:t>
      </w:r>
    </w:p>
    <w:p w14:paraId="4F3F3728"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TB risk assessment</w:t>
      </w:r>
    </w:p>
    <w:p w14:paraId="4733D039"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Previous TB exposure or household contact</w:t>
      </w:r>
    </w:p>
    <w:p w14:paraId="29C7FA9E"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Birth, residence, or travel in high-prevalence regions</w:t>
      </w:r>
    </w:p>
    <w:p w14:paraId="77E6460D"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Prior TB treatment</w:t>
      </w:r>
    </w:p>
    <w:p w14:paraId="581A6BF0"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BCG vaccination history</w:t>
      </w:r>
    </w:p>
    <w:p w14:paraId="08ABC2C3"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Symptoms suggesting active TB</w:t>
      </w:r>
    </w:p>
    <w:p w14:paraId="405B6DE2"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Immunologic testing</w:t>
      </w:r>
    </w:p>
    <w:p w14:paraId="0E93560A"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IGRA or TST</w:t>
      </w:r>
    </w:p>
    <w:p w14:paraId="4558766E"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IGRA is often preferred in BCG-vaccinated children or where available.</w:t>
      </w:r>
    </w:p>
    <w:p w14:paraId="6DC427A9"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Exclude active TB if screening is positive or risk is high</w:t>
      </w:r>
    </w:p>
    <w:p w14:paraId="19326619"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Clinical assessment</w:t>
      </w:r>
    </w:p>
    <w:p w14:paraId="3D838F8B"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Chest radiograph</w:t>
      </w:r>
    </w:p>
    <w:p w14:paraId="7B26A5C1"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Further microbiologic evaluation if symptoms or imaging suggest active disease</w:t>
      </w:r>
    </w:p>
    <w:p w14:paraId="14B1CA49"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Treat latent TB before biologic therapy</w:t>
      </w:r>
    </w:p>
    <w:p w14:paraId="03AA1F06"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If LTBI is diagnosed, start appropriate anti-tuberculosis prophylaxis according to national TB guidance.</w:t>
      </w:r>
    </w:p>
    <w:p w14:paraId="3074EE1D"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Biologic therapy should generally be delayed until LTBI treatment has been started and active TB has been excluded.</w:t>
      </w:r>
    </w:p>
    <w:p w14:paraId="10DFAC93"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Additional pre-biologic infection checks commonly include hepatitis B, hepatitis C, HIV, varicella immunity/vaccination status, and general immunization review, but the core mandatory latent infection protocol specifically required before biologic DMARD therapy is latent TB screening.</w:t>
      </w:r>
    </w:p>
    <w:p w14:paraId="6FEC354D" w14:textId="77777777" w:rsidR="00EB6F05" w:rsidRPr="00716BBA" w:rsidRDefault="00EB6F05" w:rsidP="00716BBA">
      <w:pPr>
        <w:spacing w:after="60"/>
        <w:rPr>
          <w:rFonts w:ascii="Times New Roman" w:hAnsi="Times New Roman" w:cs="Times New Roman"/>
          <w:sz w:val="20"/>
          <w:szCs w:val="20"/>
        </w:rPr>
      </w:pPr>
    </w:p>
    <w:p w14:paraId="53C5CA20" w14:textId="77777777" w:rsidR="00EB6F05" w:rsidRPr="00716BBA" w:rsidRDefault="00000000" w:rsidP="00716BBA">
      <w:pPr>
        <w:spacing w:before="200" w:after="120"/>
        <w:rPr>
          <w:rFonts w:ascii="Times New Roman" w:hAnsi="Times New Roman" w:cs="Times New Roman"/>
          <w:color w:val="EE0000"/>
          <w:sz w:val="20"/>
          <w:szCs w:val="20"/>
        </w:rPr>
      </w:pPr>
      <w:r w:rsidRPr="00716BBA">
        <w:rPr>
          <w:rFonts w:ascii="Times New Roman" w:hAnsi="Times New Roman" w:cs="Times New Roman"/>
          <w:b/>
          <w:color w:val="EE0000"/>
          <w:sz w:val="20"/>
          <w:szCs w:val="20"/>
        </w:rPr>
        <w:t>Q14. How should biologic therapy generally be managed in a patient with JIA who develops a serious acute infection?</w:t>
      </w:r>
    </w:p>
    <w:p w14:paraId="65E810E7" w14:textId="77777777" w:rsidR="00EB6F05" w:rsidRPr="00716BBA" w:rsidRDefault="00000000" w:rsidP="00716BBA">
      <w:pPr>
        <w:spacing w:before="160" w:after="60"/>
        <w:rPr>
          <w:rFonts w:ascii="Times New Roman" w:hAnsi="Times New Roman" w:cs="Times New Roman"/>
          <w:color w:val="EE0000"/>
          <w:sz w:val="20"/>
          <w:szCs w:val="20"/>
        </w:rPr>
      </w:pPr>
      <w:r w:rsidRPr="00716BBA">
        <w:rPr>
          <w:rFonts w:ascii="Times New Roman" w:hAnsi="Times New Roman" w:cs="Times New Roman"/>
          <w:b/>
          <w:color w:val="EE0000"/>
          <w:sz w:val="20"/>
          <w:szCs w:val="20"/>
        </w:rPr>
        <w:t>MODEL X</w:t>
      </w:r>
    </w:p>
    <w:p w14:paraId="12DD619C"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lastRenderedPageBreak/>
        <w:t>In the event of a serious acute infection, the recommended management strategy is to temporarily withhold the biologic DMARD therapy.</w:t>
      </w:r>
    </w:p>
    <w:p w14:paraId="51F66288"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The biologic agent should remain suspended during the acute phase of the infection and should only be resumed once the infection has clinically resolved and the prescribed course of anti-infective therapy is fully completed.</w:t>
      </w:r>
    </w:p>
    <w:p w14:paraId="742ED278" w14:textId="77777777" w:rsidR="00EB6F05" w:rsidRPr="00716BBA" w:rsidRDefault="00000000" w:rsidP="00716BBA">
      <w:pPr>
        <w:spacing w:before="160" w:after="60"/>
        <w:rPr>
          <w:rFonts w:ascii="Times New Roman" w:hAnsi="Times New Roman" w:cs="Times New Roman"/>
          <w:color w:val="EE0000"/>
          <w:sz w:val="20"/>
          <w:szCs w:val="20"/>
        </w:rPr>
      </w:pPr>
      <w:r w:rsidRPr="00716BBA">
        <w:rPr>
          <w:rFonts w:ascii="Times New Roman" w:hAnsi="Times New Roman" w:cs="Times New Roman"/>
          <w:b/>
          <w:color w:val="EE0000"/>
          <w:sz w:val="20"/>
          <w:szCs w:val="20"/>
        </w:rPr>
        <w:t>MODEL Y</w:t>
      </w:r>
    </w:p>
    <w:p w14:paraId="434D4858"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When a JIA patient on biologic therapy develops a serious acute infection, the universal principle across all international guidelines is immediate temporary discontinuation of the biologic agent without waiting for diagnostic confirmation of the causative organism.</w:t>
      </w:r>
    </w:p>
    <w:p w14:paraId="06DD3076"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Immediate Therapeutic Priorities:</w:t>
      </w:r>
    </w:p>
    <w:p w14:paraId="6E98E632"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Empirical Therapy: Prompt initiation of appropriate empirical antimicrobial therapy is mandatory and should not be delayed pending biologic discontinuation decisions; infection treatment takes absolute priority.</w:t>
      </w:r>
    </w:p>
    <w:p w14:paraId="7AC4095E"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Hospitalization Criteria: Hospitalization is typically required for serious infections to allow IV antimicrobial therapy, close monitoring for clinical deterioration, and assessment for sepsis or opportunistic infection.</w:t>
      </w:r>
    </w:p>
    <w:p w14:paraId="4DA84911"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Diagnostic Workup and Pathogen Considerations:</w:t>
      </w:r>
    </w:p>
    <w:p w14:paraId="4C07FCFF"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Urgent Workup: Diagnostic workup must be thorough and directed. Blood cultures, full blood count, CRP, procalcitonin, and site-specific investigations are performed urgently.</w:t>
      </w:r>
    </w:p>
    <w:p w14:paraId="6981AB16"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Opportunistic Vigilance: The immunosuppressed state means atypical and opportunistic pathogens must be actively considered alongside common organisms, including mycobacterial, fungal, and viral etiologies, particularly with prolonged or recurrent infections.</w:t>
      </w:r>
    </w:p>
    <w:p w14:paraId="2E8D4CC6"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Biologic-Specific Clinical Contexts:</w:t>
      </w:r>
    </w:p>
    <w:p w14:paraId="7DC72357"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TNF Inhibitors: Carry a particular risk for intracellular organisms including mycobacteria and endemic fungi.</w:t>
      </w:r>
    </w:p>
    <w:p w14:paraId="5BA3B185"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IL-6 Inhibition (Tocilizumab): Critically suppresses CRP and fever response, meaning clinical deterioration may occur without the usual inflammatory markers, requiring heightened clinical vigilance.</w:t>
      </w:r>
    </w:p>
    <w:p w14:paraId="31DE3154"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IL-1 Inhibitors: Similarly blunt the typical fever response.</w:t>
      </w:r>
    </w:p>
    <w:p w14:paraId="34174094"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Restarting Protocols:</w:t>
      </w:r>
    </w:p>
    <w:p w14:paraId="7B15382B"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Prerequisites for Restart: Biologic therapy should not be restarted until the serious infection has completely resolved clinically and microbiologically, inflammatory markers have normalized, and the full appropriate course of antimicrobial therapy has been completed.</w:t>
      </w:r>
    </w:p>
    <w:p w14:paraId="7818B19E"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Risk-Benefit Reassessment: Before restarting, the risk-benefit balance must be reassessed. If the infection was opportunistic, recurrent, or severe, the choice of biologic agent itself may need to be reconsidered.</w:t>
      </w:r>
    </w:p>
    <w:p w14:paraId="6662FF18"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Critical Clinical Point: Any intercurrent live vaccine administration remains absolutely contraindicated throughout biologic therapy and during the period of consideration for restart. Concurrent corticosteroid use adds further immunosuppressive risk requiring careful management during the infectious episode.</w:t>
      </w:r>
    </w:p>
    <w:p w14:paraId="7EE12FEE" w14:textId="77777777" w:rsidR="00EB6F05" w:rsidRPr="00716BBA" w:rsidRDefault="00000000" w:rsidP="00716BBA">
      <w:pPr>
        <w:spacing w:before="160" w:after="60"/>
        <w:rPr>
          <w:rFonts w:ascii="Times New Roman" w:hAnsi="Times New Roman" w:cs="Times New Roman"/>
          <w:color w:val="EE0000"/>
          <w:sz w:val="20"/>
          <w:szCs w:val="20"/>
        </w:rPr>
      </w:pPr>
      <w:r w:rsidRPr="00716BBA">
        <w:rPr>
          <w:rFonts w:ascii="Times New Roman" w:hAnsi="Times New Roman" w:cs="Times New Roman"/>
          <w:b/>
          <w:color w:val="EE0000"/>
          <w:sz w:val="20"/>
          <w:szCs w:val="20"/>
        </w:rPr>
        <w:t>MODEL Z</w:t>
      </w:r>
    </w:p>
    <w:p w14:paraId="1FF8B31A"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Management of biologic therapy during serious acute infection</w:t>
      </w:r>
    </w:p>
    <w:p w14:paraId="22FBA6AB"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In a JIA patient who develops a serious acute infection, biologic therapy should generally be temporarily withheld. The next dose should be delayed, and the infection should be assessed and treated promptly.</w:t>
      </w:r>
    </w:p>
    <w:p w14:paraId="2B35A6C5"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Biologic therapy is usually restarted only after:</w:t>
      </w:r>
    </w:p>
    <w:p w14:paraId="444B9355"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the infection has clinically resolved,</w:t>
      </w:r>
    </w:p>
    <w:p w14:paraId="225FED76"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the child is afebrile and stable,</w:t>
      </w:r>
    </w:p>
    <w:p w14:paraId="55258994"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antimicrobial treatment is completed or clearly effective,</w:t>
      </w:r>
    </w:p>
    <w:p w14:paraId="1C1BD812"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there is no evidence of ongoing sepsis, opportunistic infection, or uncontrolled focus.</w:t>
      </w:r>
    </w:p>
    <w:p w14:paraId="733CF431"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 xml:space="preserve">For mild, uncomplicated viral upper respiratory infections, biologic interruption may not always be necessary, but for serious infection, such as infection requiring hospitalization, IV antibiotics, sepsis evaluation, severe pneumonia, invasive bacterial infection, opportunistic infection, or significant neutropenia, the biologic should be held. This general approach is </w:t>
      </w:r>
      <w:r w:rsidRPr="00716BBA">
        <w:rPr>
          <w:rFonts w:ascii="Times New Roman" w:hAnsi="Times New Roman" w:cs="Times New Roman"/>
          <w:sz w:val="20"/>
          <w:szCs w:val="20"/>
        </w:rPr>
        <w:lastRenderedPageBreak/>
        <w:t>consistent with rheumatology biologic safety guidance that b/tsDMARDs should be discontinued during serious infection and restarted once the infection has resolved.</w:t>
      </w:r>
    </w:p>
    <w:p w14:paraId="0470EAD9"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In systemic JIA, extra caution is needed because infection, disease flare, and MAS may overlap clinically. IL-1 or IL-6 blockade can also blunt fever or CRP responses, so clinical assessment and laboratory monitoring should guide decisions.</w:t>
      </w:r>
    </w:p>
    <w:p w14:paraId="7AEE41A6"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The key principle is: hold biologic therapy during serious acute infection; restart after clear clinical resolution and individualized risk assessment.</w:t>
      </w:r>
    </w:p>
    <w:p w14:paraId="21596DB3" w14:textId="77777777" w:rsidR="00EB6F05" w:rsidRPr="00716BBA" w:rsidRDefault="00EB6F05" w:rsidP="00716BBA">
      <w:pPr>
        <w:spacing w:after="60"/>
        <w:rPr>
          <w:rFonts w:ascii="Times New Roman" w:hAnsi="Times New Roman" w:cs="Times New Roman"/>
          <w:sz w:val="20"/>
          <w:szCs w:val="20"/>
        </w:rPr>
      </w:pPr>
    </w:p>
    <w:p w14:paraId="7ED2312F" w14:textId="77777777" w:rsidR="00EB6F05" w:rsidRPr="00716BBA" w:rsidRDefault="00000000" w:rsidP="00716BBA">
      <w:pPr>
        <w:spacing w:before="200" w:after="120"/>
        <w:rPr>
          <w:rFonts w:ascii="Times New Roman" w:hAnsi="Times New Roman" w:cs="Times New Roman"/>
          <w:color w:val="EE0000"/>
          <w:sz w:val="20"/>
          <w:szCs w:val="20"/>
        </w:rPr>
      </w:pPr>
      <w:r w:rsidRPr="00716BBA">
        <w:rPr>
          <w:rFonts w:ascii="Times New Roman" w:hAnsi="Times New Roman" w:cs="Times New Roman"/>
          <w:b/>
          <w:color w:val="EE0000"/>
          <w:sz w:val="20"/>
          <w:szCs w:val="20"/>
        </w:rPr>
        <w:t>Q15. Which specific anti-TNF agents are preferred, and which one should be avoided, for a JIA patient who has active chronic anterior uveitis?</w:t>
      </w:r>
    </w:p>
    <w:p w14:paraId="60B5CB03" w14:textId="77777777" w:rsidR="00EB6F05" w:rsidRPr="00716BBA" w:rsidRDefault="00000000" w:rsidP="00716BBA">
      <w:pPr>
        <w:spacing w:before="160" w:after="60"/>
        <w:rPr>
          <w:rFonts w:ascii="Times New Roman" w:hAnsi="Times New Roman" w:cs="Times New Roman"/>
          <w:color w:val="EE0000"/>
          <w:sz w:val="20"/>
          <w:szCs w:val="20"/>
        </w:rPr>
      </w:pPr>
      <w:r w:rsidRPr="00716BBA">
        <w:rPr>
          <w:rFonts w:ascii="Times New Roman" w:hAnsi="Times New Roman" w:cs="Times New Roman"/>
          <w:b/>
          <w:color w:val="EE0000"/>
          <w:sz w:val="20"/>
          <w:szCs w:val="20"/>
        </w:rPr>
        <w:t>MODEL X</w:t>
      </w:r>
    </w:p>
    <w:p w14:paraId="393A245B"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For a JIA patient with active chronic anterior uveitis, the preferred anti-TNF agents are the monoclonal antibodies adalimumab and infliximab.</w:t>
      </w:r>
    </w:p>
    <w:p w14:paraId="069190FA"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Conversely, etanercept should be avoided, as it is ineffective for treating active uveitis and has been associated with a higher rate of new-onset uveitis flares compared to monoclonal anti-TNF antibodies.</w:t>
      </w:r>
    </w:p>
    <w:p w14:paraId="1973791A" w14:textId="77777777" w:rsidR="00EB6F05" w:rsidRPr="00716BBA" w:rsidRDefault="00000000" w:rsidP="00716BBA">
      <w:pPr>
        <w:spacing w:before="160" w:after="60"/>
        <w:rPr>
          <w:rFonts w:ascii="Times New Roman" w:hAnsi="Times New Roman" w:cs="Times New Roman"/>
          <w:color w:val="EE0000"/>
          <w:sz w:val="20"/>
          <w:szCs w:val="20"/>
        </w:rPr>
      </w:pPr>
      <w:r w:rsidRPr="00716BBA">
        <w:rPr>
          <w:rFonts w:ascii="Times New Roman" w:hAnsi="Times New Roman" w:cs="Times New Roman"/>
          <w:b/>
          <w:color w:val="EE0000"/>
          <w:sz w:val="20"/>
          <w:szCs w:val="20"/>
        </w:rPr>
        <w:t>MODEL Y</w:t>
      </w:r>
    </w:p>
    <w:p w14:paraId="7DF98959"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This is a clinically critical distinction with direct therapeutic consequences in pediatric rheumatology.</w:t>
      </w:r>
    </w:p>
    <w:p w14:paraId="6917104B"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Preferred Anti-TNF Monoclonal Antibodies:</w:t>
      </w:r>
    </w:p>
    <w:p w14:paraId="34D8FBEB"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First-Line Biologics: Preferred anti-TNF agents for JIA with active chronic anterior uveitis are the monoclonal antibodies, specifically adalimumab and infliximab.</w:t>
      </w:r>
    </w:p>
    <w:p w14:paraId="034524B7"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Adalimumab Evidence: Most strongly supported agent and is now considered the first-line biologic for refractory JIA-associated uveitis. It has the highest level of evidence including randomized controlled trial data specifically in pediatric uveitis, demonstrating significant reduction in anterior chamber inflammation, a corticosteroid-sparing effect, and prevention of structural ocular complications. It is used in combination with methotrexate for optimal efficacy and to reduce immunogenicity.</w:t>
      </w:r>
    </w:p>
    <w:p w14:paraId="0E9E38C1"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Infliximab Role: An alternative monoclonal antibody anti-TNF with established efficacy in refractory uveitis, typically used when adalimumab fails or is not tolerated, administered as an IV infusion.</w:t>
      </w:r>
    </w:p>
    <w:p w14:paraId="66F40766"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Agents to Avoid:</w:t>
      </w:r>
    </w:p>
    <w:p w14:paraId="3ACCC93E"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Etanercept Restriction: The agent that must be avoided is etanercept. This is a fusion protein rather than a true monoclonal antibody (it is a soluble TNF receptor construct), and multiple studies and registry data have demonstrated that etanercept is ineffective for JIA-associated uveitis and may paradoxically be associated with new onset or worsening of uveitis. This is a well-established class-within-class difference explicitly highlighted in all major pediatric rheumatology guidelines.</w:t>
      </w:r>
    </w:p>
    <w:p w14:paraId="5D512CA8"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Mechanistic Explanation: The difference relates to the distinct ways monoclonal antibodies and fusion proteins interact with membrane-bound versus soluble TNF and their differing effects on regulatory T-cell function and apoptosis in ocular tissues.</w:t>
      </w:r>
    </w:p>
    <w:p w14:paraId="0E2B20C5"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Critical Clinical Point: A JIA patient with active uveitis who requires anti-TNF therapy must receive adalimumab as the preferred choice, and etanercept must not be selected regardless of its efficacy for the articular disease component.</w:t>
      </w:r>
    </w:p>
    <w:p w14:paraId="2794E316" w14:textId="77777777" w:rsidR="00EB6F05" w:rsidRPr="00716BBA" w:rsidRDefault="00000000" w:rsidP="00716BBA">
      <w:pPr>
        <w:spacing w:before="160" w:after="60"/>
        <w:rPr>
          <w:rFonts w:ascii="Times New Roman" w:hAnsi="Times New Roman" w:cs="Times New Roman"/>
          <w:color w:val="EE0000"/>
          <w:sz w:val="20"/>
          <w:szCs w:val="20"/>
        </w:rPr>
      </w:pPr>
      <w:r w:rsidRPr="00716BBA">
        <w:rPr>
          <w:rFonts w:ascii="Times New Roman" w:hAnsi="Times New Roman" w:cs="Times New Roman"/>
          <w:b/>
          <w:color w:val="EE0000"/>
          <w:sz w:val="20"/>
          <w:szCs w:val="20"/>
        </w:rPr>
        <w:t>MODEL Z</w:t>
      </w:r>
    </w:p>
    <w:p w14:paraId="15D87B57"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Preferred anti-TNF agents in active JIA-associated chronic anterior uveitis</w:t>
      </w:r>
    </w:p>
    <w:p w14:paraId="2D0082DC"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For a JIA patient with active chronic anterior uveitis, the preferred anti-TNF agents are the monoclonal anti-TNF antibodies:</w:t>
      </w:r>
    </w:p>
    <w:p w14:paraId="07A90BFD"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Adalimumab — usually the preferred first anti-TNF option.</w:t>
      </w:r>
    </w:p>
    <w:p w14:paraId="7B3DA91F"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Infliximab — an accepted alternative, especially in severe, refractory, or sight-threatening disease.</w:t>
      </w:r>
    </w:p>
    <w:p w14:paraId="078DFDA8"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Etanercept should be avoided for active JIA-associated uveitis because it is less effective for ocular inflammation and is not recommended as the anti-TNF choice when uveitis is active.</w:t>
      </w:r>
    </w:p>
    <w:p w14:paraId="6D48BF04"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lastRenderedPageBreak/>
        <w:t>The key distinction is: use monoclonal anti-TNF therapy — adalimumab or infliximab — and avoid etanercept. This is consistent with ACR/Arthritis Foundation and SHARE recommendations for JIA-associated uveitis.</w:t>
      </w:r>
    </w:p>
    <w:p w14:paraId="1AD4E402" w14:textId="77777777" w:rsidR="00EB6F05" w:rsidRPr="00716BBA" w:rsidRDefault="00EB6F05" w:rsidP="00716BBA">
      <w:pPr>
        <w:spacing w:after="60"/>
        <w:rPr>
          <w:rFonts w:ascii="Times New Roman" w:hAnsi="Times New Roman" w:cs="Times New Roman"/>
          <w:sz w:val="20"/>
          <w:szCs w:val="20"/>
        </w:rPr>
      </w:pPr>
    </w:p>
    <w:p w14:paraId="743BD540" w14:textId="77777777" w:rsidR="00EB6F05" w:rsidRPr="00716BBA" w:rsidRDefault="00000000" w:rsidP="00716BBA">
      <w:pPr>
        <w:spacing w:before="200" w:after="120"/>
        <w:rPr>
          <w:rFonts w:ascii="Times New Roman" w:hAnsi="Times New Roman" w:cs="Times New Roman"/>
          <w:color w:val="EE0000"/>
          <w:sz w:val="20"/>
          <w:szCs w:val="20"/>
        </w:rPr>
      </w:pPr>
      <w:r w:rsidRPr="00716BBA">
        <w:rPr>
          <w:rFonts w:ascii="Times New Roman" w:hAnsi="Times New Roman" w:cs="Times New Roman"/>
          <w:b/>
          <w:color w:val="EE0000"/>
          <w:sz w:val="20"/>
          <w:szCs w:val="20"/>
        </w:rPr>
        <w:t>Q16. Which specific laboratory parameters must be monitored, and at what standard intervals, to assess drug toxicity during long-term Methotrexate therapy?</w:t>
      </w:r>
    </w:p>
    <w:p w14:paraId="3670DEC1" w14:textId="77777777" w:rsidR="00EB6F05" w:rsidRPr="00716BBA" w:rsidRDefault="00000000" w:rsidP="00716BBA">
      <w:pPr>
        <w:spacing w:before="160" w:after="60"/>
        <w:rPr>
          <w:rFonts w:ascii="Times New Roman" w:hAnsi="Times New Roman" w:cs="Times New Roman"/>
          <w:color w:val="EE0000"/>
          <w:sz w:val="20"/>
          <w:szCs w:val="20"/>
        </w:rPr>
      </w:pPr>
      <w:r w:rsidRPr="00716BBA">
        <w:rPr>
          <w:rFonts w:ascii="Times New Roman" w:hAnsi="Times New Roman" w:cs="Times New Roman"/>
          <w:b/>
          <w:color w:val="EE0000"/>
          <w:sz w:val="20"/>
          <w:szCs w:val="20"/>
        </w:rPr>
        <w:t>MODEL X</w:t>
      </w:r>
    </w:p>
    <w:p w14:paraId="231E582C"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To monitor drug toxicity during long-term methotrexate therapy, guidelines recommend assessing the following laboratory parameters:</w:t>
      </w:r>
    </w:p>
    <w:p w14:paraId="5E296374"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Complete Blood Count (CBC): To monitor for myelosuppression (leukopenia, anemia, thrombocytopenia).</w:t>
      </w:r>
    </w:p>
    <w:p w14:paraId="74D94050"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Liver Function Tests (LFTs): Specifically alanine aminotransferase (ALT) and aspartate aminotransferase (AST) to monitor for hepatotoxicity.</w:t>
      </w:r>
    </w:p>
    <w:p w14:paraId="4D8541D6"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Renal Function Tests: Serum creatinine or blood urea nitrogen (BUN) to assess clearance, as methotrexate is renally excreted.</w:t>
      </w:r>
    </w:p>
    <w:p w14:paraId="0C3B837D"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Standard Intervals:</w:t>
      </w:r>
    </w:p>
    <w:p w14:paraId="62301698"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Initiation/Dose Escalation: Every 2 to 4 weeks for the first 1 to 3 months.</w:t>
      </w:r>
    </w:p>
    <w:p w14:paraId="69DFAA4B"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Maintenance (Stable Dose): Every 8 to 12 weeks thereafter.</w:t>
      </w:r>
    </w:p>
    <w:p w14:paraId="449500B9" w14:textId="77777777" w:rsidR="00EB6F05" w:rsidRPr="00716BBA" w:rsidRDefault="00000000" w:rsidP="00716BBA">
      <w:pPr>
        <w:spacing w:before="160" w:after="60"/>
        <w:rPr>
          <w:rFonts w:ascii="Times New Roman" w:hAnsi="Times New Roman" w:cs="Times New Roman"/>
          <w:color w:val="EE0000"/>
          <w:sz w:val="20"/>
          <w:szCs w:val="20"/>
        </w:rPr>
      </w:pPr>
      <w:r w:rsidRPr="00716BBA">
        <w:rPr>
          <w:rFonts w:ascii="Times New Roman" w:hAnsi="Times New Roman" w:cs="Times New Roman"/>
          <w:b/>
          <w:color w:val="EE0000"/>
          <w:sz w:val="20"/>
          <w:szCs w:val="20"/>
        </w:rPr>
        <w:t>MODEL Y</w:t>
      </w:r>
    </w:p>
    <w:p w14:paraId="23498E41"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Long-term methotrexate therapy in JIA requires systematic laboratory monitoring targeting its two principal toxicity profiles — hepatotoxicity and myelosuppression — with intervals adjusted according to treatment phase.</w:t>
      </w:r>
    </w:p>
    <w:p w14:paraId="57E30D4F"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Mandatory Laboratory Parameters:</w:t>
      </w:r>
    </w:p>
    <w:p w14:paraId="3C82644B"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Hematology: Complete blood count (CBC) with differential and platelets.</w:t>
      </w:r>
    </w:p>
    <w:p w14:paraId="714E6DDB"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Hepatic Function: Liver function tests including AST, ALT, and albumin.</w:t>
      </w:r>
    </w:p>
    <w:p w14:paraId="68D957E0"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Renal Function: Renal function tests including serum creatinine and urinalysis, as renal impairment reduces MTX clearance and dramatically increases toxicity risk.</w:t>
      </w:r>
    </w:p>
    <w:p w14:paraId="750D2D2C"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Monitoring Intervals by Treatment Phase:</w:t>
      </w:r>
    </w:p>
    <w:p w14:paraId="158AFA68"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Initiation and Dose Adjustment Phase: Typically the first 3 to 6 months; monitoring is required every 4 to 6 weeks to establish individual patient tolerance and detect early toxicity signals.</w:t>
      </w:r>
    </w:p>
    <w:p w14:paraId="0FB52035"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Stable Long-Term Phase: Once the patient is on a stable dose with consistently normal results, monitoring intervals can be extended to every 8 to 12 weeks for the duration of long-term therapy.</w:t>
      </w:r>
    </w:p>
    <w:p w14:paraId="32A13C1D"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Specific Toxicity Thresholds and Actions:</w:t>
      </w:r>
    </w:p>
    <w:p w14:paraId="6E8BFA7A"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Hepatotoxicity Threshold: Persistent ALT or AST elevation greater than 3 times the upper limit of normal (ULN) on two consecutive measurements mandates dose reduction or temporary discontinuation.</w:t>
      </w:r>
    </w:p>
    <w:p w14:paraId="0B150146"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Myelosuppression Threshold: Cytopenias — particularly leukopenia, thrombocytopenia, or unexpected anemia — require immediate dose interruption and clinical reassessment.</w:t>
      </w:r>
    </w:p>
    <w:p w14:paraId="3FDEA3EF"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Concomitant Therapy and Prevention:</w:t>
      </w:r>
    </w:p>
    <w:p w14:paraId="5B43E8EE"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Folic Acid Supplementation: Administered at 1 mg daily or 5 mg once weekly; must be confirmed as concurrent therapy at every review, as it reduces mucosal, hematological, and hepatic toxicity without diminishing therapeutic efficacy.</w:t>
      </w:r>
    </w:p>
    <w:p w14:paraId="574BDBE2"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Additional Clinical Monitoring Considerations:</w:t>
      </w:r>
    </w:p>
    <w:p w14:paraId="143F5CBF"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Temporary Treatment Cessation: MTX should be withheld during intercurrent serious infections, significant dehydration, or when nephrotoxic medications are co-administered.</w:t>
      </w:r>
    </w:p>
    <w:p w14:paraId="5DD5D796"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Concomitant NSAID Interaction: NSAIDs used concurrently in JIA can reduce renal MTX clearance and increase toxicity, requiring clinical awareness though they are not an absolute contraindication at standard JIA doses.</w:t>
      </w:r>
    </w:p>
    <w:p w14:paraId="6FBC8B47"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lastRenderedPageBreak/>
        <w:t>Critical Clinical Point: Routine liver biopsy is not recommended in pediatric patients on MTX for JIA in the absence of persistently abnormal liver enzymes, distinguishing pediatric rheumatology practice from some adult dermatology protocols where cumulative dose thresholds historically triggered biopsy.</w:t>
      </w:r>
    </w:p>
    <w:p w14:paraId="2F381150" w14:textId="77777777" w:rsidR="00EB6F05" w:rsidRPr="00716BBA" w:rsidRDefault="00000000" w:rsidP="00716BBA">
      <w:pPr>
        <w:spacing w:before="160" w:after="60"/>
        <w:rPr>
          <w:rFonts w:ascii="Times New Roman" w:hAnsi="Times New Roman" w:cs="Times New Roman"/>
          <w:color w:val="EE0000"/>
          <w:sz w:val="20"/>
          <w:szCs w:val="20"/>
        </w:rPr>
      </w:pPr>
      <w:r w:rsidRPr="00716BBA">
        <w:rPr>
          <w:rFonts w:ascii="Times New Roman" w:hAnsi="Times New Roman" w:cs="Times New Roman"/>
          <w:b/>
          <w:color w:val="EE0000"/>
          <w:sz w:val="20"/>
          <w:szCs w:val="20"/>
        </w:rPr>
        <w:t>MODEL Z</w:t>
      </w:r>
    </w:p>
    <w:p w14:paraId="14FD00E8"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Methotrexate toxicity monitoring in JIA</w:t>
      </w:r>
    </w:p>
    <w:p w14:paraId="49188BC3"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During long-term methotrexate therapy, the standard laboratory toxicity monitoring should include:</w:t>
      </w:r>
    </w:p>
    <w:p w14:paraId="4DB69C9E"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Complete blood count with differential and platelet count</w:t>
      </w:r>
    </w:p>
    <w:p w14:paraId="71A33F00"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to detect leukopenia, neutropenia, anemia, or thrombocytopenia.</w:t>
      </w:r>
    </w:p>
    <w:p w14:paraId="1EB4C888"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Liver function tests</w:t>
      </w:r>
    </w:p>
    <w:p w14:paraId="187DC1AE"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especially ALT and AST, with bilirubin/albumin as part of broader hepatic assessment when clinically indicated.</w:t>
      </w:r>
    </w:p>
    <w:p w14:paraId="2B7BF380"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Renal function tests</w:t>
      </w:r>
    </w:p>
    <w:p w14:paraId="4D392D52"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typically serum creatinine and estimated renal function, because impaired renal clearance increases methotrexate toxicity risk.</w:t>
      </w:r>
    </w:p>
    <w:p w14:paraId="258C88FE"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Recommended timing:</w:t>
      </w:r>
    </w:p>
    <w:p w14:paraId="1B7048D3"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Baseline before starting methotrexate</w:t>
      </w:r>
    </w:p>
    <w:p w14:paraId="3DA6843E"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Within the first 1–2 months after initiation</w:t>
      </w:r>
    </w:p>
    <w:p w14:paraId="382C2434"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Then every 3–4 months during stable long-term therapy</w:t>
      </w:r>
    </w:p>
    <w:p w14:paraId="1075A507"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Monitoring should be done more frequently after dose escalation, abnormal laboratory results, intercurrent illness, renal impairment, concomitant hepatotoxic drugs, or clinical signs of toxicity.</w:t>
      </w:r>
    </w:p>
    <w:p w14:paraId="0C48B19F" w14:textId="77777777" w:rsidR="00EB6F05"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The key answer is: CBC with differential/platelets, liver enzymes, and renal function at baseline, within 1–2 months, then every 3–4 months while on methotrexate. This is the ACR-recommended standard monitoring schedule for children with JIA receiving methotrexate.</w:t>
      </w:r>
    </w:p>
    <w:p w14:paraId="31419EE7" w14:textId="77777777" w:rsidR="00644855" w:rsidRPr="00716BBA" w:rsidRDefault="00644855" w:rsidP="00716BBA">
      <w:pPr>
        <w:spacing w:after="60"/>
        <w:ind w:left="216"/>
        <w:rPr>
          <w:rFonts w:ascii="Times New Roman" w:hAnsi="Times New Roman" w:cs="Times New Roman"/>
          <w:sz w:val="20"/>
          <w:szCs w:val="20"/>
        </w:rPr>
      </w:pPr>
    </w:p>
    <w:p w14:paraId="4A7A410F" w14:textId="77777777" w:rsidR="00644855" w:rsidRPr="00644855" w:rsidRDefault="00644855" w:rsidP="00644855">
      <w:pPr>
        <w:rPr>
          <w:rFonts w:ascii="Times New Roman" w:hAnsi="Times New Roman" w:cs="Times New Roman"/>
          <w:b/>
          <w:bCs/>
        </w:rPr>
      </w:pPr>
      <w:r w:rsidRPr="00644855">
        <w:rPr>
          <w:rFonts w:ascii="Times New Roman" w:hAnsi="Times New Roman" w:cs="Times New Roman"/>
          <w:b/>
          <w:bCs/>
        </w:rPr>
        <w:t xml:space="preserve">Category C: Case Scenarios </w:t>
      </w:r>
    </w:p>
    <w:p w14:paraId="438689ED" w14:textId="77777777" w:rsidR="00EB6F05" w:rsidRPr="00716BBA" w:rsidRDefault="00000000" w:rsidP="00716BBA">
      <w:pPr>
        <w:spacing w:before="200" w:after="120"/>
        <w:rPr>
          <w:rFonts w:ascii="Times New Roman" w:hAnsi="Times New Roman" w:cs="Times New Roman"/>
          <w:color w:val="EE0000"/>
          <w:sz w:val="20"/>
          <w:szCs w:val="20"/>
        </w:rPr>
      </w:pPr>
      <w:r w:rsidRPr="00716BBA">
        <w:rPr>
          <w:rFonts w:ascii="Times New Roman" w:hAnsi="Times New Roman" w:cs="Times New Roman"/>
          <w:b/>
          <w:color w:val="EE0000"/>
          <w:sz w:val="20"/>
          <w:szCs w:val="20"/>
        </w:rPr>
        <w:t>Q17. A 13-year-old girl with RF-negative Polyarticular Juvenile Idiopathic Arthritis (JIA) continues to have active arthritis involving both wrists, several metacarpophalangeal (MCP) joints, and one ankle despite 8 months of Methotrexate therapy and 6 months of Etanercept treatment. Inflammatory markers remain elevated, although there is no evidence of structural joint damage on imaging. How should her treatment strategy be modified?</w:t>
      </w:r>
    </w:p>
    <w:p w14:paraId="1B661A53" w14:textId="77777777" w:rsidR="00EB6F05" w:rsidRPr="00716BBA" w:rsidRDefault="00000000" w:rsidP="00716BBA">
      <w:pPr>
        <w:spacing w:before="160" w:after="60"/>
        <w:rPr>
          <w:rFonts w:ascii="Times New Roman" w:hAnsi="Times New Roman" w:cs="Times New Roman"/>
          <w:color w:val="EE0000"/>
          <w:sz w:val="20"/>
          <w:szCs w:val="20"/>
        </w:rPr>
      </w:pPr>
      <w:r w:rsidRPr="00716BBA">
        <w:rPr>
          <w:rFonts w:ascii="Times New Roman" w:hAnsi="Times New Roman" w:cs="Times New Roman"/>
          <w:b/>
          <w:color w:val="EE0000"/>
          <w:sz w:val="20"/>
          <w:szCs w:val="20"/>
        </w:rPr>
        <w:t>MODEL X</w:t>
      </w:r>
    </w:p>
    <w:p w14:paraId="370C91BC"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Based on current international pediatric rheumatology guidelines, the recommended treatment modification is to switch to a biologic agent with a different mechanism of action.</w:t>
      </w:r>
    </w:p>
    <w:p w14:paraId="783F99E2"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Because the patient has active, high-disease-activity polyarticular JIA with an inadequate clinical response to her first tumor necrosis factor (TNF) inhibitor (etanercept) after an adequate trial period (6 months), the preferred strategies include transitioning to:</w:t>
      </w:r>
    </w:p>
    <w:p w14:paraId="3AFF62F8"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An IL-6 inhibitor (specifically tocilizumab), or</w:t>
      </w:r>
    </w:p>
    <w:p w14:paraId="7284A546"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A T-cell costimulation inhibitor (specifically abatacept).</w:t>
      </w:r>
    </w:p>
    <w:p w14:paraId="65C55ED2"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Methotrexate therapy should be continued in combination with the new biologic agent to maximize efficacy, provided it is well tolerated. Switching to a second TNF inhibitor (such as adalimumab or infliximab) is an acceptable alternative but is generally less favored than switching classes when a patient exhibits a primary lack of efficacy to the initial anti-TNF agent.</w:t>
      </w:r>
    </w:p>
    <w:p w14:paraId="5FD389CF" w14:textId="77777777" w:rsidR="00EB6F05" w:rsidRPr="00716BBA" w:rsidRDefault="00000000" w:rsidP="00716BBA">
      <w:pPr>
        <w:spacing w:before="160" w:after="60"/>
        <w:rPr>
          <w:rFonts w:ascii="Times New Roman" w:hAnsi="Times New Roman" w:cs="Times New Roman"/>
          <w:color w:val="EE0000"/>
          <w:sz w:val="20"/>
          <w:szCs w:val="20"/>
        </w:rPr>
      </w:pPr>
      <w:r w:rsidRPr="00716BBA">
        <w:rPr>
          <w:rFonts w:ascii="Times New Roman" w:hAnsi="Times New Roman" w:cs="Times New Roman"/>
          <w:b/>
          <w:color w:val="EE0000"/>
          <w:sz w:val="20"/>
          <w:szCs w:val="20"/>
        </w:rPr>
        <w:t>MODEL Y</w:t>
      </w:r>
    </w:p>
    <w:p w14:paraId="515ABD23"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This clinical scenario represents inadequate response to first-line biologic therapy and requires systematic reassessment before escalation.</w:t>
      </w:r>
    </w:p>
    <w:p w14:paraId="2116D9FC"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lastRenderedPageBreak/>
        <w:t>Before changing therapy, confirm true pharmacological failure by addressing the following. Verify MTX dosing is optimized at 15mg/m² weekly with subcutaneous administration, as oral bioavailability is significantly inferior. Confirm etanercept dosing at 0.8mg/kg weekly maximum 50mg. Assess and document adherence rigorously, as non-adherence is the most common cause of apparent treatment failure in adolescents. Exclude intercurrent infection, particularly occult infection, as a driver of persistent inflammation. Reassess the diagnosis to ensure this remains RF-negative polyarticular JIA and not an evolving connective tissue disease, psoriatic arthritis, or enthesitis-related arthritis that may warrant different targeted therapy.</w:t>
      </w:r>
    </w:p>
    <w:p w14:paraId="04B54C1A"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If true treatment failure is confirmed after this assessment, the recommended strategy is to switch to an alternative biologic with a different mechanism of action rather than adding a second biologic or simply increasing doses.</w:t>
      </w:r>
    </w:p>
    <w:p w14:paraId="3A3533B9"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The evidence-based options supported by ACR 2021 and EULAR 2023 guidelines are as follows.</w:t>
      </w:r>
    </w:p>
    <w:p w14:paraId="260E157A"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Switching to a different TNF inhibitor is a reasonable first step. Adalimumab is the preferred alternative TNF inhibitor in polyarticular JIA with established pediatric trial evidence. Some patients who fail etanercept respond to adalimumab and vice versa, likely due to differences in molecular structure and binding characteristics.</w:t>
      </w:r>
    </w:p>
    <w:p w14:paraId="055AB7ED"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If TNF inhibitor switch fails or if there are features suggesting this pathway is not the primary driver, switching to abatacept is strongly supported by evidence. The AWAKEN trial demonstrated efficacy of abatacept in polyarticular JIA patients who had failed TNF inhibitor therapy. Abatacept targets T-cell costimulation via CD80/CD86-CTLA4-Ig mechanism and represents a mechanistically distinct approach.</w:t>
      </w:r>
    </w:p>
    <w:p w14:paraId="044EA0F8"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Tocilizumab targeting IL-6 receptor is an alternative supported by the CHERISH trial in polyarticular JIA and is particularly appropriate if there are features of elevated inflammatory markers disproportionate to clinical synovitis, as IL-6 is a dominant driver of acute phase response.</w:t>
      </w:r>
    </w:p>
    <w:p w14:paraId="57820177"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MTX should be continued alongside biologic therapy unless contraindicated, as combination therapy consistently demonstrates superior outcomes to biologic monotherapy in polyarticular JIA by reducing immunogenicity and providing additive anti-inflammatory effect.</w:t>
      </w:r>
    </w:p>
    <w:p w14:paraId="317F14FD"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The absence of structural damage on imaging at this stage is clinically significant and favorable. It indicates that the treatment window remains open and that escalation now, before erosive damage develops, is appropriate and urgent. Persistent synovitis without current damage does not justify watchful waiting, as erosive progression can occur rapidly in undertreated polyarticular disease.</w:t>
      </w:r>
    </w:p>
    <w:p w14:paraId="7354F0D1"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Intraarticular corticosteroid injections to the most symptomatic joints, particularly the ankle, can provide bridge therapy during the transition period between biologics, reducing local inflammation while awaiting onset of action of the new agent.</w:t>
      </w:r>
    </w:p>
    <w:p w14:paraId="1CA789FF"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Systemic corticosteroids should be avoided or strictly minimized given her age, growth considerations, and the absence of systemic features.</w:t>
      </w:r>
    </w:p>
    <w:p w14:paraId="6265D014"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Treat-to-target reassessment should occur at 3 months after biologic switch using standardized outcome measures including cJADAS-10, with the explicit target of clinical inactive disease defined by Wallace criteria.</w:t>
      </w:r>
    </w:p>
    <w:p w14:paraId="76EC844D" w14:textId="77777777" w:rsidR="00EB6F05" w:rsidRPr="00716BBA" w:rsidRDefault="00000000" w:rsidP="00716BBA">
      <w:pPr>
        <w:spacing w:before="160" w:after="60"/>
        <w:rPr>
          <w:rFonts w:ascii="Times New Roman" w:hAnsi="Times New Roman" w:cs="Times New Roman"/>
          <w:color w:val="EE0000"/>
          <w:sz w:val="20"/>
          <w:szCs w:val="20"/>
        </w:rPr>
      </w:pPr>
      <w:r w:rsidRPr="00716BBA">
        <w:rPr>
          <w:rFonts w:ascii="Times New Roman" w:hAnsi="Times New Roman" w:cs="Times New Roman"/>
          <w:b/>
          <w:color w:val="EE0000"/>
          <w:sz w:val="20"/>
          <w:szCs w:val="20"/>
        </w:rPr>
        <w:t>MODEL Z</w:t>
      </w:r>
    </w:p>
    <w:p w14:paraId="6A9C7388"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Treatment modification</w:t>
      </w:r>
    </w:p>
    <w:p w14:paraId="0F092876"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This patient has persistent active RF-negative polyarticular-course JIA despite an adequate trial of methotrexate and a first TNF inhibitor, so continuing the same regimen is not appropriate.</w:t>
      </w:r>
    </w:p>
    <w:p w14:paraId="6D61FA9A"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The recommended strategy is to switch biologic therapy, preferably to a non-TNF biologic with a different mechanism of action, rather than simply continuing etanercept. Appropriate next options include:</w:t>
      </w:r>
    </w:p>
    <w:p w14:paraId="62D7C793"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Tocilizumab — IL-6 receptor inhibition</w:t>
      </w:r>
    </w:p>
    <w:p w14:paraId="0B104652"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Abatacept — T-cell co-stimulation modulation</w:t>
      </w:r>
    </w:p>
    <w:p w14:paraId="0A666B32"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Methotrexate may be continued with the new biologic if tolerated, especially if there has been partial benefit or to support disease control.</w:t>
      </w:r>
    </w:p>
    <w:p w14:paraId="162B0182"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Switching to a second TNF inhibitor, such as adalimumab, may be considered in selected cases, particularly with secondary loss of response or uveitis-related indications, but in this case the pattern suggests inadequate primary response to etanercept, so a mechanism switch is generally favored.</w:t>
      </w:r>
    </w:p>
    <w:p w14:paraId="0AE58F61"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lastRenderedPageBreak/>
        <w:t>The absence of structural damage should not delay escalation; the aim is treat-to-target, achieving inactive disease or at least low disease activity before irreversible joint damage develops. Short-term bridging measures may be used if needed, but long-term systemic glucocorticoids should be avoided.</w:t>
      </w:r>
    </w:p>
    <w:p w14:paraId="23BA23BA"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Key answer: stop etanercept and switch to a non-TNF biologic, most commonly tocilizumab or abatacept, while continuing close disease activity monitoring. Current ACR guidance supports changing biologic/targeted therapy when active polyarticular JIA persists despite methotrexate and TNF inhibitor treatment.</w:t>
      </w:r>
    </w:p>
    <w:p w14:paraId="36F965D8" w14:textId="77777777" w:rsidR="00EB6F05" w:rsidRPr="00716BBA" w:rsidRDefault="00EB6F05" w:rsidP="00716BBA">
      <w:pPr>
        <w:spacing w:after="60"/>
        <w:rPr>
          <w:rFonts w:ascii="Times New Roman" w:hAnsi="Times New Roman" w:cs="Times New Roman"/>
          <w:sz w:val="20"/>
          <w:szCs w:val="20"/>
        </w:rPr>
      </w:pPr>
    </w:p>
    <w:p w14:paraId="18C4F00E" w14:textId="77777777" w:rsidR="00EB6F05" w:rsidRPr="00716BBA" w:rsidRDefault="00000000" w:rsidP="00716BBA">
      <w:pPr>
        <w:spacing w:before="200" w:after="120"/>
        <w:rPr>
          <w:rFonts w:ascii="Times New Roman" w:hAnsi="Times New Roman" w:cs="Times New Roman"/>
          <w:color w:val="EE0000"/>
          <w:sz w:val="20"/>
          <w:szCs w:val="20"/>
        </w:rPr>
      </w:pPr>
      <w:r w:rsidRPr="00716BBA">
        <w:rPr>
          <w:rFonts w:ascii="Times New Roman" w:hAnsi="Times New Roman" w:cs="Times New Roman"/>
          <w:b/>
          <w:color w:val="EE0000"/>
          <w:sz w:val="20"/>
          <w:szCs w:val="20"/>
        </w:rPr>
        <w:t>Q18. A 3-year-old girl with Oligoarticular JIA involving the knee and wrist shows persistent active synovitis despite maximum-dose NSAIDs and repeated intra-articular corticosteroid injections. What is the next recommended step in her therapeutic management?</w:t>
      </w:r>
    </w:p>
    <w:p w14:paraId="563A01BB" w14:textId="77777777" w:rsidR="00EB6F05" w:rsidRPr="00716BBA" w:rsidRDefault="00000000" w:rsidP="00716BBA">
      <w:pPr>
        <w:spacing w:before="160" w:after="60"/>
        <w:rPr>
          <w:rFonts w:ascii="Times New Roman" w:hAnsi="Times New Roman" w:cs="Times New Roman"/>
          <w:color w:val="EE0000"/>
          <w:sz w:val="20"/>
          <w:szCs w:val="20"/>
        </w:rPr>
      </w:pPr>
      <w:r w:rsidRPr="00716BBA">
        <w:rPr>
          <w:rFonts w:ascii="Times New Roman" w:hAnsi="Times New Roman" w:cs="Times New Roman"/>
          <w:b/>
          <w:color w:val="EE0000"/>
          <w:sz w:val="20"/>
          <w:szCs w:val="20"/>
        </w:rPr>
        <w:t>MODEL X</w:t>
      </w:r>
    </w:p>
    <w:p w14:paraId="0A614910"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Based on current international pediatric rheumatology guidelines, the recommended next step in management is the initiation of a conventional synthetic disease-modifying antirheumatic drug (csDMARD), with methotrexate being the preferred first-choice agent.</w:t>
      </w:r>
    </w:p>
    <w:p w14:paraId="513CB464"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For a patient with oligoarticular JIA who has an inadequate response to initial first-line therapies (NSAIDs and intra-articular glucocorticoid injections), systemic csDMARD therapy is indicated to control persistent synovitis, prevent structural joint damage, and minimize the risk of future joint contractures.</w:t>
      </w:r>
    </w:p>
    <w:p w14:paraId="20E14868" w14:textId="77777777" w:rsidR="00EB6F05" w:rsidRPr="00716BBA" w:rsidRDefault="00000000" w:rsidP="00716BBA">
      <w:pPr>
        <w:spacing w:before="160" w:after="60"/>
        <w:rPr>
          <w:rFonts w:ascii="Times New Roman" w:hAnsi="Times New Roman" w:cs="Times New Roman"/>
          <w:color w:val="EE0000"/>
          <w:sz w:val="20"/>
          <w:szCs w:val="20"/>
        </w:rPr>
      </w:pPr>
      <w:r w:rsidRPr="00716BBA">
        <w:rPr>
          <w:rFonts w:ascii="Times New Roman" w:hAnsi="Times New Roman" w:cs="Times New Roman"/>
          <w:b/>
          <w:color w:val="EE0000"/>
          <w:sz w:val="20"/>
          <w:szCs w:val="20"/>
        </w:rPr>
        <w:t>MODEL Y</w:t>
      </w:r>
    </w:p>
    <w:p w14:paraId="7DA37CB8"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This scenario represents NSAID and intraarticular corticosteroid refractory oligoarticular JIA and the next step is clearly defined in current guidelines.</w:t>
      </w:r>
    </w:p>
    <w:p w14:paraId="03F48EDE"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Before escalating, confirm the following. Verify that intraarticular injections were performed under image guidance, preferably ultrasound, with triamcinolone hexacetonide as the agent of choice, as it has superior duration of effect compared to triamcinolone acetonide and methylprednisolone. Confirm that an adequate interval was observed between injections and that at least two properly administered injections have failed before declaring refractory disease. Reassess whether the wrist involvement represents true synovitis or tenosynovitis, as the latter may respond differently.</w:t>
      </w:r>
    </w:p>
    <w:p w14:paraId="58197D0A"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The next recommended step per ACR 2021 and EULAR 2023 guidelines is initiation of methotrexate as the first systemic DMARD.</w:t>
      </w:r>
    </w:p>
    <w:p w14:paraId="64DED0C8"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MTX is the established standard of care at this stage. The recommended dose is 10-15mg/m² weekly administered subcutaneously to optimize bioavailability, with folic acid supplementation at 1mg daily on non-MTX days to reduce mucosal and gastrointestinal side effects. Subcutaneous administration is preferred over oral particularly in young children where tablet splitting and absorption variability are concerns.</w:t>
      </w:r>
    </w:p>
    <w:p w14:paraId="52FC74ED"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Several practical points are important in a 3-year-old. Baseline investigations before starting MTX must include full blood count, liver enzymes, renal function, and hepatitis B and C serology. Monthly monitoring of blood count and liver enzymes is required for the first 3 months, then every 3 months thereafter if stable. Sun protection advice regarding UV sensitivity is relevant.</w:t>
      </w:r>
    </w:p>
    <w:p w14:paraId="3A1E93FF"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Expected response time to MTX is 6-12 weeks for initial effect and up to 3-6 months for maximum benefit. A repeat intraarticular injection at the time of MTX initiation is reasonable to provide immediate local disease control while awaiting systemic drug effect.</w:t>
      </w:r>
    </w:p>
    <w:p w14:paraId="422066B1"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If MTX at optimized subcutaneous dosing fails after an adequate trial of 3-6 months, escalation to biologic therapy is indicated. In oligoarticular JIA, the preferred first biologic is adalimumab, supported by the CLIPPER trial evidence in pediatric populations. Etanercept is an alternative but adalimumab is generally preferred particularly given the young age and uveitis risk profile, as adalimumab has established efficacy in JIA-associated uveitis whereas etanercept does not.</w:t>
      </w:r>
    </w:p>
    <w:p w14:paraId="701071F5"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The uveitis surveillance context is critical in this child. ANA-positive oligoarticular JIA in a young girl carries the highest uveitis risk, up to 20-30%, and ophthalmologic screening every 3 months must continue uninterrupted regardless of joint disease trajectory. If subclinical uveitis is already present or develops, this accelerates the indication for adalimumab specifically given its dual efficacy in joint and eye disease.</w:t>
      </w:r>
    </w:p>
    <w:p w14:paraId="41F0C628"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The treatment target remains clinical inactive disease by Wallace criteria assessed at 3-month intervals.</w:t>
      </w:r>
    </w:p>
    <w:p w14:paraId="4CEEB3A3" w14:textId="77777777" w:rsidR="00EB6F05" w:rsidRPr="00716BBA" w:rsidRDefault="00000000" w:rsidP="00716BBA">
      <w:pPr>
        <w:spacing w:before="160" w:after="60"/>
        <w:rPr>
          <w:rFonts w:ascii="Times New Roman" w:hAnsi="Times New Roman" w:cs="Times New Roman"/>
          <w:color w:val="EE0000"/>
          <w:sz w:val="20"/>
          <w:szCs w:val="20"/>
        </w:rPr>
      </w:pPr>
      <w:r w:rsidRPr="00716BBA">
        <w:rPr>
          <w:rFonts w:ascii="Times New Roman" w:hAnsi="Times New Roman" w:cs="Times New Roman"/>
          <w:b/>
          <w:color w:val="EE0000"/>
          <w:sz w:val="20"/>
          <w:szCs w:val="20"/>
        </w:rPr>
        <w:lastRenderedPageBreak/>
        <w:t>MODEL Z</w:t>
      </w:r>
    </w:p>
    <w:p w14:paraId="7C6E5C83"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Next recommended step</w:t>
      </w:r>
    </w:p>
    <w:p w14:paraId="30E007CD"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This 3-year-old girl has persistent active oligoarticular JIA despite adequate first-line therapy with NSAIDs and intra-articular glucocorticoid injections. The next recommended step is to start a conventional synthetic DMARD, with methotrexate as the preferred agent.</w:t>
      </w:r>
    </w:p>
    <w:p w14:paraId="1D9800D7"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Methotrexate is generally preferred because it has the strongest pediatric experience and guideline support for oligoarthritis that remains active after local therapy. It is usually given once weekly, with folic acid supplementation and routine toxicity monitoring.</w:t>
      </w:r>
    </w:p>
    <w:p w14:paraId="6B6508E0"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A biologic DMARD is not usually the immediate next step unless there are major poor-prognosis features or rapid escalation is clinically necessary. If active synovitis persists despite an adequate methotrexate trial, escalation to a biologic DMARD, most commonly a TNF inhibitor, would then be appropriate.</w:t>
      </w:r>
    </w:p>
    <w:p w14:paraId="1E12723D"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The key answer is: initiate methotrexate as systemic therapy after failure of NSAIDs and intra-articular steroid injections; escalate to biologic therapy only if methotrexate is ineffective or not tolerated.</w:t>
      </w:r>
    </w:p>
    <w:p w14:paraId="78929CA9" w14:textId="77777777" w:rsidR="00EB6F05" w:rsidRPr="00716BBA" w:rsidRDefault="00000000" w:rsidP="00716BBA">
      <w:pPr>
        <w:spacing w:before="200" w:after="120"/>
        <w:rPr>
          <w:rFonts w:ascii="Times New Roman" w:hAnsi="Times New Roman" w:cs="Times New Roman"/>
          <w:color w:val="EE0000"/>
          <w:sz w:val="20"/>
          <w:szCs w:val="20"/>
        </w:rPr>
      </w:pPr>
      <w:r w:rsidRPr="00716BBA">
        <w:rPr>
          <w:rFonts w:ascii="Times New Roman" w:hAnsi="Times New Roman" w:cs="Times New Roman"/>
          <w:b/>
          <w:color w:val="EE0000"/>
          <w:sz w:val="20"/>
          <w:szCs w:val="20"/>
        </w:rPr>
        <w:t>Q19. A 12-year-old female with RF-positive Polyarticular JIA experiences progressive severe pain and limited motion in her hip and jaw despite 9 months of Methotrexate and Adalimumab therapy. How should her biologic treatment framework be modified?</w:t>
      </w:r>
    </w:p>
    <w:p w14:paraId="2B90F183" w14:textId="77777777" w:rsidR="00EB6F05" w:rsidRPr="00716BBA" w:rsidRDefault="00000000" w:rsidP="00716BBA">
      <w:pPr>
        <w:spacing w:before="160" w:after="60"/>
        <w:rPr>
          <w:rFonts w:ascii="Times New Roman" w:hAnsi="Times New Roman" w:cs="Times New Roman"/>
          <w:color w:val="EE0000"/>
          <w:sz w:val="20"/>
          <w:szCs w:val="20"/>
        </w:rPr>
      </w:pPr>
      <w:r w:rsidRPr="00716BBA">
        <w:rPr>
          <w:rFonts w:ascii="Times New Roman" w:hAnsi="Times New Roman" w:cs="Times New Roman"/>
          <w:b/>
          <w:color w:val="EE0000"/>
          <w:sz w:val="20"/>
          <w:szCs w:val="20"/>
        </w:rPr>
        <w:t>MODEL X</w:t>
      </w:r>
    </w:p>
    <w:p w14:paraId="728DFAA4"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Based on current international pediatric rheumatology guidelines, the recommended modification to her treatment framework is to switch to a biologic agent with a different mechanism of action.</w:t>
      </w:r>
    </w:p>
    <w:p w14:paraId="4BD54D6E"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Given that the patient has high-risk, severe, refractory RF-positive polyarticular JIA with progressive involvement of critical joints (hip and temporomandibular joint) despite an adequate 9-month trial of a monoclonal anti-TNF agent (adalimumab), the preferred options are:</w:t>
      </w:r>
    </w:p>
    <w:p w14:paraId="5108455C"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Tocilizumab (an IL-6 inhibitor), or</w:t>
      </w:r>
    </w:p>
    <w:p w14:paraId="4559B071"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Abatacept (a T-cell costimulation inhibitor).</w:t>
      </w:r>
    </w:p>
    <w:p w14:paraId="1CD2A69C"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Because hip and jaw involvement carry an exceptionally high risk of rapid structural damage and long-term functional disability, switching classes is preferred over transitioning to a second TNF inhibitor to achieve rapid inflammation control. Background methotrexate should be maintained in combination with the new biologic to optimize clinical efficacy.</w:t>
      </w:r>
    </w:p>
    <w:p w14:paraId="584E740E" w14:textId="77777777" w:rsidR="00EB6F05" w:rsidRPr="00716BBA" w:rsidRDefault="00000000" w:rsidP="00716BBA">
      <w:pPr>
        <w:spacing w:before="160" w:after="60"/>
        <w:rPr>
          <w:rFonts w:ascii="Times New Roman" w:hAnsi="Times New Roman" w:cs="Times New Roman"/>
          <w:color w:val="EE0000"/>
          <w:sz w:val="20"/>
          <w:szCs w:val="20"/>
        </w:rPr>
      </w:pPr>
      <w:r w:rsidRPr="00716BBA">
        <w:rPr>
          <w:rFonts w:ascii="Times New Roman" w:hAnsi="Times New Roman" w:cs="Times New Roman"/>
          <w:b/>
          <w:color w:val="EE0000"/>
          <w:sz w:val="20"/>
          <w:szCs w:val="20"/>
        </w:rPr>
        <w:t>MODEL Y</w:t>
      </w:r>
    </w:p>
    <w:p w14:paraId="54C71E91"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This scenario represents a high-risk clinical situation requiring urgent treatment escalation. RF-positive polyarticular JIA with hip and temporomandibular joint involvement refractory to MTX and adalimumab combination therapy carries significant risk of irreversible structural damage at both sites and demands prompt action.</w:t>
      </w:r>
    </w:p>
    <w:p w14:paraId="75EC8693"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Before declaring biologic failure, perform the following confirmatory assessment. Verify adalimumab dosing at 24mg/m² every 2 weeks maximum 40mg, with subcutaneous administration confirmed. Measure adalimumab trough levels and anti-adalimumab antibodies if therapeutic drug monitoring is available. Low trough levels with high antibody titers indicate immunogenic failure, suggesting a switch within the TNF inhibitor class may be ineffective and a mechanism switch is preferable. Low trough levels without antibodies suggest pharmacokinetic failure where dose optimization or interval shortening may be attempted. Adequate trough levels with persistent disease activity represent true pharmacodynamic failure mandating mechanism switch.</w:t>
      </w:r>
    </w:p>
    <w:p w14:paraId="0DF3B6CF"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Hip involvement in RF-positive polyarticular JIA is a major damage-risk feature. Imaging with MRI of both hips with contrast is mandatory at this point to assess for cartilage loss, bony erosion, avascular necrosis, and femoral head integrity. The degree of structural compromise directly informs urgency and therapeutic decisions. TMJ involvement similarly requires MRI assessment as condylar erosion and mandibular growth disturbance are irreversible and have significant functional and cosmetic consequences in a growing 12-year-old.</w:t>
      </w:r>
    </w:p>
    <w:p w14:paraId="59B8CAFC"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The recommended treatment modification depends on the therapeutic drug monitoring result and imaging findings, but the following principles apply.</w:t>
      </w:r>
    </w:p>
    <w:p w14:paraId="215010B2"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lastRenderedPageBreak/>
        <w:t>Switching to abatacept is strongly supported in TNF inhibitor refractory polyarticular JIA. The AWAKEN trial specifically included patients with prior TNF inhibitor failure and demonstrated meaningful clinical response. Abatacept's T-cell costimulation blockade mechanism is entirely distinct from TNF inhibition and is not subject to cross-immunogenicity.</w:t>
      </w:r>
    </w:p>
    <w:p w14:paraId="179D4CC4"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Tocilizumab is an equally valid alternative supported by the CHERISH trial. In RF-positive disease with markedly elevated inflammatory markers and significant systemic burden of inflammation, IL-6 pathway blockade may be particularly appropriate given the central role of IL-6 in synovial inflammation, acute phase response, and bone erosion in seropositive disease.</w:t>
      </w:r>
    </w:p>
    <w:p w14:paraId="0896B55A"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Baricitinib, a JAK1/JAK2 inhibitor, has received regulatory approval in polyarticular JIA in some jurisdictions based on the JUVE-BASIS trial demonstrating efficacy including in TNF inhibitor refractory patients. JAK inhibitors represent a mechanistically distinct oral option and may be considered particularly if there are concerns regarding injection adherence in an adolescent or if previous biologic mechanisms have been exhausted. Upadacitinib similarly has emerging evidence in refractory polyarticular JIA. However JAK inhibitor safety considerations including infection risk, lipid monitoring, and the theoretical malignancy signal require careful family counseling before initiation.</w:t>
      </w:r>
    </w:p>
    <w:p w14:paraId="18B7EF60"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MTX should be continued alongside the new biologic unless hepatotoxicity, intolerance, or inadequate dosing is identified, as combination therapy remains superior to monotherapy in seropositive disease.</w:t>
      </w:r>
    </w:p>
    <w:p w14:paraId="6366F9C2"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TMJ-specific management warrants multidisciplinary input. Intraarticular corticosteroid injection of the TMJ under image guidance by an experienced operator, either CT or ultrasound guided, can provide local disease control and should be performed alongside systemic therapy change. Dental and maxillofacial surgery review is indicated for assessment of mandibular growth, occlusal changes, and potential need for orthodontic intervention.</w:t>
      </w:r>
    </w:p>
    <w:p w14:paraId="0088770D"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Hip-specific considerations are critical. If MRI demonstrates significant cartilage loss or early structural compromise, orthopedic surgery co-management is required. Physiotherapy focused on hip range of motion preservation must be integrated immediately, as hip flexion contracture develops rapidly with active synovitis and is difficult to reverse once established.</w:t>
      </w:r>
    </w:p>
    <w:p w14:paraId="0E4BCC99"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Systemic corticosteroids may be used as short-term bridge therapy during biologic transition if disease activity is causing functional compromise, but must be strictly time-limited given her age, growth plate vulnerability, and the established growth and bone density risks in a peripubertal female.</w:t>
      </w:r>
    </w:p>
    <w:p w14:paraId="0CF4B6C5"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Treat-to-target reassessment at 3 months using cJADAS-10 with explicit inactive disease target, repeat inflammatory markers, and interval MRI assessment of hips and TMJ at 6 months to document structural response to new therapy is recommended.</w:t>
      </w:r>
    </w:p>
    <w:p w14:paraId="2314507D"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The overarching message is that RF-positive polyarticular JIA with hip and TMJ involvement refractory to first-line biologic therapy is an aggressive disease phenotype requiring urgent escalation, multidisciplinary management, and close structural monitoring to prevent irreversible damage during a critical period of musculoskeletal development.</w:t>
      </w:r>
    </w:p>
    <w:p w14:paraId="5D608DFC" w14:textId="77777777" w:rsidR="00EB6F05" w:rsidRPr="00716BBA" w:rsidRDefault="00000000" w:rsidP="00716BBA">
      <w:pPr>
        <w:spacing w:before="160" w:after="60"/>
        <w:rPr>
          <w:rFonts w:ascii="Times New Roman" w:hAnsi="Times New Roman" w:cs="Times New Roman"/>
          <w:color w:val="EE0000"/>
          <w:sz w:val="20"/>
          <w:szCs w:val="20"/>
        </w:rPr>
      </w:pPr>
      <w:r w:rsidRPr="00716BBA">
        <w:rPr>
          <w:rFonts w:ascii="Times New Roman" w:hAnsi="Times New Roman" w:cs="Times New Roman"/>
          <w:b/>
          <w:color w:val="EE0000"/>
          <w:sz w:val="20"/>
          <w:szCs w:val="20"/>
        </w:rPr>
        <w:t>MODEL Z</w:t>
      </w:r>
    </w:p>
    <w:p w14:paraId="5C33D213"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Treatment modification</w:t>
      </w:r>
    </w:p>
    <w:p w14:paraId="4B0F1D1C"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This patient has high-risk RF-positive polyarticular JIA with persistent active disease despite an adequate trial of methotrexate plus adalimumab. Hip and TMJ involvement are poor-prognosis features, so treatment should be escalated promptly rather than continuing the same TNF inhibitor.</w:t>
      </w:r>
    </w:p>
    <w:p w14:paraId="1DDC9ED4"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The biologic framework should be changed by switching from the TNF inhibitor to a non-TNF biologic with a different mechanism of action, most appropriately:</w:t>
      </w:r>
    </w:p>
    <w:p w14:paraId="33C5F4D2"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Tocilizumab — IL-6 receptor inhibition</w:t>
      </w:r>
    </w:p>
    <w:p w14:paraId="4C4DF2E8"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Abatacept — T-cell co-stimulation modulation</w:t>
      </w:r>
    </w:p>
    <w:p w14:paraId="656C8738"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Methotrexate can be continued with the new biologic if tolerated. A short bridging course of glucocorticoid or local therapy may be considered for severe symptoms, but it should not replace systemic escalation.</w:t>
      </w:r>
    </w:p>
    <w:p w14:paraId="0F8C607D"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Because the hip and TMJ are involved, the patient should also have targeted assessment with appropriate imaging, especially MRI for TMJ/hip activity, to distinguish active synovitis from structural damage and to guide multidisciplinary management.</w:t>
      </w:r>
    </w:p>
    <w:p w14:paraId="175E5987"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lastRenderedPageBreak/>
        <w:t>The key answer is: stop adalimumab and switch to a non-TNF biologic, preferably tocilizumab or abatacept, while continuing treat-to-target monitoring and avoiding prolonged steroid dependence.</w:t>
      </w:r>
    </w:p>
    <w:p w14:paraId="4489D094" w14:textId="77777777" w:rsidR="00EB6F05" w:rsidRPr="00716BBA" w:rsidRDefault="00000000" w:rsidP="00716BBA">
      <w:pPr>
        <w:spacing w:before="200" w:after="120"/>
        <w:rPr>
          <w:rFonts w:ascii="Times New Roman" w:hAnsi="Times New Roman" w:cs="Times New Roman"/>
          <w:color w:val="EE0000"/>
          <w:sz w:val="20"/>
          <w:szCs w:val="20"/>
        </w:rPr>
      </w:pPr>
      <w:r w:rsidRPr="00716BBA">
        <w:rPr>
          <w:rFonts w:ascii="Times New Roman" w:hAnsi="Times New Roman" w:cs="Times New Roman"/>
          <w:b/>
          <w:color w:val="EE0000"/>
          <w:sz w:val="20"/>
          <w:szCs w:val="20"/>
        </w:rPr>
        <w:t>Q20. A 15-year-old female diagnosed with Polyarticular JIA has achieved sustained and complete clinical remission for the past 12 months on a combination of Methotrexate and a TNF inhibitor. What should be the next step in her therapeutic management?</w:t>
      </w:r>
    </w:p>
    <w:p w14:paraId="76139AD3" w14:textId="77777777" w:rsidR="00EB6F05" w:rsidRPr="00716BBA" w:rsidRDefault="00000000" w:rsidP="00716BBA">
      <w:pPr>
        <w:spacing w:before="160" w:after="60"/>
        <w:rPr>
          <w:rFonts w:ascii="Times New Roman" w:hAnsi="Times New Roman" w:cs="Times New Roman"/>
          <w:color w:val="EE0000"/>
          <w:sz w:val="20"/>
          <w:szCs w:val="20"/>
        </w:rPr>
      </w:pPr>
      <w:r w:rsidRPr="00716BBA">
        <w:rPr>
          <w:rFonts w:ascii="Times New Roman" w:hAnsi="Times New Roman" w:cs="Times New Roman"/>
          <w:b/>
          <w:color w:val="EE0000"/>
          <w:sz w:val="20"/>
          <w:szCs w:val="20"/>
        </w:rPr>
        <w:t>MODEL X</w:t>
      </w:r>
    </w:p>
    <w:p w14:paraId="6927816B"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Based on current international pediatric rheumatology guidelines, the recommended next step for a patient in sustained, complete clinical remission for 12 months is to initiate a gradual tapering strategy.</w:t>
      </w:r>
    </w:p>
    <w:p w14:paraId="2B9CCDF3"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Abrupt discontinuation of both medications is discouraged due to a high risk of disease flare. The preferred approaches include:</w:t>
      </w:r>
    </w:p>
    <w:p w14:paraId="3995A238"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Tapering the TNF inhibitor first: This is the most common approach. The dosing interval of the TNF inhibitor is systematically prolonged (or the dose reduced) while maintaining background methotrexate.</w:t>
      </w:r>
    </w:p>
    <w:p w14:paraId="3C7D0800"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Tapering Methotrexate first: Alternatively, methotrexate can be tapered and discontinued first while maintaining the biologic at its standard stable dose.</w:t>
      </w:r>
    </w:p>
    <w:p w14:paraId="23A8B0AF"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Regardless of which agent is tapered first, the process must be step-wise and gradual, accompanied by close clinical monitoring for any early signs of clinical or laboratory disease reactivation. Complete withdrawal of the remaining agent should only be considered after a further extended period of stable inactive disease on monotherapy.</w:t>
      </w:r>
    </w:p>
    <w:p w14:paraId="198EE465" w14:textId="77777777" w:rsidR="00EB6F05" w:rsidRPr="00716BBA" w:rsidRDefault="00000000" w:rsidP="00716BBA">
      <w:pPr>
        <w:spacing w:before="160" w:after="60"/>
        <w:rPr>
          <w:rFonts w:ascii="Times New Roman" w:hAnsi="Times New Roman" w:cs="Times New Roman"/>
          <w:color w:val="EE0000"/>
          <w:sz w:val="20"/>
          <w:szCs w:val="20"/>
        </w:rPr>
      </w:pPr>
      <w:r w:rsidRPr="00716BBA">
        <w:rPr>
          <w:rFonts w:ascii="Times New Roman" w:hAnsi="Times New Roman" w:cs="Times New Roman"/>
          <w:b/>
          <w:color w:val="EE0000"/>
          <w:sz w:val="20"/>
          <w:szCs w:val="20"/>
        </w:rPr>
        <w:t>MODEL Y</w:t>
      </w:r>
    </w:p>
    <w:p w14:paraId="19DCC0B9"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This scenario represents one of the most clinically nuanced decisions in pediatric rheumatology: when and how to de-escalate therapy in a patient who has achieved sustained remission.</w:t>
      </w:r>
    </w:p>
    <w:p w14:paraId="44DA3E5E"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The 12-month remission duration on combination therapy meets the threshold for considering de-escalation based on current ACR 2021 and EULAR 2023 guidelines, but the decision requires careful individualized assessment rather than automatic tapering.</w:t>
      </w:r>
    </w:p>
    <w:p w14:paraId="039768BB"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Before initiating any de-escalation, the following must be confirmed.</w:t>
      </w:r>
    </w:p>
    <w:p w14:paraId="62997379"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Remission must be verified as true clinical and biological inactive disease, not merely symptomatic improvement. This requires absence of active synovitis on clinical examination, normal inflammatory markers including CRP and ESR, normal acute phase response, and physician global assessment consistent with inactive disease by Wallace criteria. Musculoskeletal ultrasound to confirm absence of subclinical synovitis before de-escalation is strongly recommended, as clinical examination underestimates residual synovitis, and subclinical ultrasound-detected synovitis is a significant predictor of flare after medication withdrawal.</w:t>
      </w:r>
    </w:p>
    <w:p w14:paraId="33EFC2DF"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Ophthalmologic confirmation of uveitis remission is mandatory before de-escalation, as uveitis activity does not correlate with joint disease and TNF inhibitor withdrawal in the context of subclinical uveitis carries risk of uveitis flare.</w:t>
      </w:r>
    </w:p>
    <w:p w14:paraId="1013BDA8"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The recommended de-escalation strategy follows a stepwise sequential approach. Guidelines consistently support tapering and discontinuing MTX first before addressing the biologic, as MTX carries the greater burden of side effects including hepatotoxicity, immunosuppression, and teratogenicity concerns relevant in a 15-year-old female. MTX should be tapered gradually over 3-6 months rather than abruptly discontinued, typically by reducing dose by 25-30% every 4-6 weeks while monitoring for flare.</w:t>
      </w:r>
    </w:p>
    <w:p w14:paraId="605F84EF"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Following successful MTX discontinuation with maintained remission for a further period of at least 6 months, gradual tapering of the TNF inhibitor can be considered. TNF inhibitor tapering strategies include interval extension, for example moving from every 2 weeks to every 3 weeks to every 4 weeks with adalimumab, or dose reduction depending on the specific agent. Abrupt discontinuation of the biologic is not recommended. The optimal tapering schedule remains an area of active research without definitive consensus, but gradual interval extension is the most widely practiced approach.</w:t>
      </w:r>
    </w:p>
    <w:p w14:paraId="4B7BB9C9"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Several factors in this specific patient inform the de-escalation decision and risk stratification.</w:t>
      </w:r>
    </w:p>
    <w:p w14:paraId="6493429D"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RF-positive status, if applicable, significantly increases flare risk after de-escalation and should prompt more cautious tapering with longer observation periods between steps. The scenario describes RF-negative polyarticular JIA by implication, which carries more favorable de-escalation outcomes, though flare rates after biologic discontinuation remain substantial at 30-50% across polyarticular subtypes.</w:t>
      </w:r>
    </w:p>
    <w:p w14:paraId="006F5EC6"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lastRenderedPageBreak/>
        <w:t>Age 15 is a relevant consideration. Adolescence is a high-risk period for disease flare due to hormonal changes, psychological stress, and potential adherence issues. De-escalation during active puberty carries higher flare risk than in a more hormonally stable period. This does not contraindicate de-escalation but informs the monitoring intensity required.</w:t>
      </w:r>
    </w:p>
    <w:p w14:paraId="4B938E52"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Teratogenicity of MTX is a critical consideration in a 15-year-old female approaching reproductive age. If she is or may become sexually active, MTX discontinuation has additional urgency beyond disease management considerations, and this should be addressed explicitly in counseling.</w:t>
      </w:r>
    </w:p>
    <w:p w14:paraId="76C7C910"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Monitoring during and after de-escalation must be structured and intensive. Clinical review every 6-8 weeks during tapering with inflammatory markers, physician global assessment, and cJADAS-10 scoring is required. Ophthalmologic surveillance must be maintained at guideline-recommended intervals throughout de-escalation regardless of joint disease status.</w:t>
      </w:r>
    </w:p>
    <w:p w14:paraId="697957FB"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Families and patients must be explicitly counseled that flare after de-escalation does not represent treatment failure or disease progression in an absolute sense, that the majority of flares respond promptly to re-initiation of the previously effective therapy, and that attempting de-escalation after sustained remission is appropriate clinical practice rather than premature withdrawal.</w:t>
      </w:r>
    </w:p>
    <w:p w14:paraId="6F312B0C"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The overarching goal is to achieve medication-free remission where biologically possible while accepting that a proportion of patients will require long-term treatment, and that the de-escalation attempt itself provides valuable prognostic information about the individual patient's disease biology.</w:t>
      </w:r>
    </w:p>
    <w:p w14:paraId="4C4D56A8" w14:textId="77777777" w:rsidR="00EB6F05" w:rsidRPr="00716BBA" w:rsidRDefault="00000000" w:rsidP="00716BBA">
      <w:pPr>
        <w:spacing w:before="160" w:after="60"/>
        <w:rPr>
          <w:rFonts w:ascii="Times New Roman" w:hAnsi="Times New Roman" w:cs="Times New Roman"/>
          <w:color w:val="EE0000"/>
          <w:sz w:val="20"/>
          <w:szCs w:val="20"/>
        </w:rPr>
      </w:pPr>
      <w:r w:rsidRPr="00716BBA">
        <w:rPr>
          <w:rFonts w:ascii="Times New Roman" w:hAnsi="Times New Roman" w:cs="Times New Roman"/>
          <w:b/>
          <w:color w:val="EE0000"/>
          <w:sz w:val="20"/>
          <w:szCs w:val="20"/>
        </w:rPr>
        <w:t>MODEL Z</w:t>
      </w:r>
    </w:p>
    <w:p w14:paraId="4E024911"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Next therapeutic step</w:t>
      </w:r>
    </w:p>
    <w:p w14:paraId="71A5B6D3" w14:textId="77777777" w:rsidR="00D6702D"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This patient has sustained complete clinical remission for 12 months on methotrexate plus a TNF inhibitor, so the next step is not escalation, but careful consideration of treatment de-escalation.</w:t>
      </w:r>
    </w:p>
    <w:p w14:paraId="1F3D6CD8" w14:textId="3741C816"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The recommended approach is shared decision-making with the patient and family, followed by gradual tapering of one medication at a time, rather than abrupt discontinuation of both drugs.</w:t>
      </w:r>
    </w:p>
    <w:p w14:paraId="12855750"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A practical strategy is:</w:t>
      </w:r>
    </w:p>
    <w:p w14:paraId="20735E6C"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Confirm true inactive disease: no active joints, no morning stiffness, normal function, normal inflammatory markers, and no active uveitis.</w:t>
      </w:r>
    </w:p>
    <w:p w14:paraId="04FA1E38"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Avoid stopping both methotrexate and the TNF inhibitor simultaneously.</w:t>
      </w:r>
    </w:p>
    <w:p w14:paraId="0A65FAAD"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Consider tapering or discontinuing methotrexate first if the TNF inhibitor is well tolerated and appears to be maintaining remission.</w:t>
      </w:r>
    </w:p>
    <w:p w14:paraId="054E7866"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Alternatively, in selected patients, the TNF inhibitor may be tapered by extending the dosing interval, especially if medication burden, injection concerns, cost, or safety issues dominate.</w:t>
      </w:r>
    </w:p>
    <w:p w14:paraId="2E6D815A"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Continue close follow-up because relapse is common after medication withdrawal.</w:t>
      </w:r>
    </w:p>
    <w:p w14:paraId="3A081830"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If arthritis recurs, the previously effective therapy should usually be reintroduced promptly.</w:t>
      </w:r>
    </w:p>
    <w:p w14:paraId="5A232E59" w14:textId="4196C652"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Key answer: maintain treat-to-target monitoring and consider cautious, stepwise tapering after sustained remission; do not abruptly stop all therapy.</w:t>
      </w:r>
    </w:p>
    <w:p w14:paraId="12B5EB45" w14:textId="77777777" w:rsidR="00EB6F05" w:rsidRPr="00716BBA" w:rsidRDefault="00000000" w:rsidP="00716BBA">
      <w:pPr>
        <w:spacing w:before="200" w:after="120"/>
        <w:rPr>
          <w:rFonts w:ascii="Times New Roman" w:hAnsi="Times New Roman" w:cs="Times New Roman"/>
          <w:color w:val="EE0000"/>
          <w:sz w:val="20"/>
          <w:szCs w:val="20"/>
        </w:rPr>
      </w:pPr>
      <w:r w:rsidRPr="00716BBA">
        <w:rPr>
          <w:rFonts w:ascii="Times New Roman" w:hAnsi="Times New Roman" w:cs="Times New Roman"/>
          <w:b/>
          <w:color w:val="EE0000"/>
          <w:sz w:val="20"/>
          <w:szCs w:val="20"/>
        </w:rPr>
        <w:t>Q21. A 10-year-old boy with Systemic JIA develops a second episode of MAS within one year despite previous successful treatment with pulse corticosteroids and Anakinra. He is currently asymptomatic between episodes. What long-term therapeutic strategy would be most appropriate to reduce the risk of future MAS episodes and disease-related complications?</w:t>
      </w:r>
    </w:p>
    <w:p w14:paraId="680F6EDC" w14:textId="77777777" w:rsidR="00EB6F05" w:rsidRPr="00716BBA" w:rsidRDefault="00000000" w:rsidP="00716BBA">
      <w:pPr>
        <w:spacing w:before="160" w:after="60"/>
        <w:rPr>
          <w:rFonts w:ascii="Times New Roman" w:hAnsi="Times New Roman" w:cs="Times New Roman"/>
          <w:color w:val="EE0000"/>
          <w:sz w:val="20"/>
          <w:szCs w:val="20"/>
        </w:rPr>
      </w:pPr>
      <w:r w:rsidRPr="00716BBA">
        <w:rPr>
          <w:rFonts w:ascii="Times New Roman" w:hAnsi="Times New Roman" w:cs="Times New Roman"/>
          <w:b/>
          <w:color w:val="EE0000"/>
          <w:sz w:val="20"/>
          <w:szCs w:val="20"/>
        </w:rPr>
        <w:t>MODEL X</w:t>
      </w:r>
    </w:p>
    <w:p w14:paraId="331CE1FD"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Based on current international pediatric rheumatology guidelines and expert consensus for recurrent, refractory Macrophage Activation Syndrome (MAS) in systemic JIA, the recommended long-term therapeutic strategy includes:</w:t>
      </w:r>
    </w:p>
    <w:p w14:paraId="7616683F"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Optimizing or intensifying IL-1 inhibition: If the patient experienced a breakthrough episode while on standard-dose anakinra, the long-term maintenance strategy requires switching to a long-acting IL-1 inhibitor, canakinumab, which provides more stable and sustained therapeutic serum levels to suppress subclinical systemic hyperinflammation.</w:t>
      </w:r>
    </w:p>
    <w:p w14:paraId="54AA21B6"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lastRenderedPageBreak/>
        <w:t>Addition of a second-line immunosuppressive agent: To prevent future life-threatening MAS flares, background maintenance therapy should be augmented by adding cyclosporine A or methotrexate to the biologic regimen.</w:t>
      </w:r>
    </w:p>
    <w:p w14:paraId="1DDC2174"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Targeting alternative hyperinflammatory pathways (if IL-1 failure is confirmed): If the recurrence reflects a true failure of IL-1 inhibition, therapeutic switching to an IL-6 inhibitor (tocilizumab) or the introduction of emapalumab (an anti-interferon-gamma monoclonal antibody) should be utilized to control the underlying cytokine storm and reduce long-term disease-related complications.</w:t>
      </w:r>
    </w:p>
    <w:p w14:paraId="20FC2CEB" w14:textId="77777777" w:rsidR="00EB6F05" w:rsidRPr="00716BBA" w:rsidRDefault="00000000" w:rsidP="00716BBA">
      <w:pPr>
        <w:spacing w:before="160" w:after="60"/>
        <w:rPr>
          <w:rFonts w:ascii="Times New Roman" w:hAnsi="Times New Roman" w:cs="Times New Roman"/>
          <w:color w:val="EE0000"/>
          <w:sz w:val="20"/>
          <w:szCs w:val="20"/>
        </w:rPr>
      </w:pPr>
      <w:r w:rsidRPr="00716BBA">
        <w:rPr>
          <w:rFonts w:ascii="Times New Roman" w:hAnsi="Times New Roman" w:cs="Times New Roman"/>
          <w:b/>
          <w:color w:val="EE0000"/>
          <w:sz w:val="20"/>
          <w:szCs w:val="20"/>
        </w:rPr>
        <w:t>MODEL Y</w:t>
      </w:r>
    </w:p>
    <w:p w14:paraId="0553FBAE"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Recurrent MAS in systemic JIA despite IL-1 blockade with Anakinra represents inadequate disease control and constitutes a high-risk clinical scenario. Two episodes within one year signals persistent pathological immune dysregulation even during apparent clinical quiescence — subclinical inflammation and NK cell dysfunction likely persist between episodes.</w:t>
      </w:r>
    </w:p>
    <w:p w14:paraId="01EB008E"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Primary therapeutic strategy: Escalation to IL-18 pathway targeting or enhanced IL-1 blockade</w:t>
      </w:r>
    </w:p>
    <w:p w14:paraId="2F80FFDC"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Anakinra failure in recurrent MAS warrants reassessment of IL-1 blockade adequacy before switching pathways:</w:t>
      </w:r>
    </w:p>
    <w:p w14:paraId="02E45E37"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Anakinra dosing in MAS-prone systemic JIA may require escalation beyond standard dosing (up to 4-8 mg/kg/day during high-risk periods)</w:t>
      </w:r>
    </w:p>
    <w:p w14:paraId="0DFF0C72"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If adequate Anakinra dosing has been confirmed, transition to Canakinumab (long-acting IL-1β monoclonal antibody) provides more sustained IL-1 blockade and has demonstrated superiority in maintaining systemic JIA remission and reducing MAS risk compared to Anakinra in several cohort studies</w:t>
      </w:r>
    </w:p>
    <w:p w14:paraId="0C8D2831"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If IL-1 blockade remains insufficient:</w:t>
      </w:r>
    </w:p>
    <w:p w14:paraId="1E4BA1D1"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Tocilizumab (IL-6 receptor blockade) is the alternative first-line biologic for systemic JIA with established efficacy. However, a critical caveat applies: tocilizumab suppresses CRP production directly, masking early MAS laboratory signals and potentially delaying recognition of MAS onset — this is a significant safety consideration in a patient with recurrent MAS history.</w:t>
      </w:r>
    </w:p>
    <w:p w14:paraId="568B8360"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Emapalumab (anti-interferon-gamma monoclonal antibody) represents the most targeted approach for refractory MAS in systemic JIA. IFN-γ is central to MAS immunopathology — elevated IFN-γ drives macrophage hyperactivation, hemophagocytosis, and the cytokine storm characteristic of MAS. Emapalumab is approved for primary HLH and has emerging evidence in secondary MAS/HLH including systemic JIA-associated MAS refractory to conventional treatment.</w:t>
      </w:r>
    </w:p>
    <w:p w14:paraId="413BD969"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CXCL9 monitoring as a biomarker strategy: In a patient with recurrent MAS, routine monitoring of CXCL9 (an IFN-γ induced chemokine) and ferritin between episodes allows detection of subclinical MAS activity before full clinical expression. Persistently elevated CXCL9 during apparent remission indicates ongoing IFN-γ driven inflammation and should prompt therapeutic escalation regardless of clinical appearance.</w:t>
      </w:r>
    </w:p>
    <w:p w14:paraId="30105B53"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Additional therapeutic considerations: Hydroxychloroquine has no role in MAS prevention in systemic JIA.</w:t>
      </w:r>
    </w:p>
    <w:p w14:paraId="7E8C523F"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Cyclosporine A as maintenance therapy has historical use in MAS-prone systemic JIA and retains a role as adjunctive therapy — it inhibits T cell activation and cytokine production and can be combined with biologic therapy in refractory cases.</w:t>
      </w:r>
    </w:p>
    <w:p w14:paraId="683C2595"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Corticosteroids as maintenance therapy should be minimized given long-term toxicity, but low-dose bridging during biologic transitions is acceptable.</w:t>
      </w:r>
    </w:p>
    <w:p w14:paraId="667AB824"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Evaluation for underlying predisposition: Recurrent MAS in systemic JIA warrants genetic evaluation for: PRF1, UNC13D, STX11, STXBP2 mutations (familial HLH genes) — heterozygous variants increase MAS susceptibility in systemic JIA RAB27A, LYST mutations</w:t>
      </w:r>
    </w:p>
    <w:p w14:paraId="0CF73651"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Identifying a heterozygous pathogenic variant changes the long-term prognosis and may influence the decision threshold for hematopoietic stem cell transplantation in cases with extreme refractoriness.</w:t>
      </w:r>
    </w:p>
    <w:p w14:paraId="02EB70DC"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Long-term monitoring framework: Between episodes, monitor ferritin, CXCL9, CBC, LFTs, fibrinogen, and triglycerides at regular intervals — establish individual baseline values to detect early MAS recurrence. Provide family and patient with a written MAS action plan including threshold values that should prompt emergency evaluation.</w:t>
      </w:r>
    </w:p>
    <w:p w14:paraId="1D555A93" w14:textId="77777777" w:rsidR="00EB6F05" w:rsidRPr="00716BBA" w:rsidRDefault="00000000" w:rsidP="00716BBA">
      <w:pPr>
        <w:spacing w:before="160" w:after="60"/>
        <w:rPr>
          <w:rFonts w:ascii="Times New Roman" w:hAnsi="Times New Roman" w:cs="Times New Roman"/>
          <w:color w:val="EE0000"/>
          <w:sz w:val="20"/>
          <w:szCs w:val="20"/>
        </w:rPr>
      </w:pPr>
      <w:r w:rsidRPr="00716BBA">
        <w:rPr>
          <w:rFonts w:ascii="Times New Roman" w:hAnsi="Times New Roman" w:cs="Times New Roman"/>
          <w:b/>
          <w:color w:val="EE0000"/>
          <w:sz w:val="20"/>
          <w:szCs w:val="20"/>
        </w:rPr>
        <w:t>MODEL Z</w:t>
      </w:r>
    </w:p>
    <w:p w14:paraId="6E808B26"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Long-term strategy</w:t>
      </w:r>
    </w:p>
    <w:p w14:paraId="5467282A"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lastRenderedPageBreak/>
        <w:t>This boy has recurrent MAS in systemic JIA, which is a high-risk course even if he is asymptomatic between episodes. Management should not rely only on treating each MAS flare with pulse corticosteroids.</w:t>
      </w:r>
    </w:p>
    <w:p w14:paraId="147CBABD"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The most appropriate long-term strategy is to start or continue maintenance cytokine-targeted biologic therapy, preferably with sustained IL-1 blockade:</w:t>
      </w:r>
    </w:p>
    <w:p w14:paraId="10149238"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Continuous anakinra with dose optimization, or</w:t>
      </w:r>
    </w:p>
    <w:p w14:paraId="003A329C"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transition to canakinumab for long-term IL-1β inhibition if suitable.</w:t>
      </w:r>
    </w:p>
    <w:p w14:paraId="53B429FE"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The goal is to maintain complete control of systemic inflammation, reduce MAS recurrence risk, and avoid repeated high-dose corticosteroid exposure.</w:t>
      </w:r>
    </w:p>
    <w:p w14:paraId="41BBCC44"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IL-6 blockade with tocilizumab is an alternative if IL-1 blockade is ineffective or not tolerated, but it requires caution because fever and CRP responses may be blunted, making MAS harder to detect.</w:t>
      </w:r>
    </w:p>
    <w:p w14:paraId="5C983082"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Because MAS has recurred, he should also have close monitoring for subclinical inflammation and MAS relapse, including CBC, ferritin, AST/ALT, fibrinogen, triglycerides, CRP/ESR, and clinical review. Recurrent MAS should also prompt reassessment for triggers, infection, medication adherence, occult active systemic JIA, and possible underlying genetic or immunologic susceptibility.</w:t>
      </w:r>
    </w:p>
    <w:p w14:paraId="5589C2F7" w14:textId="77777777" w:rsidR="00EB6F05" w:rsidRPr="00716BBA" w:rsidRDefault="00000000" w:rsidP="00716BBA">
      <w:pPr>
        <w:spacing w:after="60"/>
        <w:ind w:left="216"/>
        <w:rPr>
          <w:rFonts w:ascii="Times New Roman" w:hAnsi="Times New Roman" w:cs="Times New Roman"/>
          <w:sz w:val="20"/>
          <w:szCs w:val="20"/>
        </w:rPr>
      </w:pPr>
      <w:r w:rsidRPr="00716BBA">
        <w:rPr>
          <w:rFonts w:ascii="Times New Roman" w:hAnsi="Times New Roman" w:cs="Times New Roman"/>
          <w:sz w:val="20"/>
          <w:szCs w:val="20"/>
        </w:rPr>
        <w:t>If MAS recurs despite adequate IL-1/IL-6 blockade, management should be escalated in an expert center, with consideration of additional or alternative targeted therapy.</w:t>
      </w:r>
    </w:p>
    <w:p w14:paraId="21097279" w14:textId="77777777" w:rsidR="00EB6F05" w:rsidRPr="00716BBA" w:rsidRDefault="00000000" w:rsidP="00716BBA">
      <w:pPr>
        <w:spacing w:after="60"/>
        <w:ind w:left="216"/>
        <w:rPr>
          <w:rFonts w:ascii="Times New Roman" w:hAnsi="Times New Roman" w:cs="Times New Roman"/>
          <w:sz w:val="20"/>
          <w:szCs w:val="20"/>
          <w:lang w:val="tr-TR"/>
        </w:rPr>
      </w:pPr>
      <w:r w:rsidRPr="00716BBA">
        <w:rPr>
          <w:rFonts w:ascii="Times New Roman" w:hAnsi="Times New Roman" w:cs="Times New Roman"/>
          <w:sz w:val="20"/>
          <w:szCs w:val="20"/>
        </w:rPr>
        <w:t>Key answer: initiate or maintain long-term IL-1–directed biologic therapy, rather than intermittent steroid-only treatment, with close MAS surveillance and steroid-sparing disease control. ACR guidance supports IL-1 or IL-6 inhibition for systemic JIA with MAS and avoiding long-term glucocorticoid dependence.</w:t>
      </w:r>
    </w:p>
    <w:sectPr w:rsidR="00EB6F05" w:rsidRPr="00716BBA"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920215254">
    <w:abstractNumId w:val="8"/>
  </w:num>
  <w:num w:numId="2" w16cid:durableId="1239093245">
    <w:abstractNumId w:val="6"/>
  </w:num>
  <w:num w:numId="3" w16cid:durableId="749815119">
    <w:abstractNumId w:val="5"/>
  </w:num>
  <w:num w:numId="4" w16cid:durableId="839193989">
    <w:abstractNumId w:val="4"/>
  </w:num>
  <w:num w:numId="5" w16cid:durableId="436022190">
    <w:abstractNumId w:val="7"/>
  </w:num>
  <w:num w:numId="6" w16cid:durableId="600911659">
    <w:abstractNumId w:val="3"/>
  </w:num>
  <w:num w:numId="7" w16cid:durableId="2096586853">
    <w:abstractNumId w:val="2"/>
  </w:num>
  <w:num w:numId="8" w16cid:durableId="1196580632">
    <w:abstractNumId w:val="1"/>
  </w:num>
  <w:num w:numId="9" w16cid:durableId="8916187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5"/>
  <w:proofState w:spelling="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64324"/>
    <w:rsid w:val="0029639D"/>
    <w:rsid w:val="00326F90"/>
    <w:rsid w:val="00644855"/>
    <w:rsid w:val="00716BBA"/>
    <w:rsid w:val="007F2F8F"/>
    <w:rsid w:val="00AA1D8D"/>
    <w:rsid w:val="00B47730"/>
    <w:rsid w:val="00C30C82"/>
    <w:rsid w:val="00CB0664"/>
    <w:rsid w:val="00D6702D"/>
    <w:rsid w:val="00EB6F0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FEA75D"/>
  <w14:defaultImageDpi w14:val="300"/>
  <w15:docId w15:val="{3F139C52-2844-4942-B287-3D5307ECF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24"/>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3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716BBA"/>
    <w:pPr>
      <w:spacing w:before="100" w:beforeAutospacing="1" w:after="100" w:afterAutospacing="1" w:line="240" w:lineRule="auto"/>
    </w:pPr>
    <w:rPr>
      <w:rFonts w:ascii="Times New Roman" w:eastAsia="Times New Roman" w:hAnsi="Times New Roman" w:cs="Times New Roman"/>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28</Pages>
  <Words>29610</Words>
  <Characters>71065</Characters>
  <Application>Microsoft Office Word</Application>
  <DocSecurity>0</DocSecurity>
  <Lines>71065</Lines>
  <Paragraphs>33558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67117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Gökhan Şahin</cp:lastModifiedBy>
  <cp:revision>5</cp:revision>
  <dcterms:created xsi:type="dcterms:W3CDTF">2026-08-08T11:19:00Z</dcterms:created>
  <dcterms:modified xsi:type="dcterms:W3CDTF">2026-08-08T12:21:00Z</dcterms:modified>
  <cp:category/>
</cp:coreProperties>
</file>