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CAAF61">
      <w:pPr>
        <w:keepNext w:val="0"/>
        <w:keepLines w:val="0"/>
        <w:widowControl/>
        <w:suppressLineNumbers w:val="0"/>
        <w:jc w:val="left"/>
        <w:rPr>
          <w:rFonts w:hint="default" w:ascii="Times New Roman Regular" w:hAnsi="Times New Roman Regular" w:cs="Times New Roman Regular"/>
          <w:b/>
          <w:bCs/>
          <w:sz w:val="24"/>
          <w:szCs w:val="24"/>
        </w:rPr>
      </w:pPr>
      <w:r>
        <w:rPr>
          <w:rFonts w:hint="default" w:ascii="Times New Roman Regular" w:hAnsi="Times New Roman Regular" w:cs="Times New Roman Regular"/>
          <w:b/>
          <w:bCs/>
          <w:sz w:val="24"/>
          <w:szCs w:val="24"/>
        </w:rPr>
        <w:t>Longitudinal multimodal MRI assessment of glymphatic changes after subthalamic nucleus deep brain stimulation in Parkinson’s disease</w:t>
      </w:r>
    </w:p>
    <w:p w14:paraId="11F3EB72">
      <w:pPr>
        <w:keepNext w:val="0"/>
        <w:keepLines w:val="0"/>
        <w:widowControl/>
        <w:suppressLineNumbers w:val="0"/>
        <w:jc w:val="left"/>
        <w:rPr>
          <w:rFonts w:hint="default" w:ascii="Times New Roman Regular" w:hAnsi="Times New Roman Regular" w:cs="Times New Roman Regular"/>
          <w:b/>
          <w:bCs/>
          <w:sz w:val="24"/>
          <w:szCs w:val="24"/>
        </w:rPr>
      </w:pPr>
    </w:p>
    <w:p w14:paraId="7D054FEE">
      <w:pPr>
        <w:pStyle w:val="5"/>
        <w:keepNext w:val="0"/>
        <w:keepLines w:val="0"/>
        <w:widowControl/>
        <w:suppressLineNumbers w:val="0"/>
        <w:rPr>
          <w:rFonts w:hint="default" w:ascii="Times New Roman Regular" w:hAnsi="Times New Roman Regular" w:cs="Times New Roman Regular"/>
          <w:sz w:val="20"/>
          <w:szCs w:val="20"/>
        </w:rPr>
      </w:pPr>
      <w:r>
        <w:rPr>
          <w:rFonts w:hint="default" w:ascii="Times New Roman Bold" w:hAnsi="Times New Roman Bold" w:cs="Times New Roman Bold"/>
          <w:b/>
          <w:bCs/>
          <w:sz w:val="20"/>
          <w:szCs w:val="20"/>
        </w:rPr>
        <w:t>Running title</w:t>
      </w:r>
      <w:r>
        <w:rPr>
          <w:rFonts w:hint="default" w:ascii="Times New Roman Bold" w:hAnsi="Times New Roman Bold" w:cs="Times New Roman Bold"/>
          <w:b/>
          <w:bCs/>
          <w:sz w:val="20"/>
          <w:szCs w:val="20"/>
        </w:rPr>
        <w:br w:type="textWrapping"/>
      </w:r>
      <w:r>
        <w:rPr>
          <w:rFonts w:hint="default" w:ascii="Times New Roman Regular" w:hAnsi="Times New Roman Regular" w:cs="Times New Roman Regular"/>
          <w:sz w:val="20"/>
          <w:szCs w:val="20"/>
        </w:rPr>
        <w:t>Glymphatic-related MRI changes after STN-DBS in PD</w:t>
      </w:r>
    </w:p>
    <w:p w14:paraId="638F7799">
      <w:pPr>
        <w:spacing w:after="120" w:line="259" w:lineRule="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Peng Chen</w:t>
      </w:r>
      <w:r>
        <w:rPr>
          <w:rFonts w:hint="default" w:ascii="Times New Roman Regular" w:hAnsi="Times New Roman Regular" w:cs="Times New Roman Regular"/>
          <w:sz w:val="20"/>
          <w:szCs w:val="20"/>
          <w:vertAlign w:val="superscript"/>
        </w:rPr>
        <w:t>1,2</w:t>
      </w:r>
      <w:r>
        <w:rPr>
          <w:rFonts w:hint="default" w:ascii="Times New Roman Regular" w:hAnsi="Times New Roman Regular" w:cs="Times New Roman Regular"/>
          <w:sz w:val="20"/>
          <w:szCs w:val="20"/>
          <w:vertAlign w:val="superscript"/>
          <w:lang w:val="en-US"/>
        </w:rPr>
        <w:t>#</w:t>
      </w:r>
      <w:r>
        <w:rPr>
          <w:rFonts w:hint="default" w:ascii="Times New Roman Regular" w:hAnsi="Times New Roman Regular" w:cs="Times New Roman Regular"/>
          <w:sz w:val="20"/>
          <w:szCs w:val="20"/>
        </w:rPr>
        <w:t>, Chi Xiong</w:t>
      </w:r>
      <w:r>
        <w:rPr>
          <w:rFonts w:hint="default" w:ascii="Times New Roman Regular" w:hAnsi="Times New Roman Regular" w:cs="Times New Roman Regular"/>
          <w:sz w:val="20"/>
          <w:szCs w:val="20"/>
          <w:vertAlign w:val="superscript"/>
        </w:rPr>
        <w:t>1,2</w:t>
      </w:r>
      <w:r>
        <w:rPr>
          <w:rFonts w:hint="default" w:ascii="Times New Roman Regular" w:hAnsi="Times New Roman Regular" w:cs="Times New Roman Regular"/>
          <w:sz w:val="20"/>
          <w:szCs w:val="20"/>
          <w:vertAlign w:val="superscript"/>
          <w:lang w:val="en-US"/>
        </w:rPr>
        <w:t>#</w:t>
      </w:r>
      <w:r>
        <w:rPr>
          <w:rFonts w:hint="default" w:ascii="Times New Roman Regular" w:hAnsi="Times New Roman Regular" w:cs="Times New Roman Regular"/>
          <w:sz w:val="20"/>
          <w:szCs w:val="20"/>
        </w:rPr>
        <w:t>, Manli Jiang</w:t>
      </w:r>
      <w:r>
        <w:rPr>
          <w:rFonts w:hint="default" w:ascii="Times New Roman Regular" w:hAnsi="Times New Roman Regular" w:cs="Times New Roman Regular"/>
          <w:sz w:val="20"/>
          <w:szCs w:val="20"/>
          <w:vertAlign w:val="superscript"/>
        </w:rPr>
        <w:t>3</w:t>
      </w:r>
      <w:r>
        <w:rPr>
          <w:rFonts w:hint="default" w:ascii="Times New Roman Regular" w:hAnsi="Times New Roman Regular" w:cs="Times New Roman Regular"/>
          <w:sz w:val="20"/>
          <w:szCs w:val="20"/>
          <w:vertAlign w:val="superscript"/>
          <w:lang w:val="en-US"/>
        </w:rPr>
        <w:t>#</w:t>
      </w:r>
      <w:r>
        <w:rPr>
          <w:rFonts w:hint="default" w:ascii="Times New Roman Regular" w:hAnsi="Times New Roman Regular" w:cs="Times New Roman Regular"/>
          <w:sz w:val="20"/>
          <w:szCs w:val="20"/>
        </w:rPr>
        <w:t xml:space="preserve">, </w:t>
      </w:r>
      <w:r>
        <w:rPr>
          <w:rFonts w:hint="default" w:ascii="Times New Roman Regular" w:hAnsi="Times New Roman Regular" w:cs="Times New Roman Regular"/>
          <w:sz w:val="20"/>
          <w:szCs w:val="20"/>
          <w:lang w:val="en-US"/>
        </w:rPr>
        <w:t>Yuanfei Wang</w:t>
      </w:r>
      <w:r>
        <w:rPr>
          <w:rFonts w:hint="default" w:ascii="Times New Roman Regular" w:hAnsi="Times New Roman Regular" w:cs="Times New Roman Regular"/>
          <w:sz w:val="20"/>
          <w:szCs w:val="20"/>
          <w:vertAlign w:val="superscript"/>
          <w:lang w:val="en-US"/>
        </w:rPr>
        <w:t>1</w:t>
      </w:r>
      <w:r>
        <w:rPr>
          <w:rFonts w:hint="default" w:ascii="Times New Roman Regular" w:hAnsi="Times New Roman Regular" w:cs="Times New Roman Regular"/>
          <w:sz w:val="20"/>
          <w:szCs w:val="20"/>
          <w:lang w:val="en-US"/>
        </w:rPr>
        <w:t xml:space="preserve">, </w:t>
      </w:r>
      <w:r>
        <w:rPr>
          <w:rFonts w:hint="default" w:ascii="Times New Roman Regular" w:hAnsi="Times New Roman Regular" w:cs="Times New Roman Regular"/>
          <w:sz w:val="20"/>
          <w:szCs w:val="20"/>
        </w:rPr>
        <w:t>Ce Zhang</w:t>
      </w:r>
      <w:r>
        <w:rPr>
          <w:rFonts w:hint="default" w:ascii="Times New Roman Regular" w:hAnsi="Times New Roman Regular" w:cs="Times New Roman Regular"/>
          <w:sz w:val="20"/>
          <w:szCs w:val="20"/>
          <w:vertAlign w:val="superscript"/>
        </w:rPr>
        <w:t>1,2</w:t>
      </w:r>
      <w:r>
        <w:rPr>
          <w:rFonts w:hint="default" w:ascii="Times New Roman Regular" w:hAnsi="Times New Roman Regular" w:cs="Times New Roman Regular"/>
          <w:sz w:val="20"/>
          <w:szCs w:val="20"/>
        </w:rPr>
        <w:t>, Shanshan Wang</w:t>
      </w:r>
      <w:r>
        <w:rPr>
          <w:rFonts w:hint="default" w:ascii="Times New Roman Regular" w:hAnsi="Times New Roman Regular" w:cs="Times New Roman Regular"/>
          <w:sz w:val="20"/>
          <w:szCs w:val="20"/>
          <w:vertAlign w:val="superscript"/>
        </w:rPr>
        <w:t>1,2</w:t>
      </w:r>
      <w:r>
        <w:rPr>
          <w:rFonts w:hint="default" w:ascii="Times New Roman Regular" w:hAnsi="Times New Roman Regular" w:cs="Times New Roman Regular"/>
          <w:sz w:val="20"/>
          <w:szCs w:val="20"/>
        </w:rPr>
        <w:t>, Hu He</w:t>
      </w:r>
      <w:r>
        <w:rPr>
          <w:rFonts w:hint="default" w:ascii="Times New Roman Regular" w:hAnsi="Times New Roman Regular" w:cs="Times New Roman Regular"/>
          <w:sz w:val="20"/>
          <w:szCs w:val="20"/>
          <w:vertAlign w:val="superscript"/>
        </w:rPr>
        <w:t>1,2</w:t>
      </w:r>
      <w:r>
        <w:rPr>
          <w:rFonts w:hint="default" w:ascii="Times New Roman Regular" w:hAnsi="Times New Roman Regular" w:cs="Times New Roman Regular"/>
          <w:sz w:val="20"/>
          <w:szCs w:val="20"/>
        </w:rPr>
        <w:t>, Jianmin Si</w:t>
      </w:r>
      <w:r>
        <w:rPr>
          <w:rFonts w:hint="default" w:ascii="Times New Roman Regular" w:hAnsi="Times New Roman Regular" w:cs="Times New Roman Regular"/>
          <w:sz w:val="20"/>
          <w:szCs w:val="20"/>
          <w:vertAlign w:val="superscript"/>
        </w:rPr>
        <w:t>2,4*</w:t>
      </w:r>
      <w:r>
        <w:rPr>
          <w:rFonts w:hint="default" w:ascii="Times New Roman Regular" w:hAnsi="Times New Roman Regular" w:cs="Times New Roman Regular"/>
          <w:sz w:val="20"/>
          <w:szCs w:val="20"/>
        </w:rPr>
        <w:t>, Chaoshi Niu</w:t>
      </w:r>
      <w:r>
        <w:rPr>
          <w:rFonts w:hint="default" w:ascii="Times New Roman Regular" w:hAnsi="Times New Roman Regular" w:cs="Times New Roman Regular"/>
          <w:sz w:val="20"/>
          <w:szCs w:val="20"/>
          <w:vertAlign w:val="superscript"/>
        </w:rPr>
        <w:t>1,2,4*</w:t>
      </w:r>
    </w:p>
    <w:p w14:paraId="6CD38609">
      <w:pPr>
        <w:keepNext w:val="0"/>
        <w:keepLines w:val="0"/>
        <w:widowControl/>
        <w:suppressLineNumbers w:val="0"/>
        <w:jc w:val="left"/>
        <w:rPr>
          <w:rFonts w:hint="default" w:ascii="Times New Roman Regular" w:hAnsi="Times New Roman Regular" w:eastAsia="ArialMT" w:cs="Times New Roman Regular"/>
          <w:color w:val="000000"/>
          <w:kern w:val="0"/>
          <w:sz w:val="21"/>
          <w:szCs w:val="21"/>
          <w:lang w:val="en-US" w:eastAsia="zh-CN" w:bidi="ar"/>
        </w:rPr>
      </w:pPr>
      <w:r>
        <w:rPr>
          <w:rFonts w:hint="default" w:ascii="Times New Roman Regular" w:hAnsi="Times New Roman Regular" w:eastAsia="ArialMT" w:cs="Times New Roman Regular"/>
          <w:color w:val="000000"/>
          <w:kern w:val="0"/>
          <w:sz w:val="21"/>
          <w:szCs w:val="21"/>
          <w:lang w:val="en-US" w:eastAsia="zh-CN" w:bidi="ar"/>
        </w:rPr>
        <w:t xml:space="preserve"> </w:t>
      </w:r>
    </w:p>
    <w:p w14:paraId="4C6029DE">
      <w:pPr>
        <w:pStyle w:val="11"/>
        <w:keepNext w:val="0"/>
        <w:keepLines w:val="0"/>
        <w:widowControl/>
        <w:suppressLineNumbers w:val="0"/>
        <w:rPr>
          <w:rFonts w:hint="default" w:ascii="Times New Roman Regular" w:hAnsi="Times New Roman Regular" w:eastAsia="宋体" w:cs="Times New Roman Regular"/>
          <w:b w:val="0"/>
          <w:bCs/>
          <w:color w:val="auto"/>
          <w:kern w:val="2"/>
          <w:sz w:val="21"/>
          <w:szCs w:val="24"/>
          <w:lang w:val="en-US" w:eastAsia="zh-CN" w:bidi="ar-SA"/>
        </w:rPr>
      </w:pPr>
    </w:p>
    <w:p w14:paraId="4EA95BB5">
      <w:pPr>
        <w:pStyle w:val="11"/>
        <w:keepNext w:val="0"/>
        <w:keepLines w:val="0"/>
        <w:widowControl/>
        <w:suppressLineNumbers w:val="0"/>
        <w:rPr>
          <w:rFonts w:hint="default" w:ascii="Times New Roman Regular" w:hAnsi="Times New Roman Regular" w:eastAsia="宋体" w:cs="Times New Roman Regular"/>
          <w:b w:val="0"/>
          <w:bCs/>
          <w:color w:val="auto"/>
          <w:kern w:val="2"/>
          <w:sz w:val="21"/>
          <w:szCs w:val="24"/>
          <w:lang w:val="en-US" w:eastAsia="zh-CN" w:bidi="ar-SA"/>
        </w:rPr>
      </w:pPr>
    </w:p>
    <w:p w14:paraId="4B0AB55A">
      <w:pPr>
        <w:pStyle w:val="6"/>
        <w:rPr>
          <w:rFonts w:hint="default" w:eastAsia="宋体"/>
          <w:sz w:val="21"/>
          <w:szCs w:val="21"/>
          <w:lang w:val="en-US" w:eastAsia="zh-CN"/>
        </w:rPr>
      </w:pPr>
      <w:r>
        <w:rPr>
          <w:sz w:val="21"/>
          <w:szCs w:val="21"/>
        </w:rPr>
        <w:t>Supplementary Methods</w:t>
      </w:r>
      <w:r>
        <w:rPr>
          <w:rFonts w:hint="eastAsia"/>
          <w:sz w:val="21"/>
          <w:szCs w:val="21"/>
          <w:lang w:val="en-US" w:eastAsia="zh-CN"/>
        </w:rPr>
        <w:t xml:space="preserve"> 1</w:t>
      </w:r>
      <w:r>
        <w:rPr>
          <w:rFonts w:hint="default"/>
          <w:sz w:val="21"/>
          <w:szCs w:val="21"/>
          <w:lang w:val="en-US"/>
        </w:rPr>
        <w:t xml:space="preserve">: Participants </w:t>
      </w:r>
      <w:r>
        <w:rPr>
          <w:rFonts w:hint="eastAsia"/>
          <w:sz w:val="21"/>
          <w:szCs w:val="21"/>
          <w:lang w:val="en-US" w:eastAsia="zh-CN"/>
        </w:rPr>
        <w:t>and</w:t>
      </w:r>
      <w:r>
        <w:rPr>
          <w:rFonts w:hint="default"/>
          <w:sz w:val="21"/>
          <w:szCs w:val="21"/>
          <w:lang w:val="en-US" w:eastAsia="zh-CN"/>
        </w:rPr>
        <w:t xml:space="preserve"> </w:t>
      </w:r>
      <w:r>
        <w:rPr>
          <w:rFonts w:hint="default" w:ascii="Times New Roman Bold" w:hAnsi="Times New Roman Bold" w:cs="Times New Roman Bold" w:eastAsiaTheme="minorEastAsia"/>
          <w:b/>
          <w:bCs/>
          <w:kern w:val="0"/>
          <w:sz w:val="20"/>
          <w:szCs w:val="20"/>
          <w:lang w:val="en-US" w:eastAsia="zh-CN" w:bidi="ar"/>
        </w:rPr>
        <w:t>DBS surgery</w:t>
      </w:r>
    </w:p>
    <w:p w14:paraId="4F7EAD76">
      <w:pPr>
        <w:pStyle w:val="11"/>
        <w:keepNext w:val="0"/>
        <w:keepLines w:val="0"/>
        <w:widowControl/>
        <w:suppressLineNumbers w:val="0"/>
        <w:rPr>
          <w:rFonts w:hint="default" w:ascii="Times New Roman Bold" w:hAnsi="Times New Roman Bold" w:eastAsia="宋体" w:cs="Times New Roman Bold"/>
          <w:b/>
          <w:bCs w:val="0"/>
          <w:color w:val="auto"/>
          <w:kern w:val="2"/>
          <w:sz w:val="21"/>
          <w:szCs w:val="24"/>
          <w:lang w:val="en-US" w:eastAsia="zh-CN" w:bidi="ar-SA"/>
        </w:rPr>
      </w:pPr>
      <w:r>
        <w:rPr>
          <w:rFonts w:hint="default" w:ascii="Times New Roman Bold" w:hAnsi="Times New Roman Bold" w:eastAsia="宋体" w:cs="Times New Roman Bold"/>
          <w:b/>
          <w:bCs w:val="0"/>
          <w:color w:val="auto"/>
          <w:kern w:val="2"/>
          <w:sz w:val="21"/>
          <w:szCs w:val="24"/>
          <w:lang w:val="en-US" w:eastAsia="zh-CN" w:bidi="ar-SA"/>
        </w:rPr>
        <w:t xml:space="preserve">Participants </w:t>
      </w:r>
    </w:p>
    <w:p w14:paraId="50B40F58">
      <w:pPr>
        <w:pStyle w:val="11"/>
        <w:keepNext w:val="0"/>
        <w:keepLines w:val="0"/>
        <w:widowControl/>
        <w:suppressLineNumbers w:val="0"/>
        <w:rPr>
          <w:rFonts w:hint="default" w:ascii="Times New Roman Regular" w:hAnsi="Times New Roman Regular" w:eastAsia="宋体" w:cs="Times New Roman Regular"/>
          <w:b w:val="0"/>
          <w:bCs/>
          <w:color w:val="auto"/>
          <w:kern w:val="2"/>
          <w:sz w:val="21"/>
          <w:szCs w:val="24"/>
          <w:lang w:val="en-US" w:eastAsia="zh-CN" w:bidi="ar-SA"/>
        </w:rPr>
      </w:pPr>
      <w:r>
        <w:rPr>
          <w:rFonts w:hint="default" w:ascii="Times New Roman Regular" w:hAnsi="Times New Roman Regular" w:eastAsia="宋体" w:cs="Times New Roman Regular"/>
          <w:b w:val="0"/>
          <w:bCs/>
          <w:color w:val="auto"/>
          <w:kern w:val="2"/>
          <w:sz w:val="21"/>
          <w:szCs w:val="24"/>
          <w:lang w:val="en-US" w:eastAsia="zh-CN" w:bidi="ar-SA"/>
        </w:rPr>
        <w:t>The inclusion criteria were as follows: (1) age between 18 years and 75 years; (2) Mini-Mental State Examination (MMSE) score higher than 24; (3) Hoehn and Yahr scale higher than stage 2.5 in the medication ‘OFF’ state; (4) PD duration longer than 5 years; (5) established positive response to dopaminergic medication, with at least a 30% improvement in the motor symptom section (Part III) of the UPDRS with levodopa; and (6) ability to provide informed consent as determined by preoperative neuropsychological assessment. Exclusion criteria were as follows: (1) ineligibility for DBS, for example, known inability to undergo anesthesia; (2) history of hydrocephalus, brain atrophy, cerebral infarction or cerebrovascular diseases; (3) inability to follow verbal instructions; (4) history of any other severe chronic condition that may confound treatment effects or interpretation of the data; and (5) presence of MRI contraindications or inability to complete MRI. No adverse events were reported during the study. This project was approved by the ethics committees of  (no. ), , with ClinicalTrails.gov identifier NCT02937727. Written informed consent was obtained from all participants.</w:t>
      </w:r>
    </w:p>
    <w:p w14:paraId="298BB5D3">
      <w:pPr>
        <w:pStyle w:val="11"/>
        <w:keepNext w:val="0"/>
        <w:keepLines w:val="0"/>
        <w:widowControl/>
        <w:suppressLineNumbers w:val="0"/>
        <w:rPr>
          <w:rFonts w:hint="default" w:ascii="Times New Roman Regular" w:hAnsi="Times New Roman Regular" w:eastAsia="宋体" w:cs="Times New Roman Regular"/>
          <w:b w:val="0"/>
          <w:bCs/>
          <w:color w:val="auto"/>
          <w:kern w:val="2"/>
          <w:sz w:val="21"/>
          <w:szCs w:val="24"/>
          <w:lang w:val="en-US" w:eastAsia="zh-CN" w:bidi="ar-SA"/>
        </w:rPr>
      </w:pPr>
    </w:p>
    <w:p w14:paraId="406E8A3F">
      <w:pPr>
        <w:pStyle w:val="11"/>
        <w:keepNext w:val="0"/>
        <w:keepLines w:val="0"/>
        <w:widowControl/>
        <w:suppressLineNumbers w:val="0"/>
        <w:rPr>
          <w:rFonts w:hint="default" w:ascii="Times New Roman Regular" w:hAnsi="Times New Roman Regular" w:eastAsia="宋体" w:cs="Times New Roman Regular"/>
          <w:b w:val="0"/>
          <w:bCs/>
          <w:color w:val="auto"/>
          <w:kern w:val="2"/>
          <w:sz w:val="21"/>
          <w:szCs w:val="24"/>
          <w:lang w:val="en-US" w:eastAsia="zh-CN" w:bidi="ar-SA"/>
        </w:rPr>
      </w:pPr>
      <w:r>
        <w:rPr>
          <w:rFonts w:hint="default" w:ascii="Times New Roman Bold" w:hAnsi="Times New Roman Bold" w:eastAsia="宋体" w:cs="Times New Roman Bold"/>
          <w:b/>
          <w:bCs w:val="0"/>
          <w:color w:val="auto"/>
          <w:kern w:val="2"/>
          <w:sz w:val="21"/>
          <w:szCs w:val="24"/>
          <w:lang w:val="en-US" w:eastAsia="zh-CN" w:bidi="ar-SA"/>
        </w:rPr>
        <w:t>DBS surgery</w:t>
      </w:r>
      <w:r>
        <w:rPr>
          <w:rFonts w:hint="default" w:ascii="Times New Roman Regular" w:hAnsi="Times New Roman Regular" w:eastAsia="宋体" w:cs="Times New Roman Regular"/>
          <w:b w:val="0"/>
          <w:bCs/>
          <w:color w:val="auto"/>
          <w:kern w:val="2"/>
          <w:sz w:val="21"/>
          <w:szCs w:val="24"/>
          <w:lang w:val="en-US" w:eastAsia="zh-CN" w:bidi="ar-SA"/>
        </w:rPr>
        <w:t xml:space="preserve"> </w:t>
      </w:r>
    </w:p>
    <w:p w14:paraId="65C922E3">
      <w:pPr>
        <w:pStyle w:val="11"/>
        <w:keepNext w:val="0"/>
        <w:keepLines w:val="0"/>
        <w:widowControl/>
        <w:suppressLineNumbers w:val="0"/>
        <w:rPr>
          <w:rFonts w:hint="default" w:ascii="Times New Roman Regular" w:hAnsi="Times New Roman Regular" w:eastAsia="宋体" w:cs="Times New Roman Regular"/>
          <w:b w:val="0"/>
          <w:bCs/>
          <w:color w:val="auto"/>
          <w:kern w:val="2"/>
          <w:sz w:val="21"/>
          <w:szCs w:val="24"/>
          <w:lang w:val="en-US" w:eastAsia="zh-CN" w:bidi="ar-SA"/>
        </w:rPr>
      </w:pPr>
      <w:r>
        <w:rPr>
          <w:rFonts w:hint="default" w:ascii="Times New Roman Regular" w:hAnsi="Times New Roman Regular" w:eastAsia="宋体" w:cs="Times New Roman Regular"/>
          <w:b w:val="0"/>
          <w:bCs/>
          <w:color w:val="auto"/>
          <w:kern w:val="2"/>
          <w:sz w:val="21"/>
          <w:szCs w:val="24"/>
          <w:lang w:val="en-US" w:eastAsia="zh-CN" w:bidi="ar-SA"/>
        </w:rPr>
        <w:t>Each patient underwent standard frame-based stereotaxic DBS implantation surgery. The targets for DBS were the bilateral STNs, which were localized using presurgical structural MR scans, intraoperative electrophysiological recordings and motor symptom improvement after stimulation during the surgery. For each patient, two quadripolar DBS electrodes (model L301C, Pins Medical Co., Ltd) were implanted bilaterally into the STN. A low field potential sensing-enabled neurostimulator (G106R, Beijing Pins Medical Co., Ltd) was connected to the leads (model E202C, Pins Medical Co., Ltd) during a single operation. Each component of the MRI-compatible DBS system received approval from the National Medical Products Administration of China, formerly known as the China Food and Drug Administration. For the DBS system, stimulation can be turned on or off during MRI.</w:t>
      </w:r>
    </w:p>
    <w:p w14:paraId="62E57640">
      <w:pPr>
        <w:pStyle w:val="11"/>
        <w:keepNext w:val="0"/>
        <w:keepLines w:val="0"/>
        <w:widowControl/>
        <w:suppressLineNumbers w:val="0"/>
        <w:rPr>
          <w:rFonts w:hint="default" w:ascii="Times New Roman Regular" w:hAnsi="Times New Roman Regular" w:eastAsia="宋体" w:cs="Times New Roman Regular"/>
          <w:b w:val="0"/>
          <w:bCs/>
          <w:color w:val="auto"/>
          <w:kern w:val="2"/>
          <w:sz w:val="21"/>
          <w:szCs w:val="24"/>
          <w:lang w:val="en-US" w:eastAsia="zh-CN" w:bidi="ar-SA"/>
        </w:rPr>
      </w:pPr>
      <w:r>
        <w:rPr>
          <w:rFonts w:hint="default" w:ascii="Times New Roman Regular" w:hAnsi="Times New Roman Regular" w:eastAsia="宋体" w:cs="Times New Roman Regular"/>
          <w:b w:val="0"/>
          <w:bCs/>
          <w:color w:val="auto"/>
          <w:kern w:val="2"/>
          <w:sz w:val="21"/>
          <w:szCs w:val="24"/>
          <w:lang w:val="en-US" w:eastAsia="zh-CN" w:bidi="ar-SA"/>
        </w:rPr>
        <w:t>DBS parameters were initially programmed 4 weeks after surgery by two experienced neurologists following standardized clinical protocols. The main stimulation settings included frequency, pulse width, amplitude and active electrode contacts, all optimized individually based on motor symptom improvement and side-effect profile. At each postsurgical visit, two neurologists were involved in the management of each patient’s DBS system. Stimulation parameters and contact selections were reviewed and adjusted as needed based on standardized motor assessments (for example, UPDRS-III), patient feedback and observed side effects. The optimized DBS programming, which led to the best motor symptom improvement, was achieved by choosing positive and negative contacts, searching for stimulation frequency, amplitude and pulse width.</w:t>
      </w:r>
    </w:p>
    <w:p w14:paraId="2E319546">
      <w:pPr>
        <w:pStyle w:val="11"/>
        <w:keepNext w:val="0"/>
        <w:keepLines w:val="0"/>
        <w:widowControl/>
        <w:suppressLineNumbers w:val="0"/>
        <w:rPr>
          <w:rFonts w:hint="default" w:ascii="Times New Roman Regular" w:hAnsi="Times New Roman Regular" w:eastAsia="宋体" w:cs="Times New Roman Regular"/>
          <w:b w:val="0"/>
          <w:bCs/>
          <w:color w:val="auto"/>
          <w:kern w:val="2"/>
          <w:sz w:val="21"/>
          <w:szCs w:val="24"/>
          <w:lang w:val="en-US" w:eastAsia="zh-CN" w:bidi="ar-SA"/>
        </w:rPr>
      </w:pPr>
    </w:p>
    <w:p w14:paraId="2F7A5F07">
      <w:pPr>
        <w:pStyle w:val="11"/>
        <w:keepNext w:val="0"/>
        <w:keepLines w:val="0"/>
        <w:widowControl/>
        <w:suppressLineNumbers w:val="0"/>
        <w:rPr>
          <w:rFonts w:hint="default" w:ascii="Times New Roman" w:hAnsi="Times New Roman" w:eastAsia="宋体" w:cs="Times New Roman"/>
          <w:b/>
          <w:color w:val="000000"/>
          <w:spacing w:val="5"/>
          <w:kern w:val="28"/>
          <w:sz w:val="21"/>
          <w:szCs w:val="21"/>
          <w:lang w:val="en-US" w:eastAsia="zh-CN"/>
        </w:rPr>
      </w:pPr>
      <w:r>
        <w:rPr>
          <w:rFonts w:ascii="Times New Roman" w:hAnsi="Times New Roman" w:eastAsia="宋体" w:cs="Times New Roman"/>
          <w:b/>
          <w:color w:val="000000"/>
          <w:spacing w:val="5"/>
          <w:kern w:val="28"/>
          <w:sz w:val="21"/>
          <w:szCs w:val="21"/>
          <w:lang/>
        </w:rPr>
        <w:t>Supplementary Methods</w:t>
      </w:r>
      <w:r>
        <w:rPr>
          <w:rFonts w:hint="eastAsia" w:eastAsia="宋体" w:cs="Times New Roman"/>
          <w:b/>
          <w:color w:val="000000"/>
          <w:spacing w:val="5"/>
          <w:kern w:val="28"/>
          <w:sz w:val="21"/>
          <w:szCs w:val="21"/>
          <w:lang w:val="en-US" w:eastAsia="zh-CN"/>
        </w:rPr>
        <w:t xml:space="preserve"> 2</w:t>
      </w:r>
      <w:r>
        <w:rPr>
          <w:rFonts w:hint="default" w:ascii="Times New Roman" w:hAnsi="Times New Roman" w:eastAsia="宋体" w:cs="Times New Roman"/>
          <w:b/>
          <w:color w:val="000000"/>
          <w:spacing w:val="5"/>
          <w:kern w:val="28"/>
          <w:sz w:val="21"/>
          <w:szCs w:val="21"/>
          <w:lang w:val="en-US"/>
        </w:rPr>
        <w:t>:</w:t>
      </w:r>
      <w:r>
        <w:rPr>
          <w:rFonts w:hint="eastAsia" w:ascii="Times New Roman" w:hAnsi="Times New Roman" w:eastAsia="宋体" w:cs="Times New Roman"/>
          <w:b/>
          <w:color w:val="000000"/>
          <w:spacing w:val="5"/>
          <w:kern w:val="28"/>
          <w:sz w:val="21"/>
          <w:szCs w:val="21"/>
          <w:lang w:val="en-US" w:eastAsia="zh-CN"/>
        </w:rPr>
        <w:t xml:space="preserve"> </w:t>
      </w:r>
      <w:r>
        <w:rPr>
          <w:rFonts w:hint="default" w:ascii="Times New Roman" w:hAnsi="Times New Roman" w:eastAsia="宋体" w:cs="Times New Roman"/>
          <w:b/>
          <w:color w:val="000000"/>
          <w:spacing w:val="5"/>
          <w:kern w:val="28"/>
          <w:sz w:val="21"/>
          <w:szCs w:val="21"/>
          <w:lang w:val="en-US" w:eastAsia="zh-CN"/>
        </w:rPr>
        <w:t>Postoperative DBS-related artifact handling in resting-state fMRI</w:t>
      </w:r>
    </w:p>
    <w:p w14:paraId="32CD6DE3">
      <w:pPr>
        <w:pStyle w:val="11"/>
        <w:keepNext w:val="0"/>
        <w:keepLines w:val="0"/>
        <w:widowControl/>
        <w:suppressLineNumbers w:val="0"/>
        <w:rPr>
          <w:rFonts w:hint="default" w:ascii="Times New Roman Regular" w:hAnsi="Times New Roman Regular" w:eastAsia="宋体" w:cs="Times New Roman Regular"/>
          <w:b w:val="0"/>
          <w:bCs/>
          <w:color w:val="auto"/>
          <w:kern w:val="2"/>
          <w:sz w:val="21"/>
          <w:szCs w:val="24"/>
          <w:lang w:val="en-US" w:eastAsia="zh-CN" w:bidi="ar-SA"/>
        </w:rPr>
      </w:pPr>
      <w:r>
        <w:rPr>
          <w:rFonts w:hint="default" w:ascii="Times New Roman Regular" w:hAnsi="Times New Roman Regular" w:eastAsia="宋体" w:cs="Times New Roman Regular"/>
          <w:b w:val="0"/>
          <w:bCs/>
          <w:color w:val="auto"/>
          <w:kern w:val="2"/>
          <w:sz w:val="21"/>
          <w:szCs w:val="24"/>
          <w:lang w:val="en-US" w:eastAsia="zh-CN" w:bidi="ar-SA"/>
        </w:rPr>
        <w:t>Postoperative resting-state fMRI data were specifically inspected for DBS lead-related susceptibility artifacts, including focal signal dropout, geometric distortion, and regions of abnormally low temporal signal stability surrounding the electrode trajectories. Because such artifacts may contaminate global BOLD signal estimation and compromise preoperative–postoperative comparability, they were not corrected by signal interpolation or inpainting. Instead, artifact-affected voxels were excluded from the valid grey-matter mask used for gBOLD extraction.</w:t>
      </w:r>
    </w:p>
    <w:p w14:paraId="523ED542">
      <w:pPr>
        <w:pStyle w:val="11"/>
        <w:keepNext w:val="0"/>
        <w:keepLines w:val="0"/>
        <w:widowControl/>
        <w:suppressLineNumbers w:val="0"/>
        <w:rPr>
          <w:rFonts w:hint="default" w:ascii="Times New Roman Regular" w:hAnsi="Times New Roman Regular" w:eastAsia="宋体" w:cs="Times New Roman Regular"/>
          <w:b w:val="0"/>
          <w:bCs/>
          <w:color w:val="auto"/>
          <w:kern w:val="2"/>
          <w:sz w:val="21"/>
          <w:szCs w:val="24"/>
          <w:lang w:val="en-US" w:eastAsia="zh-CN" w:bidi="ar-SA"/>
        </w:rPr>
      </w:pPr>
      <w:r>
        <w:rPr>
          <w:rFonts w:hint="default" w:ascii="Times New Roman Regular" w:hAnsi="Times New Roman Regular" w:eastAsia="宋体" w:cs="Times New Roman Regular"/>
          <w:b w:val="0"/>
          <w:bCs/>
          <w:color w:val="auto"/>
          <w:kern w:val="2"/>
          <w:sz w:val="21"/>
          <w:szCs w:val="24"/>
          <w:lang w:val="en-US" w:eastAsia="zh-CN" w:bidi="ar-SA"/>
        </w:rPr>
        <w:t>For each postoperative scan, an individual DBS artifact mask was generated in the native postoperative BOLD space. The mask was defined to cover visually identifiable electrode-related signal voids and adjacent distorted regions on the postoperative mean BOLD and temporal signal-quality maps. The postoperative artifact mask was binarized and visually checked to ensure that it covered the susceptibility artifact region while avoiding unnecessary exclusion of remote brain tissue.</w:t>
      </w:r>
    </w:p>
    <w:p w14:paraId="637F5942">
      <w:pPr>
        <w:pStyle w:val="11"/>
        <w:keepNext w:val="0"/>
        <w:keepLines w:val="0"/>
        <w:widowControl/>
        <w:suppressLineNumbers w:val="0"/>
        <w:rPr>
          <w:rFonts w:hint="default" w:ascii="Times New Roman Regular" w:hAnsi="Times New Roman Regular" w:eastAsia="宋体" w:cs="Times New Roman Regular"/>
          <w:b w:val="0"/>
          <w:bCs/>
          <w:color w:val="auto"/>
          <w:kern w:val="2"/>
          <w:sz w:val="21"/>
          <w:szCs w:val="24"/>
          <w:lang w:val="en-US" w:eastAsia="zh-CN" w:bidi="ar-SA"/>
        </w:rPr>
      </w:pPr>
      <w:r>
        <w:rPr>
          <w:rFonts w:hint="default" w:ascii="Times New Roman Regular" w:hAnsi="Times New Roman Regular" w:eastAsia="宋体" w:cs="Times New Roman Regular"/>
          <w:b w:val="0"/>
          <w:bCs/>
          <w:color w:val="auto"/>
          <w:kern w:val="2"/>
          <w:sz w:val="21"/>
          <w:szCs w:val="24"/>
          <w:lang w:val="en-US" w:eastAsia="zh-CN" w:bidi="ar-SA"/>
        </w:rPr>
        <w:t>To ensure that preoperative and postoperative global BOLD signals were extracted from spatially comparable tissue, the postoperative mean BOLD image was rigidly registered to the corresponding preoperative mean BOLD image. The postoperative artifact mask was then transformed into the preoperative BOLD reference space using the same postoperative-to-preoperative transformation and nearest-neighbour interpolation. Nearest-neighbour interpolation was used for all binary masks to preserve mask labels.</w:t>
      </w:r>
    </w:p>
    <w:p w14:paraId="621233CE">
      <w:pPr>
        <w:pStyle w:val="11"/>
        <w:keepNext w:val="0"/>
        <w:keepLines w:val="0"/>
        <w:widowControl/>
        <w:suppressLineNumbers w:val="0"/>
        <w:rPr>
          <w:rFonts w:hint="default" w:ascii="Times New Roman Regular" w:hAnsi="Times New Roman Regular" w:eastAsia="宋体" w:cs="Times New Roman Regular"/>
          <w:b w:val="0"/>
          <w:bCs/>
          <w:color w:val="auto"/>
          <w:kern w:val="2"/>
          <w:sz w:val="21"/>
          <w:szCs w:val="24"/>
          <w:lang w:val="en-US" w:eastAsia="zh-CN" w:bidi="ar-SA"/>
        </w:rPr>
      </w:pPr>
      <w:r>
        <w:rPr>
          <w:rFonts w:hint="default" w:ascii="Times New Roman Regular" w:hAnsi="Times New Roman Regular" w:eastAsia="宋体" w:cs="Times New Roman Regular"/>
          <w:b w:val="0"/>
          <w:bCs/>
          <w:color w:val="auto"/>
          <w:kern w:val="2"/>
          <w:sz w:val="21"/>
          <w:szCs w:val="24"/>
          <w:lang w:val="en-US" w:eastAsia="zh-CN" w:bidi="ar-SA"/>
        </w:rPr>
        <w:t>A longitudinal common-valid grey-matter mask was then constructed in the preoperative BOLD reference space. This mask included voxels that satisfied all of the following criteria: grey-matter probability above the predefined threshold, acceptable temporal signal-to-noise ratio in the preoperative scan, acceptable temporal signal-to-noise ratio in the postoperative scan after transformation to the preoperative space, and no overlap with the transformed postoperative DBS artifact mask. In other words, voxels affected by postoperative DBS artifacts were excluded from both the preoperative and postoperative gBOLD extraction masks, even if the corresponding region appeared normal preoperatively.</w:t>
      </w:r>
    </w:p>
    <w:p w14:paraId="590D2A33">
      <w:pPr>
        <w:pStyle w:val="11"/>
        <w:keepNext w:val="0"/>
        <w:keepLines w:val="0"/>
        <w:widowControl/>
        <w:suppressLineNumbers w:val="0"/>
        <w:rPr>
          <w:rFonts w:hint="default" w:ascii="Times New Roman Regular" w:hAnsi="Times New Roman Regular" w:eastAsia="宋体" w:cs="Times New Roman Regular"/>
          <w:b w:val="0"/>
          <w:bCs/>
          <w:color w:val="auto"/>
          <w:kern w:val="2"/>
          <w:sz w:val="21"/>
          <w:szCs w:val="24"/>
          <w:lang w:val="en-US" w:eastAsia="zh-CN" w:bidi="ar-SA"/>
        </w:rPr>
      </w:pPr>
      <w:r>
        <w:rPr>
          <w:rFonts w:hint="default" w:ascii="Times New Roman Regular" w:hAnsi="Times New Roman Regular" w:eastAsia="宋体" w:cs="Times New Roman Regular"/>
          <w:b w:val="0"/>
          <w:bCs/>
          <w:color w:val="auto"/>
          <w:kern w:val="2"/>
          <w:sz w:val="21"/>
          <w:szCs w:val="24"/>
          <w:lang w:val="en-US" w:eastAsia="zh-CN" w:bidi="ar-SA"/>
        </w:rPr>
        <w:t>The final common-valid mask was used to extract the preoperative gBOLD signal in preoperative BOLD space. For postoperative gBOLD extraction, the same common-valid mask was inverse-transformed back to the native postoperative BOLD space using nearest-neighbour interpolation. This procedure ensured that the preoperative and postoperative gBOLD time series were derived from homologous grey-matter regions that were valid at both time points and were not affected by postoperative electrode artifacts.</w:t>
      </w:r>
    </w:p>
    <w:p w14:paraId="7D79C9EF">
      <w:pPr>
        <w:pStyle w:val="11"/>
        <w:keepNext w:val="0"/>
        <w:keepLines w:val="0"/>
        <w:widowControl/>
        <w:suppressLineNumbers w:val="0"/>
        <w:rPr>
          <w:rFonts w:hint="default" w:ascii="Times New Roman Regular" w:hAnsi="Times New Roman Regular" w:eastAsia="宋体" w:cs="Times New Roman Regular"/>
          <w:b w:val="0"/>
          <w:bCs/>
          <w:color w:val="auto"/>
          <w:kern w:val="2"/>
          <w:sz w:val="21"/>
          <w:szCs w:val="24"/>
          <w:lang w:val="en-US" w:eastAsia="zh-CN" w:bidi="ar-SA"/>
        </w:rPr>
      </w:pPr>
      <w:r>
        <w:rPr>
          <w:rFonts w:hint="default" w:ascii="Times New Roman Regular" w:hAnsi="Times New Roman Regular" w:eastAsia="宋体" w:cs="Times New Roman Regular"/>
          <w:b w:val="0"/>
          <w:bCs/>
          <w:color w:val="auto"/>
          <w:kern w:val="2"/>
          <w:sz w:val="21"/>
          <w:szCs w:val="24"/>
          <w:lang w:val="en-US" w:eastAsia="zh-CN" w:bidi="ar-SA"/>
        </w:rPr>
        <w:t>Importantly, no BOLD signal within the DBS artifact region was interpolated or imputed; these voxels were excluded from both time points to avoid artifactual preoperative–postoperative differences.</w:t>
      </w:r>
      <w:r>
        <w:rPr>
          <w:rFonts w:hint="eastAsia" w:ascii="Times New Roman Regular" w:hAnsi="Times New Roman Regular" w:cs="Times New Roman Regular"/>
          <w:b w:val="0"/>
          <w:bCs/>
          <w:color w:val="auto"/>
          <w:kern w:val="2"/>
          <w:sz w:val="21"/>
          <w:szCs w:val="24"/>
          <w:lang w:val="en-US" w:eastAsia="zh-CN" w:bidi="ar-SA"/>
        </w:rPr>
        <w:t xml:space="preserve"> </w:t>
      </w:r>
      <w:r>
        <w:rPr>
          <w:rFonts w:hint="default" w:ascii="Times New Roman Regular" w:hAnsi="Times New Roman Regular" w:eastAsia="宋体" w:cs="Times New Roman Regular"/>
          <w:b w:val="0"/>
          <w:bCs/>
          <w:color w:val="auto"/>
          <w:kern w:val="2"/>
          <w:sz w:val="21"/>
          <w:szCs w:val="24"/>
          <w:lang w:val="en-US" w:eastAsia="zh-CN" w:bidi="ar-SA"/>
        </w:rPr>
        <w:t>The bottom-CSF signal was extracted from the predefined inferior CSF region of interest in each time point’s native BOLD space. CSF masks were visually inspected to ensure that they were spatially separated from DBS-related susceptibility artifacts. Cases with insufficient valid grey-matter voxels after artifact exclusion or with inadequate CSF voxels were excluded from the gBOLD</w:t>
      </w:r>
      <w:r>
        <w:rPr>
          <w:rFonts w:hint="eastAsia" w:ascii="Times New Roman Regular" w:hAnsi="Times New Roman Regular" w:cs="Times New Roman Regular"/>
          <w:b w:val="0"/>
          <w:bCs/>
          <w:color w:val="auto"/>
          <w:kern w:val="2"/>
          <w:sz w:val="21"/>
          <w:szCs w:val="24"/>
          <w:lang w:val="en-US" w:eastAsia="zh-CN" w:bidi="ar-SA"/>
        </w:rPr>
        <w:t>-</w:t>
      </w:r>
      <w:r>
        <w:rPr>
          <w:rFonts w:hint="default" w:ascii="Times New Roman Regular" w:hAnsi="Times New Roman Regular" w:eastAsia="宋体" w:cs="Times New Roman Regular"/>
          <w:b w:val="0"/>
          <w:bCs/>
          <w:color w:val="auto"/>
          <w:kern w:val="2"/>
          <w:sz w:val="21"/>
          <w:szCs w:val="24"/>
          <w:lang w:val="en-US" w:eastAsia="zh-CN" w:bidi="ar-SA"/>
        </w:rPr>
        <w:t>CSF coupling analysis.</w:t>
      </w:r>
    </w:p>
    <w:p w14:paraId="0242998F">
      <w:pPr>
        <w:pStyle w:val="11"/>
        <w:keepNext w:val="0"/>
        <w:keepLines w:val="0"/>
        <w:widowControl/>
        <w:suppressLineNumbers w:val="0"/>
        <w:rPr>
          <w:rFonts w:hint="default" w:ascii="Times New Roman Regular" w:hAnsi="Times New Roman Regular" w:eastAsia="宋体" w:cs="Times New Roman Regular"/>
          <w:b w:val="0"/>
          <w:bCs/>
          <w:color w:val="auto"/>
          <w:kern w:val="2"/>
          <w:sz w:val="21"/>
          <w:szCs w:val="24"/>
          <w:lang w:val="en-US" w:eastAsia="zh-CN" w:bidi="ar-SA"/>
        </w:rPr>
      </w:pPr>
      <w:r>
        <w:rPr>
          <w:rFonts w:hint="default" w:ascii="Times New Roman Regular" w:hAnsi="Times New Roman Regular" w:eastAsia="宋体" w:cs="Times New Roman Regular"/>
          <w:b w:val="0"/>
          <w:bCs/>
          <w:color w:val="auto"/>
          <w:kern w:val="2"/>
          <w:sz w:val="21"/>
          <w:szCs w:val="24"/>
          <w:lang w:val="en-US" w:eastAsia="zh-CN" w:bidi="ar-SA"/>
        </w:rPr>
        <w:drawing>
          <wp:inline distT="0" distB="0" distL="114300" distR="114300">
            <wp:extent cx="5266690" cy="2962910"/>
            <wp:effectExtent l="0" t="0" r="16510" b="8890"/>
            <wp:docPr id="2" name="图片 2" descr="Figure_1_editable_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ure_1_editable_04(1)"/>
                    <pic:cNvPicPr>
                      <a:picLocks noChangeAspect="1"/>
                    </pic:cNvPicPr>
                  </pic:nvPicPr>
                  <pic:blipFill>
                    <a:blip r:embed="rId4"/>
                    <a:stretch>
                      <a:fillRect/>
                    </a:stretch>
                  </pic:blipFill>
                  <pic:spPr>
                    <a:xfrm>
                      <a:off x="0" y="0"/>
                      <a:ext cx="5266690" cy="2962910"/>
                    </a:xfrm>
                    <a:prstGeom prst="rect">
                      <a:avLst/>
                    </a:prstGeom>
                  </pic:spPr>
                </pic:pic>
              </a:graphicData>
            </a:graphic>
          </wp:inline>
        </w:drawing>
      </w:r>
    </w:p>
    <w:p w14:paraId="5280FB1B">
      <w:pPr>
        <w:pStyle w:val="11"/>
        <w:keepNext w:val="0"/>
        <w:keepLines w:val="0"/>
        <w:widowControl/>
        <w:suppressLineNumbers w:val="0"/>
        <w:rPr>
          <w:rFonts w:hint="default" w:ascii="Times New Roman Regular" w:hAnsi="Times New Roman Regular" w:eastAsia="宋体" w:cs="Times New Roman Regular"/>
          <w:b w:val="0"/>
          <w:bCs/>
          <w:color w:val="auto"/>
          <w:kern w:val="2"/>
          <w:sz w:val="21"/>
          <w:szCs w:val="24"/>
          <w:lang w:val="en-US" w:eastAsia="zh-CN" w:bidi="ar-SA"/>
        </w:rPr>
      </w:pPr>
      <w:r>
        <w:rPr>
          <w:rFonts w:hint="default" w:ascii="Times New Roman Regular" w:hAnsi="Times New Roman Regular" w:eastAsia="宋体" w:cs="Times New Roman Regular"/>
          <w:b w:val="0"/>
          <w:bCs/>
          <w:color w:val="auto"/>
          <w:kern w:val="2"/>
          <w:sz w:val="21"/>
          <w:szCs w:val="24"/>
          <w:lang w:val="en-US" w:eastAsia="zh-CN" w:bidi="ar-SA"/>
        </w:rPr>
        <w:t xml:space="preserve">Supplementary Figure </w:t>
      </w:r>
      <w:r>
        <w:rPr>
          <w:rFonts w:hint="default" w:ascii="Times New Roman Regular" w:hAnsi="Times New Roman Regular" w:cs="Times New Roman Regular"/>
          <w:b w:val="0"/>
          <w:bCs/>
          <w:color w:val="auto"/>
          <w:kern w:val="2"/>
          <w:sz w:val="21"/>
          <w:szCs w:val="24"/>
          <w:lang w:val="en-US" w:eastAsia="zh-CN" w:bidi="ar-SA"/>
        </w:rPr>
        <w:t xml:space="preserve">1. Postoperative DBS artifact handling and longitudinal common-valid grey-matter mask construction for gBOLD extraction. </w:t>
      </w:r>
      <w:r>
        <w:rPr>
          <w:rFonts w:hint="default" w:ascii="Times New Roman Regular" w:hAnsi="Times New Roman Regular" w:eastAsia="宋体" w:cs="Times New Roman Regular"/>
          <w:b w:val="0"/>
          <w:bCs/>
          <w:color w:val="auto"/>
          <w:kern w:val="2"/>
          <w:sz w:val="21"/>
          <w:szCs w:val="24"/>
          <w:lang w:val="en-US" w:eastAsia="zh-CN" w:bidi="ar-SA"/>
        </w:rPr>
        <w:t>Representative quality-control images illustrating the handling of postoperative DBS-related susceptibility artifacts in the resting-state fMRI analysis. The upper panels show the common-valid grey-matter mask in preoperative BOLD space, the corresponding postoperative common-valid grey-matter mask after exclusion of artifact-affected voxels, and the registered grey-matter mask used to verify spatial correspondence across time points. Purple contours indicate the final grey-matter mask used for global BOLD signal extraction. Voxels overlapping with postoperative DBS-related signal dropout or distortion were excluded from the common-valid mask rather than interpolated or imputed. The lower panels show the postoperative mean BOLD image rigidly registered to the preoperative mean BOLD reference, with overlay images used for visual inspection of longitudinal registration accuracy. This procedure ensured that preoperative and postoperative gBOLD signals were extracted from homologous grey-matter regions that were valid at both time points and were not affected by postoperative electrode artifacts.</w:t>
      </w:r>
      <w:r>
        <w:rPr>
          <w:rFonts w:hint="default" w:ascii="Times New Roman Regular" w:hAnsi="Times New Roman Regular" w:cs="Times New Roman Regular"/>
          <w:b w:val="0"/>
          <w:bCs/>
          <w:color w:val="auto"/>
          <w:kern w:val="2"/>
          <w:sz w:val="21"/>
          <w:szCs w:val="24"/>
          <w:lang w:val="en-US" w:eastAsia="zh-CN" w:bidi="ar-SA"/>
        </w:rPr>
        <w:t xml:space="preserve"> Red and green colour indicate the postoperative artifact mask.</w:t>
      </w:r>
    </w:p>
    <w:p w14:paraId="2DEFF5EF">
      <w:pPr>
        <w:pStyle w:val="11"/>
        <w:keepNext w:val="0"/>
        <w:keepLines w:val="0"/>
        <w:widowControl/>
        <w:suppressLineNumbers w:val="0"/>
        <w:rPr>
          <w:rFonts w:hint="default" w:ascii="Times New Roman Regular" w:hAnsi="Times New Roman Regular" w:eastAsia="宋体" w:cs="Times New Roman Regular"/>
          <w:b w:val="0"/>
          <w:bCs/>
          <w:color w:val="auto"/>
          <w:kern w:val="2"/>
          <w:sz w:val="21"/>
          <w:szCs w:val="24"/>
          <w:lang w:val="en-US" w:eastAsia="zh-CN" w:bidi="ar-SA"/>
        </w:rPr>
      </w:pPr>
    </w:p>
    <w:p w14:paraId="0404402D">
      <w:pPr>
        <w:pStyle w:val="6"/>
        <w:rPr>
          <w:rFonts w:eastAsia="宋体"/>
          <w:sz w:val="21"/>
          <w:szCs w:val="21"/>
        </w:rPr>
      </w:pPr>
      <w:r>
        <w:rPr>
          <w:rFonts w:eastAsia="宋体"/>
          <w:sz w:val="21"/>
          <w:szCs w:val="21"/>
        </w:rPr>
        <w:t>Supplementary Methods</w:t>
      </w:r>
      <w:r>
        <w:rPr>
          <w:rFonts w:hint="eastAsia" w:eastAsia="宋体"/>
          <w:sz w:val="21"/>
          <w:szCs w:val="21"/>
          <w:lang w:val="en-US" w:eastAsia="zh-CN"/>
        </w:rPr>
        <w:t xml:space="preserve"> 3</w:t>
      </w:r>
      <w:r>
        <w:rPr>
          <w:rFonts w:hint="default" w:eastAsia="宋体"/>
          <w:sz w:val="21"/>
          <w:szCs w:val="21"/>
          <w:lang w:val="en-US"/>
        </w:rPr>
        <w:t>:</w:t>
      </w:r>
      <w:r>
        <w:rPr>
          <w:rFonts w:hint="eastAsia" w:eastAsia="宋体"/>
          <w:sz w:val="21"/>
          <w:szCs w:val="21"/>
          <w:lang w:val="en-US" w:eastAsia="zh-CN"/>
        </w:rPr>
        <w:t xml:space="preserve"> </w:t>
      </w:r>
      <w:r>
        <w:rPr>
          <w:rFonts w:eastAsia="宋体"/>
          <w:sz w:val="21"/>
          <w:szCs w:val="21"/>
        </w:rPr>
        <w:t>gBOLD–CSF Coupling Processing</w:t>
      </w:r>
    </w:p>
    <w:p w14:paraId="496C2B6F">
      <w:pPr>
        <w:pStyle w:val="3"/>
      </w:pPr>
      <w:r>
        <w:rPr>
          <w:rFonts w:ascii="Times New Roman" w:hAnsi="Times New Roman"/>
          <w:color w:val="000000"/>
        </w:rPr>
        <w:t>Data acquisition</w:t>
      </w:r>
    </w:p>
    <w:p w14:paraId="3D57994B">
      <w:r>
        <w:rPr>
          <w:rFonts w:ascii="Times New Roman" w:hAnsi="Times New Roman"/>
          <w:color w:val="000000"/>
        </w:rPr>
        <w:t>Resting-state functional MRI (rs-fMRI) was acquired before subthalamic nucleus deep brain stimulation (STN-DBS) and at the 1-year postoperative visit on a 3.0-T GE Discovery MR750 scanner using an 8-channel head coil. Acquisition parameters were repetition time (TR) = 2,000 ms, echo time (TE) = 30 ms, flip angle = 90°, voxel size = 3.75 × 3.75 × 4.10 mm³, field of view = 240 × 240 mm², and 202 volumes (6 min 44 s). Participants were instructed to keep their eyes closed, remain awake and still, and avoid thinking about anything in particular during scanning.</w:t>
      </w:r>
    </w:p>
    <w:p w14:paraId="18405179">
      <w:pPr>
        <w:pStyle w:val="3"/>
      </w:pPr>
      <w:r>
        <w:rPr>
          <w:rFonts w:ascii="Times New Roman" w:hAnsi="Times New Roman"/>
          <w:color w:val="000000"/>
        </w:rPr>
        <w:t>Preprocessing and quality control</w:t>
      </w:r>
    </w:p>
    <w:p w14:paraId="5492D8BF">
      <w:r>
        <w:rPr>
          <w:rFonts w:ascii="Times New Roman" w:hAnsi="Times New Roman"/>
          <w:color w:val="000000"/>
        </w:rPr>
        <w:t>Resting-state fMRI data were preprocessed in FSL using the prespecified study pipeline. The initial volumes were removed, followed by slice-timing correction, rigid-body realignment for head-motion correction, coregistration to each participant’s structural image, spatial normalization, spatial smoothing, and temporal filtering. Motion parameters and framewise displacement were calculated. Nuisance regression included motion parameters, white-matter signal, CSF signal sampled outside the target inflow region, and the additional confound regressors defined by the preprocessing pipeline.</w:t>
      </w:r>
    </w:p>
    <w:p w14:paraId="6F403720">
      <w:r>
        <w:rPr>
          <w:rFonts w:ascii="Times New Roman" w:hAnsi="Times New Roman"/>
          <w:color w:val="000000"/>
        </w:rPr>
        <w:t>For postoperative scans, individual masks of DBS-related artifact were generated when required, and analyses were restricted to valid brain voxels. A common valid brain mask was applied to the paired preoperative and postoperative scans so that gBOLD–CSF measures were derived from comparable brain regions.</w:t>
      </w:r>
    </w:p>
    <w:p w14:paraId="60443F77">
      <w:pPr>
        <w:pStyle w:val="3"/>
      </w:pPr>
      <w:r>
        <w:rPr>
          <w:rFonts w:ascii="Times New Roman" w:hAnsi="Times New Roman"/>
          <w:color w:val="000000"/>
        </w:rPr>
        <w:t>Signal extraction and lagged cross-correlation</w:t>
      </w:r>
    </w:p>
    <w:p w14:paraId="49A47BFD">
      <w:r>
        <w:rPr>
          <w:rFonts w:ascii="Times New Roman" w:hAnsi="Times New Roman"/>
          <w:color w:val="000000"/>
        </w:rPr>
        <w:t>For each scan, the global gray-matter BOLD (gBOLD) time series was obtained by averaging the preprocessed BOLD signal across valid gray-matter voxels within the common valid brain mask. The CSF inflow time series was extracted from the study-defined CSF region of interest in the inferior (bottom) fMRI slice, sampling the ventricular or subarachnoid CSF compartment as specified by the region of interest, consistent with prior gBOLD–CSF analyses. Both time series were detrended and standardized before calculation of their lagged cross-correlation.</w:t>
      </w:r>
    </w:p>
    <w:p w14:paraId="2ED8DBCC">
      <w:r>
        <w:t>At lag τ, the Pearson cross-correlation coefficient was defined as C(τ) = corr[gBOLD(t + τ), CSF(t)] and calculated using the temporally overlapping samples. The cross-correlation was evaluated over lags from −1</w:t>
      </w:r>
      <w:r>
        <w:rPr>
          <w:rFonts w:hint="eastAsia" w:eastAsia="宋体"/>
          <w:lang w:val="en-US" w:eastAsia="zh-CN"/>
        </w:rPr>
        <w:t>2</w:t>
      </w:r>
      <w:r>
        <w:t xml:space="preserve"> to +1</w:t>
      </w:r>
      <w:r>
        <w:rPr>
          <w:rFonts w:hint="eastAsia" w:eastAsia="宋体"/>
          <w:lang w:val="en-US" w:eastAsia="zh-CN"/>
        </w:rPr>
        <w:t>2</w:t>
      </w:r>
      <w:r>
        <w:t xml:space="preserve"> s in increments of one TR (2 s), following the previously described approach. The correlation coefficient at +4 s, r(+4 s), corresponding to a two-volume offset, was prespecified as the primary coupling measure based on the acquisition temporal resolution and prior work in Parkinson’s disease.</w:t>
      </w:r>
    </w:p>
    <w:p w14:paraId="7E077ABB">
      <w:pPr>
        <w:pStyle w:val="3"/>
      </w:pPr>
      <w:r>
        <w:rPr>
          <w:rFonts w:ascii="Times New Roman" w:hAnsi="Times New Roman"/>
          <w:color w:val="000000"/>
        </w:rPr>
        <w:t>Longitudinal coupling measure</w:t>
      </w:r>
    </w:p>
    <w:p w14:paraId="1F5CD8C9">
      <w:r>
        <w:rPr>
          <w:rFonts w:ascii="Times New Roman" w:hAnsi="Times New Roman"/>
          <w:color w:val="000000"/>
        </w:rPr>
        <w:t>Because stronger coupling in this framework is represented by a more negative raw r(+4 s), the oriented coupling-strength index was defined as −r(+4 s), with larger values indicating stronger gBOLD–CSF coupling. For each participant with valid paired data, the index was calculated separately at baseline and at 1 year after STN-DBS. The longitudinal change was defined as Δ coupling strength = postoperative coupling strength − preoperative coupling strength. Participants were classified as showing increased coupling when postoperative values exceeded preoperative values (Post &gt; Pre) and decreased coupling when postoperative values were lower (Post &lt; Pre). All 38 participants with paired rs-fMRI data contributed to the gBOLD–CSF coupling analysis.</w:t>
      </w:r>
    </w:p>
    <w:p w14:paraId="394117F5">
      <w:pPr>
        <w:pStyle w:val="3"/>
      </w:pPr>
      <w:r>
        <w:rPr>
          <w:rFonts w:ascii="Times New Roman" w:hAnsi="Times New Roman"/>
          <w:color w:val="000000"/>
        </w:rPr>
        <w:t>Auxiliary derivative-based visualization</w:t>
      </w:r>
    </w:p>
    <w:p w14:paraId="77AA8F68">
      <w:pPr>
        <w:rPr>
          <w:rFonts w:hint="default" w:ascii="Times New Roman Regular" w:hAnsi="Times New Roman Regular" w:eastAsia="宋体" w:cs="Times New Roman Regular"/>
          <w:b w:val="0"/>
          <w:color w:val="auto"/>
          <w:kern w:val="2"/>
          <w:sz w:val="21"/>
          <w:szCs w:val="24"/>
          <w:lang w:val="en-US" w:eastAsia="zh-CN" w:bidi="ar-SA"/>
        </w:rPr>
      </w:pPr>
      <w:r>
        <w:rPr>
          <w:rFonts w:ascii="Times New Roman" w:hAnsi="Times New Roman"/>
          <w:color w:val="000000"/>
        </w:rPr>
        <w:t>For the supplementary visualization of the physiological lag-response pattern, the negative temporal derivative of the gBOLD time series [−d(gBOLD)/dt] was also examined in relation to the CSF signal, as illustrated in Figure 2C. This derivative-based display was auxiliary; the primary longitudinal coupling index remained −r(+4 s), calculated from the original gBOLD and CSF time series.</w:t>
      </w:r>
    </w:p>
    <w:p w14:paraId="0CADFC22">
      <w:pPr>
        <w:rPr>
          <w:rFonts w:hint="default" w:ascii="Times New Roman Regular" w:hAnsi="Times New Roman Regular" w:cs="Times New Roman Regular"/>
          <w:b w:val="0"/>
        </w:rPr>
      </w:pPr>
    </w:p>
    <w:p w14:paraId="68AAB471">
      <w:pPr>
        <w:pStyle w:val="4"/>
        <w:rPr>
          <w:rFonts w:hint="default" w:ascii="Times New Roman Regular" w:hAnsi="Times New Roman Regular" w:cs="Times New Roman Regular"/>
          <w:b/>
          <w:bCs/>
        </w:rPr>
      </w:pPr>
      <w:r>
        <w:rPr>
          <w:rFonts w:hint="default" w:ascii="Times New Roman Regular" w:hAnsi="Times New Roman Regular" w:cs="Times New Roman Regular"/>
          <w:b/>
          <w:bCs/>
        </w:rPr>
        <w:t>Supplementary Methods</w:t>
      </w:r>
      <w:r>
        <w:rPr>
          <w:rFonts w:hint="eastAsia" w:ascii="Times New Roman Regular" w:hAnsi="Times New Roman Regular" w:cs="Times New Roman Regular"/>
          <w:b/>
          <w:bCs/>
          <w:lang w:val="en-US" w:eastAsia="zh-CN"/>
        </w:rPr>
        <w:t xml:space="preserve"> 4</w:t>
      </w:r>
      <w:r>
        <w:rPr>
          <w:rFonts w:hint="default" w:ascii="Times New Roman Regular" w:hAnsi="Times New Roman Regular" w:cs="Times New Roman Regular"/>
          <w:b/>
          <w:bCs/>
        </w:rPr>
        <w:t>: DSI Studio Processing for DTI-ALPS Analysis</w:t>
      </w:r>
    </w:p>
    <w:p w14:paraId="422C1793">
      <w:pPr>
        <w:pStyle w:val="4"/>
        <w:rPr>
          <w:rFonts w:hint="default" w:ascii="Times New Roman Regular" w:hAnsi="Times New Roman Regular" w:cs="Times New Roman Regular"/>
        </w:rPr>
      </w:pPr>
    </w:p>
    <w:p w14:paraId="4560B43D">
      <w:pPr>
        <w:pStyle w:val="4"/>
        <w:rPr>
          <w:rFonts w:hint="default" w:ascii="Times New Roman Regular" w:hAnsi="Times New Roman Regular" w:cs="Times New Roman Regular"/>
        </w:rPr>
      </w:pPr>
      <w:r>
        <w:rPr>
          <w:rFonts w:hint="default" w:ascii="Times New Roman Regular" w:hAnsi="Times New Roman Regular" w:cs="Times New Roman Regular"/>
          <w:b/>
          <w:bCs/>
        </w:rPr>
        <w:t>Overview</w:t>
      </w:r>
    </w:p>
    <w:p w14:paraId="48CE5227">
      <w:pPr>
        <w:pStyle w:val="4"/>
        <w:rPr>
          <w:rFonts w:hint="default" w:ascii="Times New Roman Regular" w:hAnsi="Times New Roman Regular" w:cs="Times New Roman Regular"/>
        </w:rPr>
      </w:pPr>
      <w:r>
        <w:rPr>
          <w:rFonts w:hint="default" w:ascii="Times New Roman Regular" w:hAnsi="Times New Roman Regular" w:cs="Times New Roman Regular"/>
        </w:rPr>
        <w:t>Diffusion tensor image analysis along the perivascular space (DTI-ALPS) was performed to estimate diffusivity along the direction of perivascular spaces at the level of the lateral ventricular body. The method is based on the observation that medullary veins and their surrounding perivascular spaces run predominantly in the left-right direction at this level, whereas projection fibers and association fibers run mainly in directions perpendicular to the perivascular space. DTI-ALPS therefore uses directional diffusivity values from projection-fiber and association-fiber regions to calculate an index reflecting water diffusivity along the perivascular space. DTI preprocessing, tensor reconstruction, directional diffusivity map generation, and ROI-based diffusivity extraction were performed using DSI Studio.</w:t>
      </w:r>
    </w:p>
    <w:p w14:paraId="4CE3F603">
      <w:pPr>
        <w:pStyle w:val="4"/>
        <w:rPr>
          <w:rFonts w:hint="default" w:ascii="Times New Roman Regular" w:hAnsi="Times New Roman Regular" w:cs="Times New Roman Regular"/>
        </w:rPr>
      </w:pPr>
    </w:p>
    <w:p w14:paraId="05C81968">
      <w:pPr>
        <w:pStyle w:val="4"/>
        <w:rPr>
          <w:rFonts w:hint="default" w:ascii="Times New Roman Regular" w:hAnsi="Times New Roman Regular" w:cs="Times New Roman Regular"/>
          <w:b/>
          <w:bCs/>
        </w:rPr>
      </w:pPr>
      <w:r>
        <w:rPr>
          <w:rFonts w:hint="default" w:ascii="Times New Roman Regular" w:hAnsi="Times New Roman Regular" w:cs="Times New Roman Regular"/>
          <w:b/>
          <w:bCs/>
        </w:rPr>
        <w:t>Input data preparation</w:t>
      </w:r>
    </w:p>
    <w:p w14:paraId="1C51ADF0">
      <w:pPr>
        <w:pStyle w:val="4"/>
        <w:rPr>
          <w:rFonts w:hint="default" w:ascii="Times New Roman Regular" w:hAnsi="Times New Roman Regular" w:cs="Times New Roman Regular"/>
        </w:rPr>
      </w:pPr>
      <w:r>
        <w:rPr>
          <w:rFonts w:hint="default" w:ascii="Times New Roman Regular" w:hAnsi="Times New Roman Regular" w:cs="Times New Roman Regular"/>
        </w:rPr>
        <w:t>For each participant, diffusion-weighted images were first checked for completeness, including raw diffusion images, b-value information, b-vector information, and acquisition metadata. When raw data were available in DICOM format, the DICOM files were converted to NIfTI format with corresponding b-value and b-vector files. The converted NIfTI diffusion data were then imported into DSI Studio and converted to DSI Studio SRC format. In command-line workflows, this step can be performed using DSI Studio's source-generation function, for example: dsi_studio --action=src --source=subject_dwi.nii.gz --bval=subject.bval --bvec=subject.bvec. When data were organized in BIDS format, the BIDS diffusion folder was parsed directly to generate SRC files.</w:t>
      </w:r>
    </w:p>
    <w:p w14:paraId="56E0EF09">
      <w:pPr>
        <w:pStyle w:val="4"/>
        <w:rPr>
          <w:rFonts w:hint="default" w:ascii="Times New Roman Regular" w:hAnsi="Times New Roman Regular" w:cs="Times New Roman Regular"/>
        </w:rPr>
      </w:pPr>
    </w:p>
    <w:p w14:paraId="3EC7FBBB">
      <w:pPr>
        <w:pStyle w:val="4"/>
        <w:rPr>
          <w:rFonts w:hint="default" w:ascii="Times New Roman Regular" w:hAnsi="Times New Roman Regular" w:cs="Times New Roman Regular"/>
        </w:rPr>
      </w:pPr>
      <w:r>
        <w:rPr>
          <w:rFonts w:hint="default" w:ascii="Times New Roman Regular" w:hAnsi="Times New Roman Regular" w:cs="Times New Roman Regular"/>
          <w:b/>
          <w:bCs/>
        </w:rPr>
        <w:t>Initial quality control</w:t>
      </w:r>
    </w:p>
    <w:p w14:paraId="5EC0E2F2">
      <w:pPr>
        <w:pStyle w:val="4"/>
        <w:rPr>
          <w:rFonts w:hint="default" w:ascii="Times New Roman Regular" w:hAnsi="Times New Roman Regular" w:cs="Times New Roman Regular"/>
        </w:rPr>
      </w:pPr>
      <w:r>
        <w:rPr>
          <w:rFonts w:hint="default" w:ascii="Times New Roman Regular" w:hAnsi="Times New Roman Regular" w:cs="Times New Roman Regular"/>
        </w:rPr>
        <w:t>Before reconstruction, all SRC files were visually inspected in DSI Studio. The raw diffusion volumes were reviewed for severe motion, signal dropout, slice artifacts, susceptibility distortion, incomplete brain coverage, and abnormal image orientation. The b-table was inspected for consistency, because incorrect b-vector orientation can lead to incorrect fiber direction estimation and erroneous DTI-ALPS values. DSI Studio quality-control outputs, including neighboring DWI correlation, diffusion contrast, b-table consistency, and low-quality outlier warnings, were reviewed when available. Subjects with uncorrectable severe artifacts or failed image orientation were excluded from subsequent analysis or flagged for sensitivity analysis.</w:t>
      </w:r>
    </w:p>
    <w:p w14:paraId="0EF4553D">
      <w:pPr>
        <w:pStyle w:val="4"/>
        <w:rPr>
          <w:rFonts w:hint="default" w:ascii="Times New Roman Regular" w:hAnsi="Times New Roman Regular" w:cs="Times New Roman Regular"/>
        </w:rPr>
      </w:pPr>
    </w:p>
    <w:p w14:paraId="78A95C71">
      <w:pPr>
        <w:pStyle w:val="4"/>
        <w:rPr>
          <w:rFonts w:hint="default" w:ascii="Times New Roman Regular" w:hAnsi="Times New Roman Regular" w:cs="Times New Roman Regular"/>
        </w:rPr>
      </w:pPr>
      <w:r>
        <w:rPr>
          <w:rFonts w:hint="default" w:ascii="Times New Roman Regular" w:hAnsi="Times New Roman Regular" w:cs="Times New Roman Regular"/>
          <w:b/>
          <w:bCs/>
        </w:rPr>
        <w:t>Motion, eddy-current, and distortion correction</w:t>
      </w:r>
    </w:p>
    <w:p w14:paraId="755F97C5">
      <w:pPr>
        <w:pStyle w:val="4"/>
        <w:rPr>
          <w:rFonts w:hint="default" w:ascii="Times New Roman Regular" w:hAnsi="Times New Roman Regular" w:cs="Times New Roman Regular"/>
        </w:rPr>
      </w:pPr>
      <w:r>
        <w:rPr>
          <w:rFonts w:hint="default" w:ascii="Times New Roman Regular" w:hAnsi="Times New Roman Regular" w:cs="Times New Roman Regular"/>
        </w:rPr>
        <w:t>Diffusion data were corrected for eddy-current distortion and subject head motion before tensor reconstruction. When reverse phase-encoding b0 images were available, TOPUP followed by EDDY correction was applied in DSI Studio. When reverse phase-encoding data were unavailable, EDDY or motion correction was applied as appropriate for the acquisition. Motion correction aligned diffusion volumes to the reference b0 image and rotated the diffusion gradient table accordingly. The same correction strategy was applied consistently across participants to avoid introducing group-specific preprocessing differences. After correction, the corrected diffusion volumes were again inspected to confirm adequate alignment and absence of gross residual artifacts.</w:t>
      </w:r>
    </w:p>
    <w:p w14:paraId="5A14931F">
      <w:pPr>
        <w:pStyle w:val="4"/>
        <w:rPr>
          <w:rFonts w:hint="default" w:ascii="Times New Roman Regular" w:hAnsi="Times New Roman Regular" w:cs="Times New Roman Regular"/>
        </w:rPr>
      </w:pPr>
    </w:p>
    <w:p w14:paraId="07FC288A">
      <w:pPr>
        <w:pStyle w:val="4"/>
        <w:rPr>
          <w:rFonts w:hint="default" w:ascii="Times New Roman Regular" w:hAnsi="Times New Roman Regular" w:cs="Times New Roman Regular"/>
        </w:rPr>
      </w:pPr>
      <w:r>
        <w:rPr>
          <w:rFonts w:hint="default" w:ascii="Times New Roman Regular" w:hAnsi="Times New Roman Regular" w:cs="Times New Roman Regular"/>
          <w:b/>
          <w:bCs/>
        </w:rPr>
        <w:t>Brain mask generation</w:t>
      </w:r>
    </w:p>
    <w:p w14:paraId="0259F77F">
      <w:pPr>
        <w:pStyle w:val="4"/>
        <w:rPr>
          <w:rFonts w:hint="default" w:ascii="Times New Roman Regular" w:hAnsi="Times New Roman Regular" w:cs="Times New Roman Regular"/>
        </w:rPr>
      </w:pPr>
      <w:r>
        <w:rPr>
          <w:rFonts w:hint="default" w:ascii="Times New Roman Regular" w:hAnsi="Times New Roman Regular" w:cs="Times New Roman Regular"/>
        </w:rPr>
        <w:t>A brain mask was generated for each corrected diffusion dataset in DSI Studio. Mask generation was based on the b0 or diffusion-sum image and refined using thresholding, smoothing, defragmentation, dilation, or erosion when necessary. The mask was visually inspected slice by slice to ensure that brain tissue was included while non-brain tissue, skull, and background signal were excluded. When automatic masks were inaccurate, manual correction was performed. The final mask was applied during reconstruction to restrict tensor estimation to brain tissue and to improve the reliability of diffusivity measurements.</w:t>
      </w:r>
    </w:p>
    <w:p w14:paraId="1DB46CDF">
      <w:pPr>
        <w:pStyle w:val="4"/>
        <w:rPr>
          <w:rFonts w:hint="default" w:ascii="Times New Roman Regular" w:hAnsi="Times New Roman Regular" w:cs="Times New Roman Regular"/>
        </w:rPr>
      </w:pPr>
    </w:p>
    <w:p w14:paraId="63FEA310">
      <w:pPr>
        <w:pStyle w:val="4"/>
        <w:rPr>
          <w:rFonts w:hint="default" w:ascii="Times New Roman Regular" w:hAnsi="Times New Roman Regular" w:cs="Times New Roman Regular"/>
          <w:b/>
          <w:bCs/>
        </w:rPr>
      </w:pPr>
      <w:r>
        <w:rPr>
          <w:rFonts w:hint="default" w:ascii="Times New Roman Regular" w:hAnsi="Times New Roman Regular" w:cs="Times New Roman Regular"/>
          <w:b/>
          <w:bCs/>
        </w:rPr>
        <w:t>DTI reconstruction in DSI Studio</w:t>
      </w:r>
    </w:p>
    <w:p w14:paraId="7FC30208">
      <w:pPr>
        <w:pStyle w:val="4"/>
        <w:rPr>
          <w:rFonts w:hint="default" w:ascii="Times New Roman Regular" w:hAnsi="Times New Roman Regular" w:cs="Times New Roman Regular"/>
        </w:rPr>
      </w:pPr>
      <w:r>
        <w:rPr>
          <w:rFonts w:hint="default" w:ascii="Times New Roman Regular" w:hAnsi="Times New Roman Regular" w:cs="Times New Roman Regular"/>
        </w:rPr>
        <w:t>Corrected and masked diffusion data were reconstructed using the diffusion tensor imaging method in DSI Studio. The DTI reconstruction generated tensor-derived maps, including fractional anisotropy, color-coded FA, and directional diffusivity maps along the x-, y-, and z-axes. The x-axis corresponded to the left-right direction, the y-axis to the anterior-posterior direction, and the z-axis to the superior-inferior direction in the image coordinate system used for DTI-ALPS analysis. The directional diffusivity maps were denoted as Dxx, Dyy, and Dzz. These maps were used for ROI-based calculation of the DTI-ALPS index.</w:t>
      </w:r>
    </w:p>
    <w:p w14:paraId="209B5FD9">
      <w:pPr>
        <w:pStyle w:val="4"/>
        <w:rPr>
          <w:rFonts w:hint="default" w:ascii="Times New Roman Regular" w:hAnsi="Times New Roman Regular" w:cs="Times New Roman Regular"/>
        </w:rPr>
      </w:pPr>
    </w:p>
    <w:p w14:paraId="66B6CA90">
      <w:pPr>
        <w:pStyle w:val="4"/>
        <w:rPr>
          <w:rFonts w:hint="default" w:ascii="Times New Roman Regular" w:hAnsi="Times New Roman Regular" w:cs="Times New Roman Regular"/>
          <w:b/>
          <w:bCs/>
        </w:rPr>
      </w:pPr>
      <w:r>
        <w:rPr>
          <w:rFonts w:hint="default" w:ascii="Times New Roman Regular" w:hAnsi="Times New Roman Regular" w:cs="Times New Roman Regular"/>
          <w:b/>
          <w:bCs/>
        </w:rPr>
        <w:t>Anatomical level for ROI placement</w:t>
      </w:r>
    </w:p>
    <w:p w14:paraId="074B5D61">
      <w:pPr>
        <w:pStyle w:val="4"/>
        <w:rPr>
          <w:rFonts w:hint="default" w:ascii="Times New Roman Regular" w:hAnsi="Times New Roman Regular" w:cs="Times New Roman Regular"/>
        </w:rPr>
      </w:pPr>
      <w:r>
        <w:rPr>
          <w:rFonts w:hint="default" w:ascii="Times New Roman Regular" w:hAnsi="Times New Roman Regular" w:cs="Times New Roman Regular"/>
        </w:rPr>
        <w:t>ROI placement was performed on the axial slice at the level of the body of the lateral ventricles, where projection fibers, association fibers, and subcortical fibers can be visually distinguished on the color-coded FA map. At this level, projection fibers are primarily oriented in the superior-inferior direction and appear blue on the color-coded FA map, whereas association fibers are primarily oriented in the anterior-posterior direction and appear green. The perivascular space along deep medullary veins is assumed to run predominantly in the left-right direction, corresponding to the x-axis.</w:t>
      </w:r>
    </w:p>
    <w:p w14:paraId="223BE2FB">
      <w:pPr>
        <w:pStyle w:val="4"/>
        <w:rPr>
          <w:rFonts w:hint="default" w:ascii="Times New Roman Regular" w:hAnsi="Times New Roman Regular" w:cs="Times New Roman Regular"/>
        </w:rPr>
      </w:pPr>
    </w:p>
    <w:p w14:paraId="7C8E8908">
      <w:pPr>
        <w:pStyle w:val="4"/>
        <w:rPr>
          <w:rFonts w:hint="default" w:ascii="Times New Roman Regular" w:hAnsi="Times New Roman Regular" w:cs="Times New Roman Regular"/>
        </w:rPr>
      </w:pPr>
      <w:r>
        <w:rPr>
          <w:rFonts w:hint="default" w:ascii="Times New Roman Regular" w:hAnsi="Times New Roman Regular" w:cs="Times New Roman Regular"/>
          <w:b/>
          <w:bCs/>
        </w:rPr>
        <w:t>ROI definition</w:t>
      </w:r>
    </w:p>
    <w:p w14:paraId="22EF5D6C">
      <w:pPr>
        <w:pStyle w:val="4"/>
        <w:rPr>
          <w:rFonts w:hint="default" w:ascii="Times New Roman Regular" w:hAnsi="Times New Roman Regular" w:cs="Times New Roman Regular"/>
        </w:rPr>
      </w:pPr>
      <w:r>
        <w:rPr>
          <w:rFonts w:hint="default" w:ascii="Times New Roman Regular" w:hAnsi="Times New Roman Regular" w:cs="Times New Roman Regular"/>
        </w:rPr>
        <w:t>For each hemisphere, two ROIs were placed: one in the projection-fiber region and one in the association-fiber region. The projection-fiber ROI was placed in the superior corona radiata region, where projection fibers are dominant. The association-fiber ROI was placed in the superior longitudinal fasciculus region, where association fibers are dominant. ROIs were placed using the color-coded FA map as an anatomical guide and were checked against the Dxx, Dyy, and Dzz maps. The ROIs were kept within white matter and were placed away from the lateral ventricles, cerebrospinal fluid, cortical gray matter, visible lesions, and regions with severe partial-volume contamination.</w:t>
      </w:r>
    </w:p>
    <w:p w14:paraId="32A728CE">
      <w:pPr>
        <w:pStyle w:val="4"/>
        <w:rPr>
          <w:rFonts w:hint="default" w:ascii="Times New Roman Regular" w:hAnsi="Times New Roman Regular" w:cs="Times New Roman Regular"/>
        </w:rPr>
      </w:pPr>
    </w:p>
    <w:p w14:paraId="652B4988">
      <w:pPr>
        <w:pStyle w:val="4"/>
        <w:rPr>
          <w:rFonts w:hint="default" w:ascii="Times New Roman Regular" w:hAnsi="Times New Roman Regular" w:cs="Times New Roman Regular"/>
        </w:rPr>
      </w:pPr>
      <w:r>
        <w:rPr>
          <w:rFonts w:hint="default" w:ascii="Times New Roman Regular" w:hAnsi="Times New Roman Regular" w:cs="Times New Roman Regular"/>
        </w:rPr>
        <w:t>Depending on image resolution, either small spherical ROIs with a radius of approximately 3 mm or rectangular 3 x 3 voxel ROIs were used. The same ROI size and placement rule were applied consistently across participants. For bilateral analysis, left projection, left association, right projection, and right association ROIs were defined separately. ROI placement was performed by an investigator blinded to clinical group whenever possible. A second rater or repeated measurement was used to assess reproducibility when available.</w:t>
      </w:r>
    </w:p>
    <w:p w14:paraId="4C33C173">
      <w:pPr>
        <w:pStyle w:val="4"/>
        <w:rPr>
          <w:rFonts w:hint="default" w:ascii="Times New Roman Regular" w:hAnsi="Times New Roman Regular" w:cs="Times New Roman Regular"/>
        </w:rPr>
      </w:pPr>
    </w:p>
    <w:p w14:paraId="6C296848">
      <w:pPr>
        <w:pStyle w:val="4"/>
        <w:rPr>
          <w:rFonts w:hint="default" w:ascii="Times New Roman Regular" w:hAnsi="Times New Roman Regular" w:cs="Times New Roman Regular"/>
        </w:rPr>
      </w:pPr>
      <w:r>
        <w:rPr>
          <w:rFonts w:hint="default" w:ascii="Times New Roman Regular" w:hAnsi="Times New Roman Regular" w:cs="Times New Roman Regular"/>
          <w:b/>
          <w:bCs/>
        </w:rPr>
        <w:t>Directional diffusivity extraction</w:t>
      </w:r>
    </w:p>
    <w:p w14:paraId="5701287B">
      <w:pPr>
        <w:pStyle w:val="4"/>
        <w:rPr>
          <w:rFonts w:hint="default" w:ascii="Times New Roman Regular" w:hAnsi="Times New Roman Regular" w:cs="Times New Roman Regular"/>
        </w:rPr>
      </w:pPr>
      <w:r>
        <w:rPr>
          <w:rFonts w:hint="default" w:ascii="Times New Roman Regular" w:hAnsi="Times New Roman Regular" w:cs="Times New Roman Regular"/>
        </w:rPr>
        <w:t>For each projection-fiber ROI, diffusivity values along the x-, y-, and z-axes were extracted from the Dxx, Dyy, and Dzz maps. These values were denoted as Dxxproj, Dyyproj, and Dzzproj. For each association-fiber ROI, the corresponding directional diffusivity values were extracted and denoted as Dxxassoc, Dyyassoc, and Dzzassoc. The DTI-ALPS calculation used the x-axis diffusivity in the projection-fiber ROI, the x-axis diffusivity in the association-fiber ROI, the y-axis diffusivity in the projection-fiber ROI, and the z-axis diffusivity in the association-fiber ROI.</w:t>
      </w:r>
    </w:p>
    <w:p w14:paraId="74CD1810">
      <w:pPr>
        <w:pStyle w:val="4"/>
        <w:rPr>
          <w:rFonts w:hint="default" w:ascii="Times New Roman Regular" w:hAnsi="Times New Roman Regular" w:cs="Times New Roman Regular"/>
        </w:rPr>
      </w:pPr>
    </w:p>
    <w:p w14:paraId="38B6A6EC">
      <w:pPr>
        <w:pStyle w:val="4"/>
        <w:rPr>
          <w:rFonts w:hint="default" w:ascii="Times New Roman Regular" w:hAnsi="Times New Roman Regular" w:cs="Times New Roman Regular"/>
        </w:rPr>
      </w:pPr>
      <w:r>
        <w:rPr>
          <w:rFonts w:hint="default" w:ascii="Times New Roman Regular" w:hAnsi="Times New Roman Regular" w:cs="Times New Roman Regular"/>
          <w:b/>
          <w:bCs/>
        </w:rPr>
        <w:t>DTI-ALPS index calculation</w:t>
      </w:r>
    </w:p>
    <w:p w14:paraId="1A315AA1">
      <w:pPr>
        <w:pStyle w:val="4"/>
        <w:rPr>
          <w:rFonts w:hint="default" w:ascii="Times New Roman Regular" w:hAnsi="Times New Roman Regular" w:cs="Times New Roman Regular"/>
        </w:rPr>
      </w:pPr>
      <w:r>
        <w:rPr>
          <w:rFonts w:hint="default" w:ascii="Times New Roman Regular" w:hAnsi="Times New Roman Regular" w:cs="Times New Roman Regular"/>
        </w:rPr>
        <w:t>The DTI-ALPS index was calculated according to the standard formula:</w:t>
      </w:r>
    </w:p>
    <w:p w14:paraId="6B6FD4A8">
      <w:pPr>
        <w:pStyle w:val="4"/>
        <w:rPr>
          <w:rFonts w:hint="default" w:ascii="Times New Roman Regular" w:hAnsi="Times New Roman Regular" w:cs="Times New Roman Regular"/>
        </w:rPr>
      </w:pPr>
    </w:p>
    <w:p w14:paraId="08C3829E">
      <w:pPr>
        <w:pStyle w:val="4"/>
        <w:rPr>
          <w:rFonts w:hint="default" w:ascii="Times New Roman Regular" w:hAnsi="Times New Roman Regular" w:cs="Times New Roman Regular"/>
        </w:rPr>
      </w:pPr>
      <w:r>
        <w:rPr>
          <w:rFonts w:hint="default" w:ascii="Times New Roman Regular" w:hAnsi="Times New Roman Regular" w:cs="Times New Roman Regular"/>
        </w:rPr>
        <w:t>ALPS index = mean(Dxxproj, Dxxassoc) / mean(Dyyproj, Dzzassoc)</w:t>
      </w:r>
    </w:p>
    <w:p w14:paraId="4D7DDC68">
      <w:pPr>
        <w:pStyle w:val="4"/>
        <w:rPr>
          <w:rFonts w:hint="default" w:ascii="Times New Roman Regular" w:hAnsi="Times New Roman Regular" w:cs="Times New Roman Regular"/>
        </w:rPr>
      </w:pPr>
    </w:p>
    <w:p w14:paraId="2DE5D219">
      <w:pPr>
        <w:pStyle w:val="4"/>
        <w:rPr>
          <w:rFonts w:hint="default" w:ascii="Times New Roman Regular" w:hAnsi="Times New Roman Regular" w:cs="Times New Roman Regular"/>
        </w:rPr>
      </w:pPr>
      <w:r>
        <w:rPr>
          <w:rFonts w:hint="default" w:ascii="Times New Roman Regular" w:hAnsi="Times New Roman Regular" w:cs="Times New Roman Regular"/>
        </w:rPr>
        <w:t>where Dxxproj represents diffusivity along the x-axis in the projection-fiber region, Dxxassoc represents diffusivity along the x-axis in the association-fiber region, Dyyproj represents diffusivity along the y-axis in the projection-fiber region, and Dzzassoc represents diffusivity along the z-axis in the association-fiber region. Separate left and right ALPS indices were calculated when bilateral ROIs were available. A bilateral ALPS index was then obtained by averaging the left and right ALPS indices. Lower ALPS values were interpreted as reduced diffusivity along the perivascular-space direction relative to diffusivity perpendicular to the dominant white-matter fibers.</w:t>
      </w:r>
    </w:p>
    <w:p w14:paraId="4D60E906">
      <w:pPr>
        <w:pStyle w:val="4"/>
        <w:rPr>
          <w:rFonts w:hint="default" w:ascii="Times New Roman Regular" w:hAnsi="Times New Roman Regular" w:cs="Times New Roman Regular"/>
        </w:rPr>
      </w:pPr>
    </w:p>
    <w:p w14:paraId="16FFEA5B">
      <w:pPr>
        <w:pStyle w:val="4"/>
        <w:rPr>
          <w:rFonts w:hint="default" w:ascii="Times New Roman Regular" w:hAnsi="Times New Roman Regular" w:cs="Times New Roman Regular"/>
          <w:b/>
          <w:bCs/>
        </w:rPr>
      </w:pPr>
      <w:r>
        <w:rPr>
          <w:rFonts w:hint="default" w:ascii="Times New Roman Regular" w:hAnsi="Times New Roman Regular" w:cs="Times New Roman Regular"/>
          <w:b/>
          <w:bCs/>
        </w:rPr>
        <w:t>ROI quality control</w:t>
      </w:r>
    </w:p>
    <w:p w14:paraId="452A05C5">
      <w:pPr>
        <w:pStyle w:val="4"/>
        <w:rPr>
          <w:rFonts w:hint="default" w:ascii="Times New Roman Regular" w:hAnsi="Times New Roman Regular" w:cs="Times New Roman Regular"/>
        </w:rPr>
      </w:pPr>
      <w:r>
        <w:rPr>
          <w:rFonts w:hint="default" w:ascii="Times New Roman Regular" w:hAnsi="Times New Roman Regular" w:cs="Times New Roman Regular"/>
        </w:rPr>
        <w:t>All ROIs were visually reviewed after placement. ROIs were excluded or repositioned if they overlapped cerebrospinal fluid, gray matter, infarcted tissue, hemorrhage, marked white-matter lesions, or regions with severe artifacts. The anatomical slice level was kept consistent across participants by identifying the lateral ventricular body and confirming the expected color-coded fiber orientations. For reproducibility, ROI coordinates, ROI size, extracted diffusivity values, and left, right, and mean ALPS indices were recorded for each participant.</w:t>
      </w:r>
    </w:p>
    <w:p w14:paraId="690017FD">
      <w:pPr>
        <w:pStyle w:val="4"/>
        <w:rPr>
          <w:rFonts w:hint="default" w:ascii="Times New Roman Regular" w:hAnsi="Times New Roman Regular" w:cs="Times New Roman Regular"/>
        </w:rPr>
      </w:pPr>
    </w:p>
    <w:p w14:paraId="44127D9E">
      <w:pPr>
        <w:pStyle w:val="4"/>
        <w:rPr>
          <w:rFonts w:hint="default" w:ascii="Times New Roman Regular" w:hAnsi="Times New Roman Regular" w:cs="Times New Roman Regular"/>
        </w:rPr>
      </w:pPr>
      <w:r>
        <w:rPr>
          <w:rFonts w:hint="default" w:ascii="Times New Roman Regular" w:hAnsi="Times New Roman Regular" w:cs="Times New Roman Regular"/>
          <w:b/>
          <w:bCs/>
        </w:rPr>
        <w:t>Statistical analysis of DTI-ALPS index</w:t>
      </w:r>
    </w:p>
    <w:p w14:paraId="6CD577D8">
      <w:pPr>
        <w:pStyle w:val="4"/>
        <w:rPr>
          <w:rFonts w:hint="default" w:ascii="Times New Roman Regular" w:hAnsi="Times New Roman Regular" w:cs="Times New Roman Regular"/>
        </w:rPr>
      </w:pPr>
      <w:r>
        <w:rPr>
          <w:rFonts w:hint="default" w:ascii="Times New Roman Regular" w:hAnsi="Times New Roman Regular" w:cs="Times New Roman Regular"/>
        </w:rPr>
        <w:t>The left, right, and mean DTI-ALPS indices were used for group-level statistical analysis. Group comparisons were performed between healthy controls, non-delirium patients, and delirium patients. The primary statistical model included group as the main variable of interest and adjusted for relevant covariates, including age, sex, and head-motion estimates. Additional clinical covariates, such as vascular risk factors, disease severity, inflammatory markers, or perioperative variables, were included in sensitivity analyses when available. Results were reported as group means, standard deviations or standard errors, effect estimates, confidence intervals, and p values. When multiple ALPS measures or multiple group contrasts were tested, false discovery rate correction was applied.</w:t>
      </w:r>
    </w:p>
    <w:p w14:paraId="7BFE9258">
      <w:pPr>
        <w:pStyle w:val="4"/>
        <w:rPr>
          <w:rFonts w:hint="default" w:ascii="Times New Roman Regular" w:hAnsi="Times New Roman Regular" w:cs="Times New Roman Regular"/>
        </w:rPr>
      </w:pPr>
    </w:p>
    <w:p w14:paraId="6F846AAE">
      <w:pPr>
        <w:pStyle w:val="11"/>
        <w:keepNext w:val="0"/>
        <w:keepLines w:val="0"/>
        <w:widowControl/>
        <w:suppressLineNumbers w:val="0"/>
        <w:spacing w:line="240" w:lineRule="auto"/>
        <w:rPr>
          <w:rFonts w:hint="default" w:ascii="Times New Roman Regular" w:hAnsi="Times New Roman Regular" w:eastAsia="宋体" w:cs="Times New Roman Regular"/>
          <w:b/>
          <w:bCs/>
          <w:color w:val="auto"/>
          <w:kern w:val="2"/>
          <w:sz w:val="21"/>
          <w:szCs w:val="24"/>
          <w:lang w:val="en-US" w:eastAsia="zh-CN" w:bidi="ar-SA"/>
        </w:rPr>
      </w:pPr>
      <w:r>
        <w:rPr>
          <w:rFonts w:hint="default" w:ascii="Times New Roman Regular" w:hAnsi="Times New Roman Regular" w:eastAsia="宋体" w:cs="Times New Roman Regular"/>
          <w:b/>
          <w:bCs/>
          <w:color w:val="auto"/>
          <w:kern w:val="2"/>
          <w:sz w:val="21"/>
          <w:szCs w:val="24"/>
          <w:lang w:val="en-US" w:eastAsia="zh-CN" w:bidi="ar-SA"/>
        </w:rPr>
        <w:t>Supplementary Methods</w:t>
      </w:r>
      <w:r>
        <w:rPr>
          <w:rFonts w:hint="eastAsia" w:ascii="Times New Roman Regular" w:hAnsi="Times New Roman Regular" w:cs="Times New Roman Regular"/>
          <w:b/>
          <w:bCs/>
          <w:color w:val="auto"/>
          <w:kern w:val="2"/>
          <w:sz w:val="21"/>
          <w:szCs w:val="24"/>
          <w:lang w:val="en-US" w:eastAsia="zh-CN" w:bidi="ar-SA"/>
        </w:rPr>
        <w:t xml:space="preserve"> 5</w:t>
      </w:r>
      <w:bookmarkStart w:id="0" w:name="_GoBack"/>
      <w:bookmarkEnd w:id="0"/>
      <w:r>
        <w:rPr>
          <w:rFonts w:hint="default" w:ascii="Times New Roman Regular" w:hAnsi="Times New Roman Regular" w:eastAsia="宋体" w:cs="Times New Roman Regular"/>
          <w:b/>
          <w:bCs/>
          <w:color w:val="auto"/>
          <w:kern w:val="2"/>
          <w:sz w:val="21"/>
          <w:szCs w:val="24"/>
          <w:lang w:val="en-US" w:eastAsia="zh-CN" w:bidi="ar-SA"/>
        </w:rPr>
        <w:t>: Perivascular Space Processing</w:t>
      </w:r>
    </w:p>
    <w:p w14:paraId="40D019AA">
      <w:pPr>
        <w:pStyle w:val="11"/>
        <w:keepNext w:val="0"/>
        <w:keepLines w:val="0"/>
        <w:widowControl/>
        <w:suppressLineNumbers w:val="0"/>
        <w:spacing w:line="240" w:lineRule="auto"/>
        <w:rPr>
          <w:rFonts w:hint="default" w:ascii="Times New Roman Regular" w:hAnsi="Times New Roman Regular" w:eastAsia="宋体" w:cs="Times New Roman Regular"/>
          <w:color w:val="auto"/>
          <w:kern w:val="2"/>
          <w:sz w:val="21"/>
          <w:szCs w:val="24"/>
          <w:lang w:val="en-US" w:eastAsia="zh-CN" w:bidi="ar-SA"/>
        </w:rPr>
      </w:pPr>
    </w:p>
    <w:p w14:paraId="7EDA6300">
      <w:pPr>
        <w:pStyle w:val="11"/>
        <w:keepNext w:val="0"/>
        <w:keepLines w:val="0"/>
        <w:widowControl/>
        <w:suppressLineNumbers w:val="0"/>
        <w:spacing w:line="240" w:lineRule="auto"/>
        <w:rPr>
          <w:rFonts w:hint="default" w:ascii="Times New Roman Regular" w:hAnsi="Times New Roman Regular" w:eastAsia="宋体" w:cs="Times New Roman Regular"/>
          <w:color w:val="auto"/>
          <w:kern w:val="2"/>
          <w:sz w:val="21"/>
          <w:szCs w:val="24"/>
          <w:lang w:val="en-US" w:eastAsia="zh-CN" w:bidi="ar-SA"/>
        </w:rPr>
      </w:pPr>
      <w:r>
        <w:rPr>
          <w:rFonts w:hint="default" w:ascii="Times New Roman Regular" w:hAnsi="Times New Roman Regular" w:eastAsia="宋体" w:cs="Times New Roman Regular"/>
          <w:color w:val="auto"/>
          <w:kern w:val="2"/>
          <w:sz w:val="21"/>
          <w:szCs w:val="24"/>
          <w:lang w:val="en-US" w:eastAsia="zh-CN" w:bidi="ar-SA"/>
        </w:rPr>
        <w:t>This supplementary methods document describes the image processing workflow used to derive basal ganglia perivascular space burden from three dimensional T1 weighted MRI. The workflow uses the T1 PVS v4 mono modal model to generate native space PVS probability maps and binary masks, then restricts the automated PVS output to a bilateral basal ganglia region of interest for BG PVS quantification. The document also records the local model version, runtime environment, preprocessing code, quality control steps, and validation limitations relevant to this dataset.</w:t>
      </w:r>
    </w:p>
    <w:p w14:paraId="2A8EA569">
      <w:pPr>
        <w:pStyle w:val="11"/>
        <w:keepNext w:val="0"/>
        <w:keepLines w:val="0"/>
        <w:widowControl/>
        <w:suppressLineNumbers w:val="0"/>
        <w:spacing w:line="240" w:lineRule="auto"/>
        <w:rPr>
          <w:rFonts w:hint="default" w:ascii="Times New Roman Regular" w:hAnsi="Times New Roman Regular" w:eastAsia="宋体" w:cs="Times New Roman Regular"/>
          <w:color w:val="auto"/>
          <w:kern w:val="2"/>
          <w:sz w:val="21"/>
          <w:szCs w:val="24"/>
          <w:lang w:val="en-US" w:eastAsia="zh-CN" w:bidi="ar-SA"/>
        </w:rPr>
      </w:pPr>
    </w:p>
    <w:p w14:paraId="0389AC44">
      <w:pPr>
        <w:pStyle w:val="11"/>
        <w:keepNext w:val="0"/>
        <w:keepLines w:val="0"/>
        <w:widowControl/>
        <w:suppressLineNumbers w:val="0"/>
        <w:spacing w:line="240" w:lineRule="auto"/>
        <w:rPr>
          <w:rFonts w:hint="default" w:ascii="Times New Roman Regular" w:hAnsi="Times New Roman Regular" w:eastAsia="宋体" w:cs="Times New Roman Regular"/>
          <w:b/>
          <w:bCs/>
          <w:color w:val="auto"/>
          <w:kern w:val="2"/>
          <w:sz w:val="21"/>
          <w:szCs w:val="24"/>
          <w:lang w:val="en-US" w:eastAsia="zh-CN" w:bidi="ar-SA"/>
        </w:rPr>
      </w:pPr>
      <w:r>
        <w:rPr>
          <w:rFonts w:hint="default" w:ascii="Times New Roman Regular" w:hAnsi="Times New Roman Regular" w:eastAsia="宋体" w:cs="Times New Roman Regular"/>
          <w:b/>
          <w:bCs/>
          <w:color w:val="auto"/>
          <w:kern w:val="2"/>
          <w:sz w:val="21"/>
          <w:szCs w:val="24"/>
          <w:lang w:val="en-US" w:eastAsia="zh-CN" w:bidi="ar-SA"/>
        </w:rPr>
        <w:t>Input MRI Data</w:t>
      </w:r>
    </w:p>
    <w:p w14:paraId="406E77FD">
      <w:pPr>
        <w:pStyle w:val="11"/>
        <w:keepNext w:val="0"/>
        <w:keepLines w:val="0"/>
        <w:widowControl/>
        <w:suppressLineNumbers w:val="0"/>
        <w:spacing w:line="240" w:lineRule="auto"/>
        <w:rPr>
          <w:rFonts w:hint="default" w:ascii="Times New Roman Regular" w:hAnsi="Times New Roman Regular" w:eastAsia="宋体" w:cs="Times New Roman Regular"/>
          <w:color w:val="auto"/>
          <w:kern w:val="2"/>
          <w:sz w:val="21"/>
          <w:szCs w:val="24"/>
          <w:lang w:val="en-US" w:eastAsia="zh-CN" w:bidi="ar-SA"/>
        </w:rPr>
      </w:pPr>
      <w:r>
        <w:rPr>
          <w:rFonts w:hint="default" w:ascii="Times New Roman Regular" w:hAnsi="Times New Roman Regular" w:eastAsia="宋体" w:cs="Times New Roman Regular"/>
          <w:color w:val="auto"/>
          <w:kern w:val="2"/>
          <w:sz w:val="21"/>
          <w:szCs w:val="24"/>
          <w:lang w:val="en-US" w:eastAsia="zh-CN" w:bidi="ar-SA"/>
        </w:rPr>
        <w:t xml:space="preserve">The input for the automated PVS pipeline consisted of three dimensional brain extracted T1 weighted images in NIfTI format. Brain extraction had been completed before the T1 PVS v4 workflow. Images were processed in their subject specific native T1 space after conversion to the model input geometry for inference. </w:t>
      </w:r>
    </w:p>
    <w:p w14:paraId="32C506FF">
      <w:pPr>
        <w:pStyle w:val="11"/>
        <w:keepNext w:val="0"/>
        <w:keepLines w:val="0"/>
        <w:widowControl/>
        <w:suppressLineNumbers w:val="0"/>
        <w:spacing w:line="240" w:lineRule="auto"/>
        <w:rPr>
          <w:rFonts w:hint="default" w:ascii="Times New Roman Regular" w:hAnsi="Times New Roman Regular" w:eastAsia="宋体" w:cs="Times New Roman Regular"/>
          <w:b/>
          <w:bCs/>
          <w:color w:val="auto"/>
          <w:kern w:val="2"/>
          <w:sz w:val="21"/>
          <w:szCs w:val="24"/>
          <w:lang w:val="en-US" w:eastAsia="zh-CN" w:bidi="ar-SA"/>
        </w:rPr>
      </w:pPr>
      <w:r>
        <w:rPr>
          <w:rFonts w:hint="default" w:ascii="Times New Roman Regular" w:hAnsi="Times New Roman Regular" w:eastAsia="宋体" w:cs="Times New Roman Regular"/>
          <w:b/>
          <w:bCs/>
          <w:color w:val="auto"/>
          <w:kern w:val="2"/>
          <w:sz w:val="21"/>
          <w:szCs w:val="24"/>
          <w:lang w:val="en-US" w:eastAsia="zh-CN" w:bidi="ar-SA"/>
        </w:rPr>
        <w:t>T1 PVS v4 Model</w:t>
      </w:r>
    </w:p>
    <w:p w14:paraId="0C81A3EC">
      <w:pPr>
        <w:pStyle w:val="11"/>
        <w:keepNext w:val="0"/>
        <w:keepLines w:val="0"/>
        <w:widowControl/>
        <w:suppressLineNumbers w:val="0"/>
        <w:spacing w:line="240" w:lineRule="auto"/>
        <w:rPr>
          <w:rFonts w:hint="default" w:ascii="Times New Roman Regular" w:hAnsi="Times New Roman Regular" w:eastAsia="宋体" w:cs="Times New Roman Regular"/>
          <w:color w:val="auto"/>
          <w:kern w:val="2"/>
          <w:sz w:val="21"/>
          <w:szCs w:val="24"/>
          <w:lang w:val="en-US" w:eastAsia="zh-CN" w:bidi="ar-SA"/>
        </w:rPr>
      </w:pPr>
      <w:r>
        <w:rPr>
          <w:rFonts w:hint="default" w:ascii="Times New Roman Regular" w:hAnsi="Times New Roman Regular" w:eastAsia="宋体" w:cs="Times New Roman Regular"/>
          <w:color w:val="auto"/>
          <w:kern w:val="2"/>
          <w:sz w:val="21"/>
          <w:szCs w:val="24"/>
          <w:lang w:val="en-US" w:eastAsia="zh-CN" w:bidi="ar-SA"/>
        </w:rPr>
        <w:t xml:space="preserve">PVS segmentation was performed using the T1 PVS v4 mono modal model, a five fold ResUnet3D ensemble distributed in TensorFlow SavedModel format (https://github.com/pboutinaud/SHIVA_PVS). </w:t>
      </w:r>
    </w:p>
    <w:p w14:paraId="16F30B62">
      <w:pPr>
        <w:pStyle w:val="11"/>
        <w:keepNext w:val="0"/>
        <w:keepLines w:val="0"/>
        <w:widowControl/>
        <w:suppressLineNumbers w:val="0"/>
        <w:spacing w:line="240" w:lineRule="auto"/>
        <w:rPr>
          <w:rFonts w:hint="default" w:ascii="Times New Roman Regular" w:hAnsi="Times New Roman Regular" w:eastAsia="宋体" w:cs="Times New Roman Regular"/>
          <w:color w:val="auto"/>
          <w:kern w:val="2"/>
          <w:sz w:val="21"/>
          <w:szCs w:val="24"/>
          <w:lang w:val="en-US" w:eastAsia="zh-CN" w:bidi="ar-SA"/>
        </w:rPr>
      </w:pPr>
    </w:p>
    <w:p w14:paraId="385152D4">
      <w:pPr>
        <w:pStyle w:val="11"/>
        <w:keepNext w:val="0"/>
        <w:keepLines w:val="0"/>
        <w:widowControl/>
        <w:suppressLineNumbers w:val="0"/>
        <w:spacing w:line="240" w:lineRule="auto"/>
        <w:rPr>
          <w:rFonts w:hint="default" w:ascii="Times New Roman Regular" w:hAnsi="Times New Roman Regular" w:eastAsia="宋体" w:cs="Times New Roman Regular"/>
          <w:b/>
          <w:bCs/>
          <w:color w:val="auto"/>
          <w:kern w:val="2"/>
          <w:sz w:val="21"/>
          <w:szCs w:val="24"/>
          <w:lang w:val="en-US" w:eastAsia="zh-CN" w:bidi="ar-SA"/>
        </w:rPr>
      </w:pPr>
      <w:r>
        <w:rPr>
          <w:rFonts w:hint="default" w:ascii="Times New Roman Regular" w:hAnsi="Times New Roman Regular" w:eastAsia="宋体" w:cs="Times New Roman Regular"/>
          <w:b/>
          <w:bCs/>
          <w:color w:val="auto"/>
          <w:kern w:val="2"/>
          <w:sz w:val="21"/>
          <w:szCs w:val="24"/>
          <w:lang w:val="en-US" w:eastAsia="zh-CN" w:bidi="ar-SA"/>
        </w:rPr>
        <w:t xml:space="preserve">Runtime Environment </w:t>
      </w:r>
    </w:p>
    <w:p w14:paraId="1C95B40F">
      <w:pPr>
        <w:pStyle w:val="11"/>
        <w:keepNext w:val="0"/>
        <w:keepLines w:val="0"/>
        <w:widowControl/>
        <w:suppressLineNumbers w:val="0"/>
        <w:spacing w:line="240" w:lineRule="auto"/>
        <w:rPr>
          <w:rFonts w:hint="default" w:ascii="Times New Roman Regular" w:hAnsi="Times New Roman Regular" w:eastAsia="宋体" w:cs="Times New Roman Regular"/>
          <w:color w:val="auto"/>
          <w:kern w:val="2"/>
          <w:sz w:val="21"/>
          <w:szCs w:val="24"/>
          <w:lang w:val="en-US" w:eastAsia="zh-CN" w:bidi="ar-SA"/>
        </w:rPr>
      </w:pPr>
      <w:r>
        <w:rPr>
          <w:rFonts w:hint="default" w:ascii="Times New Roman Regular" w:hAnsi="Times New Roman Regular" w:eastAsia="宋体" w:cs="Times New Roman Regular"/>
          <w:color w:val="auto"/>
          <w:kern w:val="2"/>
          <w:sz w:val="21"/>
          <w:szCs w:val="24"/>
          <w:lang w:val="en-US" w:eastAsia="zh-CN" w:bidi="ar-SA"/>
        </w:rPr>
        <w:t xml:space="preserve">All image processing and inference were performed locally in Python. The runtime environment was Python 3.9.6 on macOS 26.5.1 with TensorFlow 2.17.1, Keras 3.10.0, NumPy 1.26.4, SciPy 1.13.1, NiBabel 5.3.3, scikit image 0.24.0, and pandas 2.3.3. </w:t>
      </w:r>
    </w:p>
    <w:p w14:paraId="758269AD">
      <w:pPr>
        <w:pStyle w:val="11"/>
        <w:keepNext w:val="0"/>
        <w:keepLines w:val="0"/>
        <w:widowControl/>
        <w:suppressLineNumbers w:val="0"/>
        <w:spacing w:line="240" w:lineRule="auto"/>
        <w:rPr>
          <w:rFonts w:hint="default" w:ascii="Times New Roman Regular" w:hAnsi="Times New Roman Regular" w:eastAsia="宋体" w:cs="Times New Roman Regular"/>
          <w:color w:val="auto"/>
          <w:kern w:val="2"/>
          <w:sz w:val="21"/>
          <w:szCs w:val="24"/>
          <w:lang w:val="en-US" w:eastAsia="zh-CN" w:bidi="ar-SA"/>
        </w:rPr>
      </w:pPr>
    </w:p>
    <w:p w14:paraId="41233921">
      <w:pPr>
        <w:pStyle w:val="11"/>
        <w:keepNext w:val="0"/>
        <w:keepLines w:val="0"/>
        <w:widowControl/>
        <w:suppressLineNumbers w:val="0"/>
        <w:spacing w:line="240" w:lineRule="auto"/>
        <w:rPr>
          <w:rFonts w:hint="default" w:ascii="Times New Roman Regular" w:hAnsi="Times New Roman Regular" w:eastAsia="宋体" w:cs="Times New Roman Regular"/>
          <w:b/>
          <w:bCs/>
          <w:color w:val="auto"/>
          <w:kern w:val="2"/>
          <w:sz w:val="21"/>
          <w:szCs w:val="24"/>
          <w:lang w:val="en-US" w:eastAsia="zh-CN" w:bidi="ar-SA"/>
        </w:rPr>
      </w:pPr>
      <w:r>
        <w:rPr>
          <w:rFonts w:hint="default" w:ascii="Times New Roman Regular" w:hAnsi="Times New Roman Regular" w:eastAsia="宋体" w:cs="Times New Roman Regular"/>
          <w:b/>
          <w:bCs/>
          <w:color w:val="auto"/>
          <w:kern w:val="2"/>
          <w:sz w:val="21"/>
          <w:szCs w:val="24"/>
          <w:lang w:val="en-US" w:eastAsia="zh-CN" w:bidi="ar-SA"/>
        </w:rPr>
        <w:t>Image Preprocessing for Model Inference</w:t>
      </w:r>
    </w:p>
    <w:p w14:paraId="4CFE54EC">
      <w:pPr>
        <w:pStyle w:val="11"/>
        <w:keepNext w:val="0"/>
        <w:keepLines w:val="0"/>
        <w:widowControl/>
        <w:suppressLineNumbers w:val="0"/>
        <w:spacing w:line="240" w:lineRule="auto"/>
        <w:rPr>
          <w:rFonts w:hint="default" w:ascii="Times New Roman Regular" w:hAnsi="Times New Roman Regular" w:eastAsia="宋体" w:cs="Times New Roman Regular"/>
          <w:color w:val="auto"/>
          <w:kern w:val="2"/>
          <w:sz w:val="21"/>
          <w:szCs w:val="24"/>
          <w:lang w:val="en-US" w:eastAsia="zh-CN" w:bidi="ar-SA"/>
        </w:rPr>
      </w:pPr>
      <w:r>
        <w:rPr>
          <w:rFonts w:hint="default" w:ascii="Times New Roman Regular" w:hAnsi="Times New Roman Regular" w:eastAsia="宋体" w:cs="Times New Roman Regular"/>
          <w:color w:val="auto"/>
          <w:kern w:val="2"/>
          <w:sz w:val="21"/>
          <w:szCs w:val="24"/>
          <w:lang w:val="en-US" w:eastAsia="zh-CN" w:bidi="ar-SA"/>
        </w:rPr>
        <w:t>Each brain extracted T1 weighted image was loaded with NiBabel and its native voxel dimensions and affine matrix were recorded.</w:t>
      </w:r>
    </w:p>
    <w:p w14:paraId="49DC5FC7">
      <w:pPr>
        <w:pStyle w:val="11"/>
        <w:keepNext w:val="0"/>
        <w:keepLines w:val="0"/>
        <w:widowControl/>
        <w:suppressLineNumbers w:val="0"/>
        <w:spacing w:line="240" w:lineRule="auto"/>
        <w:rPr>
          <w:rFonts w:hint="default" w:ascii="Times New Roman Regular" w:hAnsi="Times New Roman Regular" w:eastAsia="宋体" w:cs="Times New Roman Regular"/>
          <w:color w:val="auto"/>
          <w:kern w:val="2"/>
          <w:sz w:val="21"/>
          <w:szCs w:val="24"/>
          <w:lang w:val="en-US" w:eastAsia="zh-CN" w:bidi="ar-SA"/>
        </w:rPr>
      </w:pPr>
      <w:r>
        <w:rPr>
          <w:rFonts w:hint="default" w:ascii="Times New Roman Regular" w:hAnsi="Times New Roman Regular" w:eastAsia="宋体" w:cs="Times New Roman Regular"/>
          <w:color w:val="auto"/>
          <w:kern w:val="2"/>
          <w:sz w:val="21"/>
          <w:szCs w:val="24"/>
          <w:lang w:val="en-US" w:eastAsia="zh-CN" w:bidi="ar-SA"/>
        </w:rPr>
        <w:t>Images were resampled when necessary to 1.0 mm isotropic resolution to match the model training resolution.</w:t>
      </w:r>
    </w:p>
    <w:p w14:paraId="564902A3">
      <w:pPr>
        <w:pStyle w:val="11"/>
        <w:keepNext w:val="0"/>
        <w:keepLines w:val="0"/>
        <w:widowControl/>
        <w:suppressLineNumbers w:val="0"/>
        <w:spacing w:line="240" w:lineRule="auto"/>
        <w:rPr>
          <w:rFonts w:hint="default" w:ascii="Times New Roman Regular" w:hAnsi="Times New Roman Regular" w:eastAsia="宋体" w:cs="Times New Roman Regular"/>
          <w:color w:val="auto"/>
          <w:kern w:val="2"/>
          <w:sz w:val="21"/>
          <w:szCs w:val="24"/>
          <w:lang w:val="en-US" w:eastAsia="zh-CN" w:bidi="ar-SA"/>
        </w:rPr>
      </w:pPr>
      <w:r>
        <w:rPr>
          <w:rFonts w:hint="default" w:ascii="Times New Roman Regular" w:hAnsi="Times New Roman Regular" w:eastAsia="宋体" w:cs="Times New Roman Regular"/>
          <w:color w:val="auto"/>
          <w:kern w:val="2"/>
          <w:sz w:val="21"/>
          <w:szCs w:val="24"/>
          <w:lang w:val="en-US" w:eastAsia="zh-CN" w:bidi="ar-SA"/>
        </w:rPr>
        <w:t>Brain voxels were identified from the nonzero brain extracted image. The brain center was estimated from the nonzero voxel distribution.</w:t>
      </w:r>
    </w:p>
    <w:p w14:paraId="3B9FE789">
      <w:pPr>
        <w:pStyle w:val="11"/>
        <w:keepNext w:val="0"/>
        <w:keepLines w:val="0"/>
        <w:widowControl/>
        <w:suppressLineNumbers w:val="0"/>
        <w:spacing w:line="240" w:lineRule="auto"/>
        <w:rPr>
          <w:rFonts w:hint="default" w:ascii="Times New Roman Regular" w:hAnsi="Times New Roman Regular" w:eastAsia="宋体" w:cs="Times New Roman Regular"/>
          <w:color w:val="auto"/>
          <w:kern w:val="2"/>
          <w:sz w:val="21"/>
          <w:szCs w:val="24"/>
          <w:lang w:val="en-US" w:eastAsia="zh-CN" w:bidi="ar-SA"/>
        </w:rPr>
      </w:pPr>
      <w:r>
        <w:rPr>
          <w:rFonts w:hint="default" w:ascii="Times New Roman Regular" w:hAnsi="Times New Roman Regular" w:eastAsia="宋体" w:cs="Times New Roman Regular"/>
          <w:color w:val="auto"/>
          <w:kern w:val="2"/>
          <w:sz w:val="21"/>
          <w:szCs w:val="24"/>
          <w:lang w:val="en-US" w:eastAsia="zh-CN" w:bidi="ar-SA"/>
        </w:rPr>
        <w:t>The image was crop padded around the brain center to the required T1 PVS v4 input size of 160 x 214 x 176 voxels.</w:t>
      </w:r>
    </w:p>
    <w:p w14:paraId="049A7321">
      <w:pPr>
        <w:pStyle w:val="11"/>
        <w:keepNext w:val="0"/>
        <w:keepLines w:val="0"/>
        <w:widowControl/>
        <w:suppressLineNumbers w:val="0"/>
        <w:spacing w:line="240" w:lineRule="auto"/>
        <w:rPr>
          <w:rFonts w:hint="default" w:ascii="Times New Roman Regular" w:hAnsi="Times New Roman Regular" w:eastAsia="宋体" w:cs="Times New Roman Regular"/>
          <w:color w:val="auto"/>
          <w:kern w:val="2"/>
          <w:sz w:val="21"/>
          <w:szCs w:val="24"/>
          <w:lang w:val="en-US" w:eastAsia="zh-CN" w:bidi="ar-SA"/>
        </w:rPr>
      </w:pPr>
      <w:r>
        <w:rPr>
          <w:rFonts w:hint="default" w:ascii="Times New Roman Regular" w:hAnsi="Times New Roman Regular" w:eastAsia="宋体" w:cs="Times New Roman Regular"/>
          <w:color w:val="auto"/>
          <w:kern w:val="2"/>
          <w:sz w:val="21"/>
          <w:szCs w:val="24"/>
          <w:lang w:val="en-US" w:eastAsia="zh-CN" w:bidi="ar-SA"/>
        </w:rPr>
        <w:t>Intensity normalization was performed using brain voxels only. The lower bound was the brain voxel minimum and the upper bound was the 99th percentile of brain voxel intensity values. Values were min max scaled and clipped to the range 0 to 1.</w:t>
      </w:r>
    </w:p>
    <w:p w14:paraId="69759EE4">
      <w:pPr>
        <w:pStyle w:val="11"/>
        <w:keepNext w:val="0"/>
        <w:keepLines w:val="0"/>
        <w:widowControl/>
        <w:suppressLineNumbers w:val="0"/>
        <w:spacing w:line="240" w:lineRule="auto"/>
        <w:rPr>
          <w:rFonts w:hint="default" w:ascii="Times New Roman Regular" w:hAnsi="Times New Roman Regular" w:eastAsia="宋体" w:cs="Times New Roman Regular"/>
          <w:color w:val="auto"/>
          <w:kern w:val="2"/>
          <w:sz w:val="21"/>
          <w:szCs w:val="24"/>
          <w:lang w:val="en-US" w:eastAsia="zh-CN" w:bidi="ar-SA"/>
        </w:rPr>
      </w:pPr>
      <w:r>
        <w:rPr>
          <w:rFonts w:hint="default" w:ascii="Times New Roman Regular" w:hAnsi="Times New Roman Regular" w:eastAsia="宋体" w:cs="Times New Roman Regular"/>
          <w:color w:val="auto"/>
          <w:kern w:val="2"/>
          <w:sz w:val="21"/>
          <w:szCs w:val="24"/>
          <w:lang w:val="en-US" w:eastAsia="zh-CN" w:bidi="ar-SA"/>
        </w:rPr>
        <w:t>A singleton channel dimension was added to create the mono modal model input with shape 160 x 214 x 176 x 1.</w:t>
      </w:r>
    </w:p>
    <w:p w14:paraId="584778D8">
      <w:pPr>
        <w:pStyle w:val="11"/>
        <w:keepNext w:val="0"/>
        <w:keepLines w:val="0"/>
        <w:widowControl/>
        <w:suppressLineNumbers w:val="0"/>
        <w:spacing w:line="240" w:lineRule="auto"/>
        <w:rPr>
          <w:rFonts w:hint="default" w:ascii="Times New Roman Regular" w:hAnsi="Times New Roman Regular" w:eastAsia="宋体" w:cs="Times New Roman Regular"/>
          <w:color w:val="auto"/>
          <w:kern w:val="2"/>
          <w:sz w:val="21"/>
          <w:szCs w:val="24"/>
          <w:lang w:val="en-US" w:eastAsia="zh-CN" w:bidi="ar-SA"/>
        </w:rPr>
      </w:pPr>
    </w:p>
    <w:p w14:paraId="7A206141">
      <w:pPr>
        <w:pStyle w:val="11"/>
        <w:keepNext w:val="0"/>
        <w:keepLines w:val="0"/>
        <w:widowControl/>
        <w:suppressLineNumbers w:val="0"/>
        <w:spacing w:line="240" w:lineRule="auto"/>
        <w:rPr>
          <w:rFonts w:hint="default" w:ascii="Times New Roman Regular" w:hAnsi="Times New Roman Regular" w:eastAsia="宋体" w:cs="Times New Roman Regular"/>
          <w:b/>
          <w:bCs/>
          <w:color w:val="auto"/>
          <w:kern w:val="2"/>
          <w:sz w:val="21"/>
          <w:szCs w:val="24"/>
          <w:lang w:val="en-US" w:eastAsia="zh-CN" w:bidi="ar-SA"/>
        </w:rPr>
      </w:pPr>
      <w:r>
        <w:rPr>
          <w:rFonts w:hint="default" w:ascii="Times New Roman Regular" w:hAnsi="Times New Roman Regular" w:eastAsia="宋体" w:cs="Times New Roman Regular"/>
          <w:b/>
          <w:bCs/>
          <w:color w:val="auto"/>
          <w:kern w:val="2"/>
          <w:sz w:val="21"/>
          <w:szCs w:val="24"/>
          <w:lang w:val="en-US" w:eastAsia="zh-CN" w:bidi="ar-SA"/>
        </w:rPr>
        <w:t>Model Inference and Native Space Reconstruction</w:t>
      </w:r>
    </w:p>
    <w:p w14:paraId="50A76E03">
      <w:pPr>
        <w:pStyle w:val="11"/>
        <w:keepNext w:val="0"/>
        <w:keepLines w:val="0"/>
        <w:widowControl/>
        <w:suppressLineNumbers w:val="0"/>
        <w:spacing w:line="240" w:lineRule="auto"/>
        <w:rPr>
          <w:rFonts w:hint="default" w:ascii="Times New Roman Regular" w:hAnsi="Times New Roman Regular" w:eastAsia="宋体" w:cs="Times New Roman Regular"/>
          <w:color w:val="auto"/>
          <w:kern w:val="2"/>
          <w:sz w:val="21"/>
          <w:szCs w:val="24"/>
          <w:lang w:val="en-US" w:eastAsia="zh-CN" w:bidi="ar-SA"/>
        </w:rPr>
      </w:pPr>
      <w:r>
        <w:rPr>
          <w:rFonts w:hint="default" w:ascii="Times New Roman Regular" w:hAnsi="Times New Roman Regular" w:eastAsia="宋体" w:cs="Times New Roman Regular"/>
          <w:color w:val="auto"/>
          <w:kern w:val="2"/>
          <w:sz w:val="21"/>
          <w:szCs w:val="24"/>
          <w:lang w:val="en-US" w:eastAsia="zh-CN" w:bidi="ar-SA"/>
        </w:rPr>
        <w:t>Each preprocessed T1 image was passed independently through the five fold T1 PVS v4 SavedModels. The five fold specific voxelwise probability outputs were averaged to produce a single probabilistic PVS map with values between 0 and 1. The averaged probability map was thresholded at 0.5 to generate a binary PVS mask. Both the probability map and the binary mask were restored from model space to the original native T1 image space using the crop padding metadata recorded during preprocessing. Native space outputs were saved as NIfTI files, including probability_originalspace.nii.gz and mask_originalspace.nii.gz files for each scan.</w:t>
      </w:r>
    </w:p>
    <w:p w14:paraId="1B491B1F">
      <w:pPr>
        <w:pStyle w:val="11"/>
        <w:keepNext w:val="0"/>
        <w:keepLines w:val="0"/>
        <w:widowControl/>
        <w:suppressLineNumbers w:val="0"/>
        <w:spacing w:line="240" w:lineRule="auto"/>
        <w:rPr>
          <w:rFonts w:hint="default" w:ascii="Times New Roman Regular" w:hAnsi="Times New Roman Regular" w:eastAsia="宋体" w:cs="Times New Roman Regular"/>
          <w:color w:val="auto"/>
          <w:kern w:val="2"/>
          <w:sz w:val="21"/>
          <w:szCs w:val="24"/>
          <w:lang w:val="en-US" w:eastAsia="zh-CN" w:bidi="ar-SA"/>
        </w:rPr>
      </w:pPr>
    </w:p>
    <w:p w14:paraId="00D4F977">
      <w:pPr>
        <w:pStyle w:val="11"/>
        <w:keepNext w:val="0"/>
        <w:keepLines w:val="0"/>
        <w:widowControl/>
        <w:suppressLineNumbers w:val="0"/>
        <w:spacing w:line="240" w:lineRule="auto"/>
        <w:rPr>
          <w:rFonts w:hint="default" w:ascii="Times New Roman Regular" w:hAnsi="Times New Roman Regular" w:eastAsia="宋体" w:cs="Times New Roman Regular"/>
          <w:b/>
          <w:bCs/>
          <w:color w:val="auto"/>
          <w:kern w:val="2"/>
          <w:sz w:val="21"/>
          <w:szCs w:val="24"/>
          <w:lang w:val="en-US" w:eastAsia="zh-CN" w:bidi="ar-SA"/>
        </w:rPr>
      </w:pPr>
      <w:r>
        <w:rPr>
          <w:rFonts w:hint="default" w:ascii="Times New Roman Regular" w:hAnsi="Times New Roman Regular" w:eastAsia="宋体" w:cs="Times New Roman Regular"/>
          <w:b/>
          <w:bCs/>
          <w:color w:val="auto"/>
          <w:kern w:val="2"/>
          <w:sz w:val="21"/>
          <w:szCs w:val="24"/>
          <w:lang w:val="en-US" w:eastAsia="zh-CN" w:bidi="ar-SA"/>
        </w:rPr>
        <w:t>PVS Quantification</w:t>
      </w:r>
    </w:p>
    <w:p w14:paraId="3875E6AB">
      <w:pPr>
        <w:pStyle w:val="11"/>
        <w:keepNext w:val="0"/>
        <w:keepLines w:val="0"/>
        <w:widowControl/>
        <w:suppressLineNumbers w:val="0"/>
        <w:spacing w:line="240" w:lineRule="auto"/>
        <w:rPr>
          <w:rFonts w:hint="default" w:ascii="Times New Roman Regular" w:hAnsi="Times New Roman Regular" w:eastAsia="宋体" w:cs="Times New Roman Regular"/>
          <w:color w:val="auto"/>
          <w:kern w:val="2"/>
          <w:sz w:val="21"/>
          <w:szCs w:val="24"/>
          <w:lang w:val="en-US" w:eastAsia="zh-CN" w:bidi="ar-SA"/>
        </w:rPr>
      </w:pPr>
      <w:r>
        <w:rPr>
          <w:rFonts w:hint="default" w:ascii="Times New Roman Regular" w:hAnsi="Times New Roman Regular" w:eastAsia="宋体" w:cs="Times New Roman Regular"/>
          <w:color w:val="auto"/>
          <w:kern w:val="2"/>
          <w:sz w:val="21"/>
          <w:szCs w:val="24"/>
          <w:lang w:val="en-US" w:eastAsia="zh-CN" w:bidi="ar-SA"/>
        </w:rPr>
        <w:t xml:space="preserve">PVS burden was summarized using two complementary measures. First, PVS volume was calculated as the number of positive voxels in the restricted binary PVS mask multiplied by the native voxel volume. Second, PVS count was calculated as the number of three dimensional connected components in the restricted binary PVS mask, using 3D connectivity. Subject level tables retained the scan identifier, time point, voxel volume, probability summary statistics, PVS voxel count, PVS volume, and PVS connected component count. </w:t>
      </w:r>
    </w:p>
    <w:p w14:paraId="7DAFEEC5">
      <w:pPr>
        <w:pStyle w:val="11"/>
        <w:keepNext w:val="0"/>
        <w:keepLines w:val="0"/>
        <w:widowControl/>
        <w:suppressLineNumbers w:val="0"/>
        <w:spacing w:line="240" w:lineRule="auto"/>
        <w:rPr>
          <w:rFonts w:hint="default" w:ascii="Times New Roman Regular" w:hAnsi="Times New Roman Regular" w:eastAsia="宋体" w:cs="Times New Roman Regular"/>
          <w:color w:val="auto"/>
          <w:kern w:val="2"/>
          <w:sz w:val="21"/>
          <w:szCs w:val="24"/>
          <w:lang w:val="en-US" w:eastAsia="zh-CN" w:bidi="ar-SA"/>
        </w:rPr>
      </w:pPr>
    </w:p>
    <w:p w14:paraId="65121A69">
      <w:pPr>
        <w:pStyle w:val="11"/>
        <w:keepNext w:val="0"/>
        <w:keepLines w:val="0"/>
        <w:widowControl/>
        <w:suppressLineNumbers w:val="0"/>
        <w:spacing w:line="240" w:lineRule="auto"/>
        <w:rPr>
          <w:rFonts w:hint="default" w:ascii="Times New Roman Regular" w:hAnsi="Times New Roman Regular" w:eastAsia="宋体" w:cs="Times New Roman Regular"/>
          <w:b/>
          <w:bCs/>
          <w:color w:val="auto"/>
          <w:kern w:val="2"/>
          <w:sz w:val="21"/>
          <w:szCs w:val="24"/>
          <w:lang w:val="en-US" w:eastAsia="zh-CN" w:bidi="ar-SA"/>
        </w:rPr>
      </w:pPr>
      <w:r>
        <w:rPr>
          <w:rFonts w:hint="default" w:ascii="Times New Roman Regular" w:hAnsi="Times New Roman Regular" w:eastAsia="宋体" w:cs="Times New Roman Regular"/>
          <w:b/>
          <w:bCs/>
          <w:color w:val="auto"/>
          <w:kern w:val="2"/>
          <w:sz w:val="21"/>
          <w:szCs w:val="24"/>
          <w:lang w:val="en-US" w:eastAsia="zh-CN" w:bidi="ar-SA"/>
        </w:rPr>
        <w:t>Quality Control</w:t>
      </w:r>
    </w:p>
    <w:p w14:paraId="14CD694B">
      <w:pPr>
        <w:pStyle w:val="11"/>
        <w:keepNext w:val="0"/>
        <w:keepLines w:val="0"/>
        <w:widowControl/>
        <w:suppressLineNumbers w:val="0"/>
        <w:spacing w:line="240" w:lineRule="auto"/>
        <w:rPr>
          <w:rFonts w:hint="default" w:ascii="Times New Roman Regular" w:hAnsi="Times New Roman Regular" w:eastAsia="宋体" w:cs="Times New Roman Regular"/>
          <w:color w:val="auto"/>
          <w:kern w:val="2"/>
          <w:sz w:val="21"/>
          <w:szCs w:val="24"/>
          <w:lang w:val="en-US" w:eastAsia="zh-CN" w:bidi="ar-SA"/>
        </w:rPr>
      </w:pPr>
      <w:r>
        <w:rPr>
          <w:rFonts w:hint="default" w:ascii="Times New Roman Regular" w:hAnsi="Times New Roman Regular" w:eastAsia="宋体" w:cs="Times New Roman Regular"/>
          <w:color w:val="auto"/>
          <w:kern w:val="2"/>
          <w:sz w:val="21"/>
          <w:szCs w:val="24"/>
          <w:lang w:val="en-US" w:eastAsia="zh-CN" w:bidi="ar-SA"/>
        </w:rPr>
        <w:t>Quality control was performed at four levels. First, preprocessing metadata were reviewed to confirm successful resampling, brain centering, crop padding, and intensity normalization. Second, native space reconstruction was checked by confirming that output probability and binary mask images had the expected original T1 image shape and affine geometry. Third, automated overlay images were inspected to verify plausible PVS localization and to identify gross artifacts, failed brain extraction, or spatial mismatch.</w:t>
      </w:r>
      <w:r>
        <w:rPr>
          <w:rFonts w:hint="eastAsia" w:ascii="Times New Roman Regular" w:hAnsi="Times New Roman Regular" w:cs="Times New Roman Regular"/>
          <w:color w:val="auto"/>
          <w:kern w:val="2"/>
          <w:sz w:val="21"/>
          <w:szCs w:val="24"/>
          <w:lang w:val="en-US" w:eastAsia="zh-CN" w:bidi="ar-SA"/>
        </w:rPr>
        <w:t xml:space="preserve"> </w:t>
      </w:r>
      <w:r>
        <w:rPr>
          <w:rFonts w:hint="default" w:ascii="Times New Roman Regular" w:hAnsi="Times New Roman Regular" w:eastAsia="宋体" w:cs="Times New Roman Regular"/>
          <w:color w:val="auto"/>
          <w:kern w:val="2"/>
          <w:sz w:val="21"/>
          <w:szCs w:val="24"/>
          <w:lang w:val="en-US" w:eastAsia="zh-CN" w:bidi="ar-SA"/>
        </w:rPr>
        <w:t>Cases with severe motion, failed registration, failed segmentation, or obvious</w:t>
      </w:r>
      <w:r>
        <w:rPr>
          <w:rFonts w:hint="eastAsia" w:ascii="Times New Roman Regular" w:hAnsi="Times New Roman Regular" w:cs="Times New Roman Regular"/>
          <w:color w:val="auto"/>
          <w:kern w:val="2"/>
          <w:sz w:val="21"/>
          <w:szCs w:val="24"/>
          <w:lang w:val="en-US" w:eastAsia="zh-CN" w:bidi="ar-SA"/>
        </w:rPr>
        <w:t xml:space="preserve"> </w:t>
      </w:r>
      <w:r>
        <w:rPr>
          <w:rFonts w:hint="default" w:ascii="Times New Roman Regular" w:hAnsi="Times New Roman Regular" w:eastAsia="宋体" w:cs="Times New Roman Regular"/>
          <w:color w:val="auto"/>
          <w:kern w:val="2"/>
          <w:sz w:val="21"/>
          <w:szCs w:val="24"/>
          <w:lang w:val="en-US" w:eastAsia="zh-CN" w:bidi="ar-SA"/>
        </w:rPr>
        <w:t>misalignment should be flagged for exclusion or sensitivity analysis according to a prespecified QC rule.</w:t>
      </w:r>
    </w:p>
    <w:p w14:paraId="17B6B990">
      <w:pPr>
        <w:pStyle w:val="11"/>
        <w:keepNext w:val="0"/>
        <w:keepLines w:val="0"/>
        <w:widowControl/>
        <w:suppressLineNumbers w:val="0"/>
        <w:spacing w:line="240" w:lineRule="auto"/>
        <w:rPr>
          <w:rFonts w:hint="default" w:ascii="Times New Roman Regular" w:hAnsi="Times New Roman Regular" w:eastAsia="宋体" w:cs="Times New Roman Regular"/>
          <w:color w:val="auto"/>
          <w:kern w:val="2"/>
          <w:sz w:val="21"/>
          <w:szCs w:val="24"/>
          <w:lang w:val="en-US" w:eastAsia="zh-CN" w:bidi="ar-SA"/>
        </w:rPr>
      </w:pPr>
    </w:p>
    <w:p w14:paraId="205A3FDB">
      <w:pPr>
        <w:rPr>
          <w:rFonts w:hint="default" w:ascii="Times New Roman Regular" w:hAnsi="Times New Roman Regular" w:cs="Times New Roman Regular"/>
          <w:b w:val="0"/>
          <w:sz w:val="21"/>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Times New Roman Regular">
    <w:panose1 w:val="02020503050405090304"/>
    <w:charset w:val="00"/>
    <w:family w:val="auto"/>
    <w:pitch w:val="default"/>
    <w:sig w:usb0="E0000AFF" w:usb1="00007843" w:usb2="00000001" w:usb3="00000000" w:csb0="400001BF" w:csb1="DFF70000"/>
  </w:font>
  <w:font w:name="ArialMT">
    <w:panose1 w:val="020B0604020202090204"/>
    <w:charset w:val="00"/>
    <w:family w:val="auto"/>
    <w:pitch w:val="default"/>
    <w:sig w:usb0="E0000AFF" w:usb1="00007843" w:usb2="00000001" w:usb3="00000000" w:csb0="400001BF" w:csb1="DFF70000"/>
  </w:font>
  <w:font w:name="Times New Roman Bold">
    <w:panose1 w:val="02020503050405090304"/>
    <w:charset w:val="00"/>
    <w:family w:val="auto"/>
    <w:pitch w:val="default"/>
    <w:sig w:usb0="E0000AFF" w:usb1="00007843" w:usb2="00000001" w:usb3="00000000" w:csb0="400001BF" w:csb1="DFF7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 w:name="HardingText-Semibold">
    <w:altName w:val="苹方-简"/>
    <w:panose1 w:val="00000000000000000000"/>
    <w:charset w:val="00"/>
    <w:family w:val="auto"/>
    <w:pitch w:val="default"/>
    <w:sig w:usb0="00000000" w:usb1="00000000" w:usb2="00000000" w:usb3="00000000" w:csb0="00000000" w:csb1="00000000"/>
  </w:font>
  <w:font w:name="HardingText-Regular">
    <w:altName w:val="苹方-简"/>
    <w:panose1 w:val="00000000000000000000"/>
    <w:charset w:val="00"/>
    <w:family w:val="auto"/>
    <w:pitch w:val="default"/>
    <w:sig w:usb0="00000000" w:usb1="00000000" w:usb2="00000000" w:usb3="00000000" w:csb0="00000000" w:csb1="00000000"/>
  </w:font>
  <w:font w:name="苹方-简">
    <w:panose1 w:val="020B0400000000000000"/>
    <w:charset w:val="86"/>
    <w:family w:val="auto"/>
    <w:pitch w:val="default"/>
    <w:sig w:usb0="A00002FF" w:usb1="7ACFFDFB" w:usb2="00000017" w:usb3="00000000" w:csb0="00040001" w:csb1="00000000"/>
  </w:font>
  <w:font w:name="儷宋 Pro">
    <w:panose1 w:val="02020300000000000000"/>
    <w:charset w:val="88"/>
    <w:family w:val="auto"/>
    <w:pitch w:val="default"/>
    <w:sig w:usb0="80000001" w:usb1="28091800" w:usb2="00000016" w:usb3="00000000" w:csb0="00100000" w:csb1="00000000"/>
  </w:font>
  <w:font w:name="Calibri Light">
    <w:altName w:val="Helvetica Neue"/>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65FFD5"/>
    <w:rsid w:val="0CD7465B"/>
    <w:rsid w:val="23EE1586"/>
    <w:rsid w:val="3F6F2D07"/>
    <w:rsid w:val="4D8B973D"/>
    <w:rsid w:val="5FFC6FBA"/>
    <w:rsid w:val="67AF304C"/>
    <w:rsid w:val="6D9F0242"/>
    <w:rsid w:val="6FF858A7"/>
    <w:rsid w:val="75F90AA3"/>
    <w:rsid w:val="7AF58189"/>
    <w:rsid w:val="7BFB0AD9"/>
    <w:rsid w:val="7BFFCF6D"/>
    <w:rsid w:val="7E6288B6"/>
    <w:rsid w:val="7EBF4D83"/>
    <w:rsid w:val="7EEEBBD7"/>
    <w:rsid w:val="7F7AFD95"/>
    <w:rsid w:val="CA54DD9A"/>
    <w:rsid w:val="CFF33DE2"/>
    <w:rsid w:val="D7B6613C"/>
    <w:rsid w:val="DEFFE227"/>
    <w:rsid w:val="DFA3FC01"/>
    <w:rsid w:val="DFCF2354"/>
    <w:rsid w:val="E52BAB34"/>
    <w:rsid w:val="EF7BD58A"/>
    <w:rsid w:val="EFE78ADA"/>
    <w:rsid w:val="EFFD686D"/>
    <w:rsid w:val="F2F6F11D"/>
    <w:rsid w:val="F3FD8FBD"/>
    <w:rsid w:val="FF1B5E11"/>
    <w:rsid w:val="FF46C5A7"/>
    <w:rsid w:val="FF65FFD5"/>
    <w:rsid w:val="FF7DBB2D"/>
    <w:rsid w:val="FFF135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jc w:val="both"/>
    </w:pPr>
    <w:rPr>
      <w:rFonts w:ascii="Times New Roman" w:hAnsi="Times New Roman" w:eastAsia="宋体" w:cs="Times New Roman"/>
      <w:kern w:val="2"/>
      <w:sz w:val="21"/>
    </w:rPr>
  </w:style>
  <w:style w:type="paragraph" w:styleId="2">
    <w:name w:val="heading 1"/>
    <w:basedOn w:val="1"/>
    <w:next w:val="1"/>
    <w:qFormat/>
    <w:uiPriority w:val="9"/>
    <w:pPr>
      <w:keepNext/>
      <w:keepLines/>
      <w:spacing w:before="200" w:after="120"/>
      <w:outlineLvl w:val="0"/>
    </w:pPr>
    <w:rPr>
      <w:rFonts w:ascii="Times New Roman" w:hAnsi="Times New Roman"/>
      <w:b/>
      <w:bCs/>
      <w:color w:val="000000"/>
      <w:sz w:val="23"/>
      <w:szCs w:val="28"/>
    </w:rPr>
  </w:style>
  <w:style w:type="paragraph" w:styleId="3">
    <w:name w:val="heading 2"/>
    <w:basedOn w:val="1"/>
    <w:next w:val="1"/>
    <w:unhideWhenUsed/>
    <w:qFormat/>
    <w:uiPriority w:val="9"/>
    <w:pPr>
      <w:keepNext/>
      <w:keepLines/>
      <w:spacing w:before="100" w:after="40"/>
      <w:outlineLvl w:val="1"/>
    </w:pPr>
    <w:rPr>
      <w:rFonts w:asciiTheme="majorHAnsi" w:hAnsiTheme="majorHAnsi" w:eastAsiaTheme="majorEastAsia" w:cstheme="majorBidi"/>
      <w:b/>
      <w:bCs/>
      <w:color w:val="000000"/>
      <w:sz w:val="21"/>
      <w:szCs w:val="26"/>
      <w:u w:val="none"/>
    </w:rPr>
  </w:style>
  <w:style w:type="character" w:default="1" w:styleId="9">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4">
    <w:name w:val="Plain Text"/>
    <w:basedOn w:val="1"/>
    <w:uiPriority w:val="0"/>
    <w:rPr>
      <w:rFonts w:ascii="宋体" w:hAnsi="Courier New"/>
    </w:r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 w:type="paragraph" w:styleId="6">
    <w:name w:val="Title"/>
    <w:basedOn w:val="1"/>
    <w:next w:val="1"/>
    <w:qFormat/>
    <w:uiPriority w:val="10"/>
    <w:pPr>
      <w:spacing w:after="120" w:line="240" w:lineRule="auto"/>
      <w:contextualSpacing/>
    </w:pPr>
    <w:rPr>
      <w:rFonts w:ascii="Times New Roman" w:hAnsi="Times New Roman"/>
      <w:b/>
      <w:color w:val="000000"/>
      <w:spacing w:val="5"/>
      <w:kern w:val="28"/>
      <w:sz w:val="32"/>
      <w:szCs w:val="52"/>
    </w:rPr>
  </w:style>
  <w:style w:type="table" w:styleId="8">
    <w:name w:val="Table Grid"/>
    <w:basedOn w:val="7"/>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Strong"/>
    <w:basedOn w:val="9"/>
    <w:qFormat/>
    <w:uiPriority w:val="0"/>
    <w:rPr>
      <w:b/>
    </w:rPr>
  </w:style>
  <w:style w:type="paragraph" w:customStyle="1" w:styleId="11">
    <w:name w:val="p1"/>
    <w:basedOn w:val="1"/>
    <w:uiPriority w:val="0"/>
    <w:pPr>
      <w:spacing w:before="0" w:beforeAutospacing="0" w:after="0" w:afterAutospacing="0"/>
      <w:ind w:left="0" w:right="0"/>
      <w:jc w:val="both"/>
    </w:pPr>
    <w:rPr>
      <w:rFonts w:ascii="Times New Roman" w:hAnsi="Times New Roman" w:cs="Times New Roman"/>
      <w:color w:val="000000"/>
      <w:kern w:val="0"/>
      <w:sz w:val="24"/>
      <w:szCs w:val="24"/>
      <w:lang w:val="en-US" w:eastAsia="zh-CN" w:bidi="ar"/>
    </w:rPr>
  </w:style>
  <w:style w:type="paragraph" w:customStyle="1" w:styleId="12">
    <w:name w:val="p2"/>
    <w:basedOn w:val="1"/>
    <w:uiPriority w:val="0"/>
    <w:pPr>
      <w:spacing w:before="0" w:beforeAutospacing="0" w:after="0" w:afterAutospacing="0"/>
      <w:ind w:left="0" w:right="0"/>
      <w:jc w:val="both"/>
    </w:pPr>
    <w:rPr>
      <w:rFonts w:hint="default" w:ascii="Times New Roman" w:hAnsi="Times New Roman" w:cs="Times New Roman"/>
      <w:color w:val="000000"/>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317</TotalTime>
  <ScaleCrop>false</ScaleCrop>
  <LinksUpToDate>false</LinksUpToDate>
  <CharactersWithSpaces>0</CharactersWithSpaces>
  <Application>WPS Office_12.1.26026.26026_F1E327BC-269C-435d-A152-05C5408002CA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2026-09-22T07:20:00Z</dcterms:created>
  <dc:creator>陈鹏</dc:creator>
  <cp:lastModifiedBy>陈鹏</cp:lastModifiedBy>
  <dcterms:modified xsi:type="dcterms:W3CDTF">2026-10-01T17:28:37Z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2052-12.1.26026.26026</vt:lpwstr>
  </property>
  <property fmtid="{D5CDD505-2E9C-101B-9397-08002B2CF9AE}" pid="3" name="ICV">
    <vt:lpwstr>918BDF2C8E9CDF0FD3DAB06A1936AA9F_41</vt:lpwstr>
  </property>
</Properties>
</file>