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1A9A" w14:textId="77777777" w:rsidR="00017302" w:rsidRPr="00B4570F" w:rsidRDefault="00017302" w:rsidP="00017302">
      <w:pPr>
        <w:spacing w:line="360" w:lineRule="auto"/>
        <w:rPr>
          <w:b/>
          <w:bCs/>
        </w:rPr>
      </w:pPr>
      <w:r w:rsidRPr="00B4570F">
        <w:rPr>
          <w:rFonts w:hint="eastAsia"/>
          <w:b/>
          <w:bCs/>
        </w:rPr>
        <w:t>Table Legends</w:t>
      </w:r>
    </w:p>
    <w:p w14:paraId="30432E42" w14:textId="77777777" w:rsidR="00017302" w:rsidRPr="00B4570F" w:rsidRDefault="00017302" w:rsidP="00017302">
      <w:pPr>
        <w:spacing w:line="360" w:lineRule="auto"/>
      </w:pPr>
      <w:r w:rsidRPr="00B4570F">
        <w:rPr>
          <w:b/>
          <w:bCs/>
        </w:rPr>
        <w:t>Table 1. Clinical Characteristics of Adolescent Fontan Patients (N=14)</w:t>
      </w:r>
    </w:p>
    <w:p w14:paraId="1C52692E" w14:textId="77777777" w:rsidR="00017302" w:rsidRPr="00B4570F" w:rsidRDefault="00017302" w:rsidP="00017302">
      <w:pPr>
        <w:spacing w:line="360" w:lineRule="auto"/>
      </w:pPr>
      <w:r w:rsidRPr="00B4570F">
        <w:t xml:space="preserve">Data are presented as median (interquartile range), mean ± standard deviation, or n (%). </w:t>
      </w:r>
      <w:proofErr w:type="spellStart"/>
      <w:r w:rsidRPr="00B4570F">
        <w:t>ACEi</w:t>
      </w:r>
      <w:proofErr w:type="spellEnd"/>
      <w:r w:rsidRPr="00B4570F">
        <w:t>, angiotensin-converting enzyme inhibitor; ARB, angiotensin II receptor blocker; MRA, mineralocorticoid receptor antagonist; SD, standard deviation.</w:t>
      </w:r>
    </w:p>
    <w:p w14:paraId="2099BCF7" w14:textId="77777777" w:rsidR="00017302" w:rsidRPr="006B00DB" w:rsidRDefault="00017302" w:rsidP="00017302">
      <w:pPr>
        <w:spacing w:line="360" w:lineRule="auto"/>
        <w:rPr>
          <w:highlight w:val="lightGray"/>
        </w:rPr>
      </w:pPr>
    </w:p>
    <w:p w14:paraId="44F30C7F" w14:textId="77777777" w:rsidR="00017302" w:rsidRPr="00E321CF" w:rsidRDefault="00017302" w:rsidP="00017302">
      <w:pPr>
        <w:spacing w:line="360" w:lineRule="auto"/>
        <w:rPr>
          <w:b/>
          <w:bCs/>
        </w:rPr>
      </w:pPr>
      <w:r w:rsidRPr="00E321CF">
        <w:rPr>
          <w:b/>
          <w:bCs/>
        </w:rPr>
        <w:t>Table 2: Baseline Laboratory, Imaging, and Exercise Parameters</w:t>
      </w:r>
      <w:r w:rsidRPr="00E321CF">
        <w:rPr>
          <w:rFonts w:hint="eastAsia"/>
          <w:b/>
          <w:bCs/>
        </w:rPr>
        <w:t xml:space="preserve"> (N=14)</w:t>
      </w:r>
    </w:p>
    <w:p w14:paraId="3B3349E4" w14:textId="77777777" w:rsidR="00017302" w:rsidRPr="00863651" w:rsidRDefault="00017302" w:rsidP="00017302">
      <w:pPr>
        <w:spacing w:line="360" w:lineRule="auto"/>
      </w:pPr>
      <w:r w:rsidRPr="00E321CF">
        <w:t>Data are presented as mean ± standard deviation or n (%). ALT, alanine aminotransferase; AST, aspartate aminotransferase; BNP, B-type natriuretic peptide; HR, heart rate; SD, standard deviation; VE</w:t>
      </w:r>
      <w:r w:rsidRPr="00E321CF">
        <w:rPr>
          <w:rFonts w:hint="eastAsia"/>
        </w:rPr>
        <w:t xml:space="preserve"> vs. </w:t>
      </w:r>
      <w:r w:rsidRPr="00E321CF">
        <w:t>VCO</w:t>
      </w:r>
      <w:r w:rsidRPr="00E321CF">
        <w:rPr>
          <w:vertAlign w:val="subscript"/>
        </w:rPr>
        <w:t>2</w:t>
      </w:r>
      <w:r w:rsidRPr="00E321CF">
        <w:t xml:space="preserve"> </w:t>
      </w:r>
      <w:r w:rsidRPr="00E321CF">
        <w:rPr>
          <w:rFonts w:hint="eastAsia"/>
        </w:rPr>
        <w:t xml:space="preserve">slope, </w:t>
      </w:r>
      <w:r w:rsidRPr="00E321CF">
        <w:t>minute ventilation to carbon dioxide production slope; VO</w:t>
      </w:r>
      <w:r w:rsidRPr="00E321CF">
        <w:rPr>
          <w:vertAlign w:val="subscript"/>
        </w:rPr>
        <w:t>2</w:t>
      </w:r>
      <w:r w:rsidRPr="00E321CF">
        <w:t>, oxygen consumption</w:t>
      </w:r>
    </w:p>
    <w:p w14:paraId="39A67CEE" w14:textId="77777777" w:rsidR="00017302" w:rsidRPr="006B00DB" w:rsidRDefault="00017302" w:rsidP="00017302">
      <w:pPr>
        <w:spacing w:line="360" w:lineRule="auto"/>
        <w:rPr>
          <w:b/>
          <w:bCs/>
          <w:highlight w:val="lightGray"/>
        </w:rPr>
      </w:pPr>
    </w:p>
    <w:p w14:paraId="43138CC7" w14:textId="77777777" w:rsidR="00017302" w:rsidRPr="00410533" w:rsidRDefault="00017302" w:rsidP="00017302">
      <w:pPr>
        <w:spacing w:line="360" w:lineRule="auto"/>
      </w:pPr>
      <w:r w:rsidRPr="00410533">
        <w:rPr>
          <w:b/>
          <w:bCs/>
        </w:rPr>
        <w:t>Table 3. Resting and Peak Exercise Hemodynamics (N=14)</w:t>
      </w:r>
    </w:p>
    <w:p w14:paraId="600C91B9" w14:textId="77777777" w:rsidR="00017302" w:rsidRPr="00410533" w:rsidRDefault="00017302" w:rsidP="00017302">
      <w:pPr>
        <w:spacing w:line="360" w:lineRule="auto"/>
      </w:pPr>
      <w:r w:rsidRPr="00410533">
        <w:t xml:space="preserve">Values are expressed as mean ± SD. Comparisons between rest and peak exercise were performed using the Wilcoxon signed-rank test due to the small sample size. </w:t>
      </w:r>
      <w:proofErr w:type="spellStart"/>
      <w:r w:rsidRPr="00410533">
        <w:t>mPAP</w:t>
      </w:r>
      <w:proofErr w:type="spellEnd"/>
      <w:r w:rsidRPr="00410533">
        <w:t xml:space="preserve">, mean pulmonary arterial pressure; PAWP, pulmonary arterial wedge pressure; PVRI, pulmonary vascular resistance index; </w:t>
      </w:r>
      <w:proofErr w:type="spellStart"/>
      <w:r w:rsidRPr="00410533">
        <w:t>Qp</w:t>
      </w:r>
      <w:proofErr w:type="spellEnd"/>
      <w:r w:rsidRPr="00410533">
        <w:t xml:space="preserve">, pulmonary blood flow; Qs, systemic blood flow; </w:t>
      </w:r>
      <w:proofErr w:type="spellStart"/>
      <w:r w:rsidRPr="00410533">
        <w:t>SatO</w:t>
      </w:r>
      <w:proofErr w:type="spellEnd"/>
      <w:r w:rsidRPr="00410533">
        <w:t xml:space="preserve">₂, arterial oxygen saturation; </w:t>
      </w:r>
      <w:proofErr w:type="spellStart"/>
      <w:r w:rsidRPr="00410533">
        <w:t>ScvO</w:t>
      </w:r>
      <w:proofErr w:type="spellEnd"/>
      <w:r w:rsidRPr="00410533">
        <w:t>₂, central venous oxygen saturation; SD, standard deviation; SVRI, systemic vascular resistance index; VO₂, oxygen consumption; WU, Wood units.</w:t>
      </w:r>
    </w:p>
    <w:p w14:paraId="5D3F4178" w14:textId="77777777" w:rsidR="00017302" w:rsidRDefault="00017302" w:rsidP="00017302">
      <w:pPr>
        <w:spacing w:line="360" w:lineRule="auto"/>
        <w:rPr>
          <w:b/>
          <w:bCs/>
          <w:highlight w:val="lightGray"/>
        </w:rPr>
      </w:pPr>
    </w:p>
    <w:p w14:paraId="5EBF7B93" w14:textId="77777777" w:rsidR="00017302" w:rsidRPr="00B6489D" w:rsidRDefault="00017302" w:rsidP="00017302">
      <w:pPr>
        <w:spacing w:line="360" w:lineRule="auto"/>
      </w:pPr>
      <w:r w:rsidRPr="00B6489D">
        <w:rPr>
          <w:b/>
          <w:bCs/>
        </w:rPr>
        <w:t>Table 4. Correlations Between Hemodynamic Parameters and Peak % Predicted VO₂</w:t>
      </w:r>
    </w:p>
    <w:p w14:paraId="72F48E37" w14:textId="77777777" w:rsidR="00017302" w:rsidRPr="00B6489D" w:rsidRDefault="00017302" w:rsidP="00017302">
      <w:pPr>
        <w:spacing w:line="360" w:lineRule="auto"/>
      </w:pPr>
      <w:r w:rsidRPr="00B6489D">
        <w:t>Correlations were assessed using Pearson’s correlation coefficient (</w:t>
      </w:r>
      <w:r w:rsidRPr="00B6489D">
        <w:rPr>
          <w:i/>
          <w:iCs/>
        </w:rPr>
        <w:t>r</w:t>
      </w:r>
      <w:r w:rsidRPr="00B6489D">
        <w:t xml:space="preserve">). Peak % predicted VO₂ was used as the primary measure of functional capacity. CMR, cardiac magnetic resonance; CMR-EF, ejection fraction assessed by cardiac magnetic resonance; </w:t>
      </w:r>
      <w:proofErr w:type="spellStart"/>
      <w:r w:rsidRPr="00B6489D">
        <w:t>mPAP</w:t>
      </w:r>
      <w:proofErr w:type="spellEnd"/>
      <w:r w:rsidRPr="00B6489D">
        <w:t xml:space="preserve">, mean pulmonary arterial pressure; PAWP, pulmonary arterial wedge pressure; PVRI, pulmonary vascular resistance index; </w:t>
      </w:r>
      <w:proofErr w:type="spellStart"/>
      <w:r w:rsidRPr="00B6489D">
        <w:t>Qp</w:t>
      </w:r>
      <w:proofErr w:type="spellEnd"/>
      <w:r w:rsidRPr="00B6489D">
        <w:t>, pulmonary blood flow; Qs, systemic blood flow; SVRI, systemic vascular resistance index; TPG, transpulmonary pressure gradient (</w:t>
      </w:r>
      <w:proofErr w:type="spellStart"/>
      <w:r w:rsidRPr="00B6489D">
        <w:t>mPAP</w:t>
      </w:r>
      <w:proofErr w:type="spellEnd"/>
      <w:r w:rsidRPr="00B6489D">
        <w:t xml:space="preserve"> − PAWP); VO₂, oxygen consumption.</w:t>
      </w:r>
    </w:p>
    <w:p w14:paraId="2B00CFB0" w14:textId="77777777" w:rsidR="00017302" w:rsidRPr="006B00DB" w:rsidRDefault="00017302" w:rsidP="00017302">
      <w:pPr>
        <w:spacing w:line="360" w:lineRule="auto"/>
        <w:rPr>
          <w:highlight w:val="lightGray"/>
        </w:rPr>
      </w:pPr>
    </w:p>
    <w:p w14:paraId="5B22AA85" w14:textId="592C6894" w:rsidR="00C6465A" w:rsidRDefault="00017302" w:rsidP="00017302">
      <w:pPr>
        <w:rPr>
          <w:b/>
          <w:bCs/>
        </w:rPr>
      </w:pPr>
      <w:r w:rsidRPr="006B00DB">
        <w:rPr>
          <w:b/>
          <w:bCs/>
          <w:highlight w:val="lightGray"/>
        </w:rPr>
        <w:br w:type="page"/>
      </w:r>
    </w:p>
    <w:p w14:paraId="1216B63F" w14:textId="77777777" w:rsidR="00017302" w:rsidRDefault="00017302" w:rsidP="00017302">
      <w:pPr>
        <w:rPr>
          <w:b/>
          <w:bCs/>
        </w:rPr>
      </w:pPr>
    </w:p>
    <w:p w14:paraId="36234FE8" w14:textId="77777777" w:rsidR="00017302" w:rsidRDefault="00017302" w:rsidP="00017302">
      <w:pPr>
        <w:spacing w:line="360" w:lineRule="auto"/>
      </w:pPr>
      <w:r>
        <w:rPr>
          <w:noProof/>
        </w:rPr>
        <w:drawing>
          <wp:inline distT="0" distB="0" distL="0" distR="0" wp14:anchorId="00C8906B" wp14:editId="2958FC8A">
            <wp:extent cx="5400040" cy="3037840"/>
            <wp:effectExtent l="0" t="0" r="0" b="0"/>
            <wp:docPr id="5315051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05103" name="図 5315051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363A" w14:textId="77777777" w:rsidR="00017302" w:rsidRDefault="00017302" w:rsidP="00017302">
      <w:pPr>
        <w:spacing w:line="360" w:lineRule="auto"/>
      </w:pPr>
      <w:r>
        <w:rPr>
          <w:rFonts w:hint="eastAsia"/>
          <w:noProof/>
        </w:rPr>
        <w:drawing>
          <wp:inline distT="0" distB="0" distL="0" distR="0" wp14:anchorId="55DCFF4B" wp14:editId="1A3AB854">
            <wp:extent cx="5400040" cy="3037840"/>
            <wp:effectExtent l="0" t="0" r="0" b="0"/>
            <wp:docPr id="166078645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786457" name="図 16607864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F25D" w14:textId="77777777" w:rsidR="00017302" w:rsidRDefault="00017302" w:rsidP="00017302">
      <w:pPr>
        <w:spacing w:line="360" w:lineRule="auto"/>
      </w:pPr>
      <w:r>
        <w:rPr>
          <w:rFonts w:hint="eastAsia"/>
          <w:noProof/>
        </w:rPr>
        <w:lastRenderedPageBreak/>
        <w:drawing>
          <wp:inline distT="0" distB="0" distL="0" distR="0" wp14:anchorId="59BE22AA" wp14:editId="6E44BDC7">
            <wp:extent cx="5400040" cy="3037840"/>
            <wp:effectExtent l="0" t="0" r="0" b="0"/>
            <wp:docPr id="157073565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35659" name="図 15707356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E117F" w14:textId="06BFA278" w:rsidR="00017302" w:rsidRDefault="00017302" w:rsidP="00017302">
      <w:r>
        <w:rPr>
          <w:rFonts w:hint="eastAsia"/>
          <w:noProof/>
        </w:rPr>
        <w:drawing>
          <wp:inline distT="0" distB="0" distL="0" distR="0" wp14:anchorId="5E317C51" wp14:editId="2B7B278A">
            <wp:extent cx="5400040" cy="3037840"/>
            <wp:effectExtent l="0" t="0" r="0" b="0"/>
            <wp:docPr id="122160166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01668" name="図 12216016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7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02"/>
    <w:rsid w:val="00017302"/>
    <w:rsid w:val="000905F0"/>
    <w:rsid w:val="00112C91"/>
    <w:rsid w:val="00242B4F"/>
    <w:rsid w:val="00302F9E"/>
    <w:rsid w:val="004E23CF"/>
    <w:rsid w:val="006D5216"/>
    <w:rsid w:val="00A80498"/>
    <w:rsid w:val="00AC52C6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9857"/>
  <w15:chartTrackingRefBased/>
  <w15:docId w15:val="{8100C658-4C18-463D-833D-5AC8D73F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302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302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302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02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02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02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02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02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02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02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02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7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02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7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02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7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02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7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0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2026-10-16T15:13:00Z</dcterms:created>
  <dcterms:modified xsi:type="dcterms:W3CDTF">2026-10-16T15:14:00Z</dcterms:modified>
</cp:coreProperties>
</file>