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B4819" w14:textId="77777777" w:rsidR="00AC72D3" w:rsidRPr="00AC72D3" w:rsidRDefault="00AC72D3" w:rsidP="00AC72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Data Collection &amp; Measurement Framework</w:t>
      </w:r>
    </w:p>
    <w:p w14:paraId="2319AD24" w14:textId="77777777" w:rsidR="00AC72D3" w:rsidRPr="00AC72D3" w:rsidRDefault="00AC72D3" w:rsidP="00AC72D3">
      <w:pPr>
        <w:spacing w:before="100" w:beforeAutospacing="1" w:after="100" w:afterAutospacing="1" w:line="240" w:lineRule="auto"/>
        <w:rPr>
          <w:rFonts w:ascii="Times New Roman" w:hAnsi="Times New Roman" w:cs="Times New Roman"/>
          <w:kern w:val="0"/>
          <w14:ligatures w14:val="none"/>
        </w:rPr>
      </w:pPr>
      <w:r w:rsidRPr="00AC72D3">
        <w:rPr>
          <w:rFonts w:ascii="Times New Roman" w:hAnsi="Times New Roman" w:cs="Times New Roman"/>
          <w:kern w:val="0"/>
          <w14:ligatures w14:val="none"/>
        </w:rPr>
        <w:t xml:space="preserve">The evaluation of the </w:t>
      </w:r>
      <w:r w:rsidRPr="00AC72D3">
        <w:rPr>
          <w:rFonts w:ascii="Times New Roman" w:hAnsi="Times New Roman" w:cs="Times New Roman"/>
          <w:b/>
          <w:bCs/>
          <w:kern w:val="0"/>
          <w14:ligatures w14:val="none"/>
        </w:rPr>
        <w:t>AbbaCare Sickle Cell Disease (SCD) Equity Initiative</w:t>
      </w:r>
      <w:r w:rsidRPr="00AC72D3">
        <w:rPr>
          <w:rFonts w:ascii="Times New Roman" w:hAnsi="Times New Roman" w:cs="Times New Roman"/>
          <w:kern w:val="0"/>
          <w14:ligatures w14:val="none"/>
        </w:rPr>
        <w:t xml:space="preserve"> relies on a multi-instrument data collection system designed to assess clinical effectiveness, financial risk protection, and CFIR 2.0 implementation constructs across Kano State. Electronic Data Capture (EDC) is deployed via </w:t>
      </w:r>
      <w:r w:rsidRPr="00AC72D3">
        <w:rPr>
          <w:rFonts w:ascii="Times New Roman" w:hAnsi="Times New Roman" w:cs="Times New Roman"/>
          <w:b/>
          <w:bCs/>
          <w:kern w:val="0"/>
          <w14:ligatures w14:val="none"/>
        </w:rPr>
        <w:t>Open Data Kit (ODK) / KoboToolbox</w:t>
      </w:r>
      <w:r w:rsidRPr="00AC72D3">
        <w:rPr>
          <w:rFonts w:ascii="Times New Roman" w:hAnsi="Times New Roman" w:cs="Times New Roman"/>
          <w:kern w:val="0"/>
          <w14:ligatures w14:val="none"/>
        </w:rPr>
        <w:t xml:space="preserve"> on mobile Android devices.</w:t>
      </w:r>
    </w:p>
    <w:p w14:paraId="25F7515B" w14:textId="77777777" w:rsidR="002F4DE8" w:rsidRPr="002F4DE8" w:rsidRDefault="002F4DE8" w:rsidP="002F4DE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2F4DE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Data Collection and Measurement Framework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69"/>
        <w:gridCol w:w="1520"/>
        <w:gridCol w:w="1632"/>
        <w:gridCol w:w="1662"/>
        <w:gridCol w:w="2633"/>
      </w:tblGrid>
      <w:tr w:rsidR="002F4DE8" w:rsidRPr="002F4DE8" w14:paraId="7BDA38E1" w14:textId="77777777" w:rsidTr="00AC5D22">
        <w:tc>
          <w:tcPr>
            <w:tcW w:w="0" w:type="auto"/>
            <w:hideMark/>
          </w:tcPr>
          <w:p w14:paraId="1BF8D452" w14:textId="77777777" w:rsidR="002F4DE8" w:rsidRPr="002F4DE8" w:rsidRDefault="002F4DE8" w:rsidP="00AC5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Category</w:t>
            </w:r>
          </w:p>
        </w:tc>
        <w:tc>
          <w:tcPr>
            <w:tcW w:w="0" w:type="auto"/>
            <w:hideMark/>
          </w:tcPr>
          <w:p w14:paraId="33F61379" w14:textId="77777777" w:rsidR="002F4DE8" w:rsidRPr="002F4DE8" w:rsidRDefault="002F4DE8" w:rsidP="00AC5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Instrument &amp; Tool Name</w:t>
            </w:r>
          </w:p>
        </w:tc>
        <w:tc>
          <w:tcPr>
            <w:tcW w:w="0" w:type="auto"/>
            <w:hideMark/>
          </w:tcPr>
          <w:p w14:paraId="0255DFF4" w14:textId="77777777" w:rsidR="002F4DE8" w:rsidRPr="002F4DE8" w:rsidRDefault="002F4DE8" w:rsidP="00AC5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Primary Data Source</w:t>
            </w:r>
          </w:p>
        </w:tc>
        <w:tc>
          <w:tcPr>
            <w:tcW w:w="0" w:type="auto"/>
            <w:hideMark/>
          </w:tcPr>
          <w:p w14:paraId="337D42B2" w14:textId="77777777" w:rsidR="002F4DE8" w:rsidRPr="002F4DE8" w:rsidRDefault="002F4DE8" w:rsidP="00AC5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Administration Frequency &amp; Target</w:t>
            </w:r>
          </w:p>
        </w:tc>
        <w:tc>
          <w:tcPr>
            <w:tcW w:w="0" w:type="auto"/>
            <w:hideMark/>
          </w:tcPr>
          <w:p w14:paraId="67748333" w14:textId="77777777" w:rsidR="002F4DE8" w:rsidRPr="002F4DE8" w:rsidRDefault="002F4DE8" w:rsidP="00AC5D2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Key Measured Variables / Constructs</w:t>
            </w:r>
          </w:p>
        </w:tc>
      </w:tr>
      <w:tr w:rsidR="002F4DE8" w:rsidRPr="002F4DE8" w14:paraId="5F0997EA" w14:textId="77777777" w:rsidTr="00AC5D22">
        <w:tc>
          <w:tcPr>
            <w:tcW w:w="0" w:type="auto"/>
            <w:hideMark/>
          </w:tcPr>
          <w:p w14:paraId="7DC50B84" w14:textId="77777777" w:rsidR="002F4DE8" w:rsidRPr="002F4DE8" w:rsidRDefault="002F4DE8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Quantitative Surveys</w:t>
            </w:r>
          </w:p>
        </w:tc>
        <w:tc>
          <w:tcPr>
            <w:tcW w:w="0" w:type="auto"/>
            <w:hideMark/>
          </w:tcPr>
          <w:p w14:paraId="0B57C9DB" w14:textId="77777777" w:rsidR="002F4DE8" w:rsidRPr="002F4DE8" w:rsidRDefault="002F4DE8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Module A:</w:t>
            </w: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Socio-Demographic &amp; Verification Tool</w:t>
            </w:r>
          </w:p>
        </w:tc>
        <w:tc>
          <w:tcPr>
            <w:tcW w:w="0" w:type="auto"/>
            <w:hideMark/>
          </w:tcPr>
          <w:p w14:paraId="41E7969F" w14:textId="77777777" w:rsidR="002F4DE8" w:rsidRPr="002F4DE8" w:rsidRDefault="002F4DE8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Mobile EDC (ODK / KoboToolbox)</w:t>
            </w:r>
          </w:p>
        </w:tc>
        <w:tc>
          <w:tcPr>
            <w:tcW w:w="0" w:type="auto"/>
            <w:hideMark/>
          </w:tcPr>
          <w:p w14:paraId="6C8A3736" w14:textId="77777777" w:rsidR="002F4DE8" w:rsidRPr="002F4DE8" w:rsidRDefault="002F4DE8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Baseline &amp; post-crossover (every 4 months)</w:t>
            </w:r>
          </w:p>
        </w:tc>
        <w:tc>
          <w:tcPr>
            <w:tcW w:w="0" w:type="auto"/>
            <w:hideMark/>
          </w:tcPr>
          <w:p w14:paraId="0D751093" w14:textId="77777777" w:rsidR="002F4DE8" w:rsidRPr="002F4DE8" w:rsidRDefault="002F4DE8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Age, sex, LGA, PHC catchment area, National Identification Number (NIN) status, socio-economic status (SES quintiles via asset PCA).</w:t>
            </w:r>
          </w:p>
        </w:tc>
      </w:tr>
      <w:tr w:rsidR="002F4DE8" w:rsidRPr="002F4DE8" w14:paraId="2C24D707" w14:textId="77777777" w:rsidTr="00AC5D22">
        <w:tc>
          <w:tcPr>
            <w:tcW w:w="0" w:type="auto"/>
            <w:hideMark/>
          </w:tcPr>
          <w:p w14:paraId="0E15D4E9" w14:textId="77777777" w:rsidR="002F4DE8" w:rsidRPr="002F4DE8" w:rsidRDefault="002F4DE8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695AD82" w14:textId="77777777" w:rsidR="002F4DE8" w:rsidRPr="002F4DE8" w:rsidRDefault="002F4DE8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Module B:</w:t>
            </w: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Patient Out-of-Pocket Expenditure Survey</w:t>
            </w:r>
          </w:p>
        </w:tc>
        <w:tc>
          <w:tcPr>
            <w:tcW w:w="0" w:type="auto"/>
            <w:hideMark/>
          </w:tcPr>
          <w:p w14:paraId="672E3D46" w14:textId="77777777" w:rsidR="002F4DE8" w:rsidRPr="002F4DE8" w:rsidRDefault="002F4DE8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Patient / Primary Caregiver Survey</w:t>
            </w:r>
          </w:p>
        </w:tc>
        <w:tc>
          <w:tcPr>
            <w:tcW w:w="0" w:type="auto"/>
            <w:hideMark/>
          </w:tcPr>
          <w:p w14:paraId="73F199BE" w14:textId="77777777" w:rsidR="002F4DE8" w:rsidRPr="002F4DE8" w:rsidRDefault="002F4DE8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4-month rolling recall window</w:t>
            </w:r>
          </w:p>
        </w:tc>
        <w:tc>
          <w:tcPr>
            <w:tcW w:w="0" w:type="auto"/>
            <w:hideMark/>
          </w:tcPr>
          <w:p w14:paraId="16A3FCC5" w14:textId="77777777" w:rsidR="002F4DE8" w:rsidRPr="002F4DE8" w:rsidRDefault="002F4DE8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Direct medical costs (consultations, drugs, lab tests, admissions), direct non-medical costs (transport, food), indirect productivity losses, distress coping strategies (loans, asset sales).</w:t>
            </w:r>
          </w:p>
        </w:tc>
      </w:tr>
      <w:tr w:rsidR="007128EC" w:rsidRPr="002F4DE8" w14:paraId="61B13B42" w14:textId="77777777" w:rsidTr="00AC5D22">
        <w:tc>
          <w:tcPr>
            <w:tcW w:w="0" w:type="auto"/>
            <w:hideMark/>
          </w:tcPr>
          <w:p w14:paraId="1C59E9A2" w14:textId="4407766F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Clinical Abstractions</w:t>
            </w:r>
          </w:p>
        </w:tc>
        <w:tc>
          <w:tcPr>
            <w:tcW w:w="0" w:type="auto"/>
            <w:hideMark/>
          </w:tcPr>
          <w:p w14:paraId="4064A745" w14:textId="4CFF59D9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Module C:</w:t>
            </w: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Longitudinal Medical Record Extraction Tool</w:t>
            </w:r>
          </w:p>
        </w:tc>
        <w:tc>
          <w:tcPr>
            <w:tcW w:w="0" w:type="auto"/>
            <w:hideMark/>
          </w:tcPr>
          <w:p w14:paraId="7071DD7A" w14:textId="198ABF58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Hospital Registers &amp; Electronic Health Records (EHR)</w:t>
            </w:r>
          </w:p>
        </w:tc>
        <w:tc>
          <w:tcPr>
            <w:tcW w:w="0" w:type="auto"/>
            <w:hideMark/>
          </w:tcPr>
          <w:p w14:paraId="5B4A823C" w14:textId="4C662FD7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Continuous extraction per 4-month step</w:t>
            </w:r>
          </w:p>
        </w:tc>
        <w:tc>
          <w:tcPr>
            <w:tcW w:w="0" w:type="auto"/>
            <w:hideMark/>
          </w:tcPr>
          <w:p w14:paraId="54732DCF" w14:textId="2954A5F7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Vaso-occlusive crises (VOC) frequency, emergency room visits, hospital admission counts, inpatient length of stay (LOS), blood transfusion units, major disease complications, mortality.</w:t>
            </w:r>
          </w:p>
        </w:tc>
      </w:tr>
      <w:tr w:rsidR="007128EC" w:rsidRPr="002F4DE8" w14:paraId="7557E7DC" w14:textId="77777777" w:rsidTr="00AC5D22">
        <w:tc>
          <w:tcPr>
            <w:tcW w:w="0" w:type="auto"/>
            <w:hideMark/>
          </w:tcPr>
          <w:p w14:paraId="673B43BE" w14:textId="2F6FCDD2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7A2B806" w14:textId="2C776448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Module </w:t>
            </w:r>
            <w:r w:rsidR="00F033D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D</w:t>
            </w: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:</w:t>
            </w: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Pharmacy Audit &amp; Refill Checklist</w:t>
            </w:r>
          </w:p>
        </w:tc>
        <w:tc>
          <w:tcPr>
            <w:tcW w:w="0" w:type="auto"/>
            <w:hideMark/>
          </w:tcPr>
          <w:p w14:paraId="687A9C83" w14:textId="5FB32812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Facility Pharmacy Logs &amp; Pill Counts</w:t>
            </w:r>
          </w:p>
        </w:tc>
        <w:tc>
          <w:tcPr>
            <w:tcW w:w="0" w:type="auto"/>
            <w:hideMark/>
          </w:tcPr>
          <w:p w14:paraId="42D341BB" w14:textId="03EBA32A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Monthly refill checks</w:t>
            </w:r>
          </w:p>
        </w:tc>
        <w:tc>
          <w:tcPr>
            <w:tcW w:w="0" w:type="auto"/>
            <w:hideMark/>
          </w:tcPr>
          <w:p w14:paraId="3D8D6B3D" w14:textId="2191E461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Medication Possession Ratio (MPR </w:t>
            </w:r>
            <m:oMath>
              <m:r>
                <w:rPr>
                  <w:rFonts w:ascii="Cambria Math" w:eastAsia="Times New Roman" w:hAnsi="Cambria Math" w:cs="Times New Roman"/>
                  <w:kern w:val="0"/>
                  <w:sz w:val="20"/>
                  <w:szCs w:val="20"/>
                  <w14:ligatures w14:val="none"/>
                </w:rPr>
                <m:t>≥</m:t>
              </m:r>
            </m:oMath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80%</w:t>
            </w: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) for Hydroxyurea, routine prophylaxis refill logs, facility-level drug stock-out duration (days out of stock).</w:t>
            </w:r>
          </w:p>
        </w:tc>
      </w:tr>
      <w:tr w:rsidR="007128EC" w:rsidRPr="002F4DE8" w14:paraId="13594B04" w14:textId="77777777" w:rsidTr="00AC5D22">
        <w:tc>
          <w:tcPr>
            <w:tcW w:w="0" w:type="auto"/>
            <w:hideMark/>
          </w:tcPr>
          <w:p w14:paraId="4866E7EB" w14:textId="1EA1A55F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Administrative &amp; Financial</w:t>
            </w:r>
          </w:p>
        </w:tc>
        <w:tc>
          <w:tcPr>
            <w:tcW w:w="0" w:type="auto"/>
            <w:hideMark/>
          </w:tcPr>
          <w:p w14:paraId="2EDC0C19" w14:textId="1F7E63F5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Module </w:t>
            </w:r>
            <w:r w:rsidR="00F033D7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E</w:t>
            </w: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:</w:t>
            </w: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KSCHMA Claims Registry Audit Tool</w:t>
            </w:r>
          </w:p>
        </w:tc>
        <w:tc>
          <w:tcPr>
            <w:tcW w:w="0" w:type="auto"/>
            <w:hideMark/>
          </w:tcPr>
          <w:p w14:paraId="4AC8D9DF" w14:textId="5C625259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Agency Financial &amp; Administrative Databases</w:t>
            </w:r>
          </w:p>
        </w:tc>
        <w:tc>
          <w:tcPr>
            <w:tcW w:w="0" w:type="auto"/>
            <w:hideMark/>
          </w:tcPr>
          <w:p w14:paraId="165B2219" w14:textId="26CC00A1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Quarterly administrative export</w:t>
            </w:r>
          </w:p>
        </w:tc>
        <w:tc>
          <w:tcPr>
            <w:tcW w:w="0" w:type="auto"/>
            <w:hideMark/>
          </w:tcPr>
          <w:p w14:paraId="4137C3A4" w14:textId="0426F8D7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Facility capitation payout velocity, secondary/tertiary fee-for-service (FFS) claims processing duration, claims rejection rates, provider reimbursement compliance.</w:t>
            </w:r>
          </w:p>
        </w:tc>
      </w:tr>
      <w:tr w:rsidR="007128EC" w:rsidRPr="002F4DE8" w14:paraId="35DD9429" w14:textId="77777777" w:rsidTr="00AC5D22">
        <w:tc>
          <w:tcPr>
            <w:tcW w:w="0" w:type="auto"/>
            <w:hideMark/>
          </w:tcPr>
          <w:p w14:paraId="639F8329" w14:textId="379C5F0E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Qualitative Diagnostics</w:t>
            </w:r>
          </w:p>
        </w:tc>
        <w:tc>
          <w:tcPr>
            <w:tcW w:w="0" w:type="auto"/>
            <w:hideMark/>
          </w:tcPr>
          <w:p w14:paraId="7977AA43" w14:textId="2611C426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Instrument I:</w:t>
            </w: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Policy Key Informant Interview Guide</w:t>
            </w:r>
          </w:p>
        </w:tc>
        <w:tc>
          <w:tcPr>
            <w:tcW w:w="0" w:type="auto"/>
            <w:hideMark/>
          </w:tcPr>
          <w:p w14:paraId="7ECBBB88" w14:textId="6C67CE6D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Policy Actors (KSCHMA Directors, MoH Leadership)</w:t>
            </w:r>
          </w:p>
        </w:tc>
        <w:tc>
          <w:tcPr>
            <w:tcW w:w="0" w:type="auto"/>
            <w:hideMark/>
          </w:tcPr>
          <w:p w14:paraId="68E63F86" w14:textId="3EA9D005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Semi-structured interviews</w:t>
            </w:r>
          </w:p>
        </w:tc>
        <w:tc>
          <w:tcPr>
            <w:tcW w:w="0" w:type="auto"/>
            <w:hideMark/>
          </w:tcPr>
          <w:p w14:paraId="641FDFE7" w14:textId="3238ABAA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CFIR Outer Setting &amp; Process:</w:t>
            </w: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Legislative equity fund stability, inter-agency administrative alignment, broad strategic policy rollouts.</w:t>
            </w:r>
          </w:p>
        </w:tc>
      </w:tr>
      <w:tr w:rsidR="007128EC" w:rsidRPr="002F4DE8" w14:paraId="3D76198D" w14:textId="77777777" w:rsidTr="00AC5D22">
        <w:tc>
          <w:tcPr>
            <w:tcW w:w="0" w:type="auto"/>
            <w:hideMark/>
          </w:tcPr>
          <w:p w14:paraId="1089AA4F" w14:textId="431E7991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0C576222" w14:textId="1012F3D6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Instrument II:</w:t>
            </w: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Care Provider Interview Guide</w:t>
            </w:r>
          </w:p>
        </w:tc>
        <w:tc>
          <w:tcPr>
            <w:tcW w:w="0" w:type="auto"/>
            <w:hideMark/>
          </w:tcPr>
          <w:p w14:paraId="0F5C6621" w14:textId="0C59C0EE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Health Personnel (Facility In-charges, Hematologists)</w:t>
            </w:r>
          </w:p>
        </w:tc>
        <w:tc>
          <w:tcPr>
            <w:tcW w:w="0" w:type="auto"/>
            <w:hideMark/>
          </w:tcPr>
          <w:p w14:paraId="66C6C72B" w14:textId="616053FC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Semi-structured interviews</w:t>
            </w:r>
          </w:p>
        </w:tc>
        <w:tc>
          <w:tcPr>
            <w:tcW w:w="0" w:type="auto"/>
            <w:hideMark/>
          </w:tcPr>
          <w:p w14:paraId="72D3ABE3" w14:textId="7FB4B020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CFIR Inner Setting &amp; Individuals:</w:t>
            </w: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Facility resource availability, clinical referral pathways between PHCs and specialist hospitals, provider knowledge/attitudes toward SCD protocols.</w:t>
            </w:r>
          </w:p>
        </w:tc>
      </w:tr>
      <w:tr w:rsidR="007128EC" w:rsidRPr="002F4DE8" w14:paraId="13D5D681" w14:textId="77777777" w:rsidTr="00AC5D22">
        <w:tc>
          <w:tcPr>
            <w:tcW w:w="0" w:type="auto"/>
            <w:hideMark/>
          </w:tcPr>
          <w:p w14:paraId="76BF1A40" w14:textId="77777777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C5EF5E6" w14:textId="0C494BBC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Instrument III:</w:t>
            </w: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Patient &amp; Caregiver FGD Guide</w:t>
            </w:r>
          </w:p>
        </w:tc>
        <w:tc>
          <w:tcPr>
            <w:tcW w:w="0" w:type="auto"/>
            <w:hideMark/>
          </w:tcPr>
          <w:p w14:paraId="30F6B30D" w14:textId="77777777" w:rsidR="007128EC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Enrolled SCD Patients &amp; Family Caregivers</w:t>
            </w:r>
          </w:p>
          <w:p w14:paraId="020C3AB8" w14:textId="3813E3F2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SCD Club members and leaders</w:t>
            </w:r>
          </w:p>
        </w:tc>
        <w:tc>
          <w:tcPr>
            <w:tcW w:w="0" w:type="auto"/>
            <w:hideMark/>
          </w:tcPr>
          <w:p w14:paraId="2A35673B" w14:textId="792D884E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Focus Group Discussions across 3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clusters</w:t>
            </w:r>
          </w:p>
        </w:tc>
        <w:tc>
          <w:tcPr>
            <w:tcW w:w="0" w:type="auto"/>
            <w:hideMark/>
          </w:tcPr>
          <w:p w14:paraId="5DC619BA" w14:textId="73F3E7D6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2F4DE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CFIR Innovation &amp; Process:</w:t>
            </w:r>
            <w:r w:rsidRPr="002F4DE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 Perceived value of AbbaCare financial protection, service satisfaction, operational barriers (e.g., NIN registration friction, distance to secondary care).</w:t>
            </w:r>
          </w:p>
        </w:tc>
      </w:tr>
      <w:tr w:rsidR="007128EC" w:rsidRPr="002F4DE8" w14:paraId="28B79155" w14:textId="77777777" w:rsidTr="008B2B45">
        <w:tc>
          <w:tcPr>
            <w:tcW w:w="0" w:type="auto"/>
          </w:tcPr>
          <w:p w14:paraId="0D92D5DA" w14:textId="77777777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5522CE82" w14:textId="062E3C06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3359218D" w14:textId="4C80D9BE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7D68ED45" w14:textId="32E313F1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</w:tcPr>
          <w:p w14:paraId="3D63621C" w14:textId="33BB48C2" w:rsidR="007128EC" w:rsidRPr="002F4DE8" w:rsidRDefault="007128EC" w:rsidP="00AC5D22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54F3675" w14:textId="77777777" w:rsidR="002F4DE8" w:rsidRPr="007140EF" w:rsidRDefault="002F4DE8" w:rsidP="007140EF"/>
    <w:p w14:paraId="6AE8F267" w14:textId="77777777" w:rsidR="002F4DE8" w:rsidRDefault="002F4DE8" w:rsidP="002F4DE8"/>
    <w:p w14:paraId="2BE484FC" w14:textId="77777777" w:rsidR="00AC72D3" w:rsidRPr="00AC72D3" w:rsidRDefault="00AC72D3" w:rsidP="00AC72D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Detailed Data Collection Tools</w:t>
      </w:r>
    </w:p>
    <w:p w14:paraId="78CE9308" w14:textId="77777777" w:rsidR="00AC72D3" w:rsidRPr="00AC72D3" w:rsidRDefault="00AC72D3" w:rsidP="00AC72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Module A: Household Socio-Demographic &amp; Health Insurance Status</w:t>
      </w:r>
    </w:p>
    <w:p w14:paraId="27EB91CB" w14:textId="77777777" w:rsidR="00AC72D3" w:rsidRPr="00AC72D3" w:rsidRDefault="00AC72D3" w:rsidP="00AC72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Target Respondent: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Enrolled and control group SCD patients or their primary caregivers.</w:t>
      </w:r>
    </w:p>
    <w:p w14:paraId="1344E434" w14:textId="77777777" w:rsidR="00AC72D3" w:rsidRPr="00AC72D3" w:rsidRDefault="00AC72D3" w:rsidP="00AC72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Administration Frequency: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Baseline (Step 0) and post-crossover follow-up (every 4 months).</w:t>
      </w:r>
    </w:p>
    <w:p w14:paraId="54F34EFE" w14:textId="77777777" w:rsidR="00AC72D3" w:rsidRPr="00AC72D3" w:rsidRDefault="00AC72D3" w:rsidP="00AC72D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Data Elements:</w:t>
      </w:r>
    </w:p>
    <w:p w14:paraId="152A57A5" w14:textId="77777777" w:rsidR="00AC72D3" w:rsidRPr="00AC72D3" w:rsidRDefault="00AC72D3" w:rsidP="00AC72D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kern w:val="0"/>
          <w14:ligatures w14:val="none"/>
        </w:rPr>
        <w:t>Individual identifier, age, sex, cluster location (Senatorial Zone, LGA, Primary Health Center catchment area).</w:t>
      </w:r>
    </w:p>
    <w:p w14:paraId="1471019A" w14:textId="77777777" w:rsidR="00AC72D3" w:rsidRPr="00AC72D3" w:rsidRDefault="00AC72D3" w:rsidP="00AC72D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kern w:val="0"/>
          <w14:ligatures w14:val="none"/>
        </w:rPr>
        <w:t>Verification of National Identification Number (NIN) status and AbbaCare enrolment ID.</w:t>
      </w:r>
    </w:p>
    <w:p w14:paraId="4E572E50" w14:textId="77777777" w:rsidR="00AC72D3" w:rsidRPr="00AC72D3" w:rsidRDefault="00AC72D3" w:rsidP="00AC72D3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kern w:val="0"/>
          <w14:ligatures w14:val="none"/>
        </w:rPr>
        <w:t>Household head occupation, educational attainment, asset ownership inventory (for Principal Component Analysis of Socio-Economic Status quintiles).</w:t>
      </w:r>
    </w:p>
    <w:p w14:paraId="019883D7" w14:textId="77777777" w:rsidR="00AC72D3" w:rsidRPr="00AC72D3" w:rsidRDefault="00AC72D3" w:rsidP="00AC72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Module B: Patient Out-of-Pocket (OOP) Healthcare Expenditure Survey</w:t>
      </w:r>
    </w:p>
    <w:p w14:paraId="53067B3D" w14:textId="77777777" w:rsidR="00AC72D3" w:rsidRPr="00AC72D3" w:rsidRDefault="00AC72D3" w:rsidP="00AC72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Target Respondent: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Patient / Primary Financial Decision-Maker.</w:t>
      </w:r>
    </w:p>
    <w:p w14:paraId="3AB2AC7A" w14:textId="77777777" w:rsidR="00AC72D3" w:rsidRPr="00AC72D3" w:rsidRDefault="00AC72D3" w:rsidP="00AC72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Recall Period: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4-month rolling recall window.</w:t>
      </w:r>
    </w:p>
    <w:p w14:paraId="738F970A" w14:textId="77777777" w:rsidR="00AC72D3" w:rsidRPr="00AC72D3" w:rsidRDefault="00AC72D3" w:rsidP="00AC72D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Data Elements:</w:t>
      </w:r>
    </w:p>
    <w:p w14:paraId="66A248DA" w14:textId="77777777" w:rsidR="00AC72D3" w:rsidRPr="00AC72D3" w:rsidRDefault="00AC72D3" w:rsidP="00AC72D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Direct Medical Costs: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Consultation fees, laboratory diagnostics (genotype, hemoglobin levels, organ function tests), inpatient admission deposits, blood transfusion fees, purchase of routine drugs (Hydroxyurea, Folic Acid, Prophylactic Antimalarial/Penicillin).</w:t>
      </w:r>
    </w:p>
    <w:p w14:paraId="7AD1B486" w14:textId="77777777" w:rsidR="00AC72D3" w:rsidRPr="00AC72D3" w:rsidRDefault="00AC72D3" w:rsidP="00AC72D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Direct Non-Medical Costs: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Transportation to tertiary/secondary centers (e.g., Murtala Muhammad Specialist Hospital, Hasiya Bayero Paediatric Hospital), accommodation, food during hospital stays.</w:t>
      </w:r>
    </w:p>
    <w:p w14:paraId="5A077702" w14:textId="77777777" w:rsidR="00AC72D3" w:rsidRPr="00AC72D3" w:rsidRDefault="00AC72D3" w:rsidP="00AC72D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Indirect Costs: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Lost working days/school days for caregivers and patients due to vaso-occlusive crisis (VOC) episodes.</w:t>
      </w:r>
    </w:p>
    <w:p w14:paraId="6B6D6B01" w14:textId="77777777" w:rsidR="00AC72D3" w:rsidRPr="00AC72D3" w:rsidRDefault="00AC72D3" w:rsidP="00AC72D3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Coping Mechanisms: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Asset sales, borrowing/loans, spending from savings, or community group support used to cover health expenses.</w:t>
      </w:r>
    </w:p>
    <w:p w14:paraId="00F107C6" w14:textId="77777777" w:rsidR="00F033D7" w:rsidRDefault="00F033D7" w:rsidP="00AC72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5FAEF90D" w14:textId="7E9DA5DD" w:rsidR="00AC72D3" w:rsidRPr="00AC72D3" w:rsidRDefault="00AC72D3" w:rsidP="00AC72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Module C: Longitudinal Clinical Outcomes &amp; Utilization Record</w:t>
      </w:r>
    </w:p>
    <w:p w14:paraId="569552F2" w14:textId="77777777" w:rsidR="00AC72D3" w:rsidRPr="00AC72D3" w:rsidRDefault="00AC72D3" w:rsidP="00AC72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Target Source: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Patient Medical Charts and Electronic Health Records (EHR) abstraction.</w:t>
      </w:r>
    </w:p>
    <w:p w14:paraId="399BE4FB" w14:textId="77777777" w:rsidR="00AC72D3" w:rsidRPr="00AC72D3" w:rsidRDefault="00AC72D3" w:rsidP="00AC72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Administration Frequency: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Extracted continuously at each 4-month trial step.</w:t>
      </w:r>
    </w:p>
    <w:p w14:paraId="2CAC4D92" w14:textId="77777777" w:rsidR="00AC72D3" w:rsidRPr="00AC72D3" w:rsidRDefault="00AC72D3" w:rsidP="00AC72D3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Data Elements:</w:t>
      </w:r>
    </w:p>
    <w:p w14:paraId="6928B274" w14:textId="77777777" w:rsidR="00AC72D3" w:rsidRPr="00AC72D3" w:rsidRDefault="00AC72D3" w:rsidP="00AC72D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kern w:val="0"/>
          <w14:ligatures w14:val="none"/>
        </w:rPr>
        <w:t>Number of acute Vaso-Occlusive Crises (VOC) requiring emergency medical attention.</w:t>
      </w:r>
    </w:p>
    <w:p w14:paraId="5952F2DE" w14:textId="77777777" w:rsidR="00AC72D3" w:rsidRPr="00AC72D3" w:rsidRDefault="00AC72D3" w:rsidP="00AC72D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kern w:val="0"/>
          <w14:ligatures w14:val="none"/>
        </w:rPr>
        <w:t>Frequency and duration of inpatient hospital admissions (Length of Stay - LOS).</w:t>
      </w:r>
    </w:p>
    <w:p w14:paraId="5E3C099C" w14:textId="77777777" w:rsidR="00AC72D3" w:rsidRPr="00AC72D3" w:rsidRDefault="00AC72D3" w:rsidP="00AC72D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kern w:val="0"/>
          <w14:ligatures w14:val="none"/>
        </w:rPr>
        <w:t>Units of packed red blood cells (PRBC) transfused.</w:t>
      </w:r>
    </w:p>
    <w:p w14:paraId="40499324" w14:textId="77777777" w:rsidR="00AC72D3" w:rsidRPr="00AC72D3" w:rsidRDefault="00AC72D3" w:rsidP="00AC72D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kern w:val="0"/>
          <w14:ligatures w14:val="none"/>
        </w:rPr>
        <w:t>Incidence of severe SCD complications (Acute Chest Syndrome, stroke, priapism, osteomyelitis, leg ulcers).</w:t>
      </w:r>
    </w:p>
    <w:p w14:paraId="619EB460" w14:textId="77777777" w:rsidR="00AC72D3" w:rsidRPr="00AC72D3" w:rsidRDefault="00AC72D3" w:rsidP="00AC72D3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kern w:val="0"/>
          <w14:ligatures w14:val="none"/>
        </w:rPr>
        <w:t>Mortality events within the cohort.</w:t>
      </w:r>
    </w:p>
    <w:p w14:paraId="207AC116" w14:textId="77777777" w:rsidR="00AC72D3" w:rsidRPr="00AC72D3" w:rsidRDefault="00AC72D3" w:rsidP="00AC72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Module D: Medication Adherence &amp; Pharmacy Audit Checklist</w:t>
      </w:r>
    </w:p>
    <w:p w14:paraId="204E2649" w14:textId="77777777" w:rsidR="00AC72D3" w:rsidRPr="00AC72D3" w:rsidRDefault="00AC72D3" w:rsidP="00AC72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Target Source: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Hospital Pharmacy Registers and Direct Patient Audit.</w:t>
      </w:r>
    </w:p>
    <w:p w14:paraId="711F8852" w14:textId="77777777" w:rsidR="00AC72D3" w:rsidRPr="00AC72D3" w:rsidRDefault="00AC72D3" w:rsidP="00AC72D3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Data Elements:</w:t>
      </w:r>
    </w:p>
    <w:p w14:paraId="61BDAEC5" w14:textId="0E4C490F" w:rsidR="00AC72D3" w:rsidRPr="00AC72D3" w:rsidRDefault="00AC72D3" w:rsidP="00AC72D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Medication Possession Ratio (MPR):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Formula calculation based on Hydroxyurea pill counts refill logs: </w:t>
      </w:r>
    </w:p>
    <w:p w14:paraId="44E69482" w14:textId="77777777" w:rsidR="00AC72D3" w:rsidRPr="00AC72D3" w:rsidRDefault="00AC72D3" w:rsidP="00AC72D3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kern w:val="0"/>
          <w14:ligatures w14:val="none"/>
        </w:rPr>
        <w:t>Facility drug stock-outs (number of days Hydroxyurea or essential pain medications were out of stock at facility pharmacies).</w:t>
      </w:r>
    </w:p>
    <w:p w14:paraId="5CDC0A01" w14:textId="77777777" w:rsidR="00AC72D3" w:rsidRPr="00AC72D3" w:rsidRDefault="00AC72D3" w:rsidP="00AC72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Module E: KSCHMA Claims &amp; Financial Administrative Extraction Tool</w:t>
      </w:r>
    </w:p>
    <w:p w14:paraId="0078ACD9" w14:textId="77777777" w:rsidR="00AC72D3" w:rsidRPr="00AC72D3" w:rsidRDefault="00AC72D3" w:rsidP="00AC72D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Target Source: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Kano State Contributory Healthcare Management Agency database.</w:t>
      </w:r>
    </w:p>
    <w:p w14:paraId="308BA433" w14:textId="77777777" w:rsidR="00AC72D3" w:rsidRPr="00AC72D3" w:rsidRDefault="00AC72D3" w:rsidP="00AC72D3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Key Data Elements:</w:t>
      </w:r>
    </w:p>
    <w:p w14:paraId="7827082D" w14:textId="77777777" w:rsidR="00AC72D3" w:rsidRPr="00AC72D3" w:rsidRDefault="00AC72D3" w:rsidP="00AC72D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kern w:val="0"/>
          <w14:ligatures w14:val="none"/>
        </w:rPr>
        <w:t>Capitation payout timelines to primary healthcare facilities.</w:t>
      </w:r>
    </w:p>
    <w:p w14:paraId="0C718EEA" w14:textId="77777777" w:rsidR="00AC72D3" w:rsidRPr="00AC72D3" w:rsidRDefault="00AC72D3" w:rsidP="00AC72D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kern w:val="0"/>
          <w14:ligatures w14:val="none"/>
        </w:rPr>
        <w:t>Fee-for-service (FFS) claims processing duration and reimbursement velocity for secondary/tertiary hospitals.</w:t>
      </w:r>
    </w:p>
    <w:p w14:paraId="7B8459BB" w14:textId="77777777" w:rsidR="00AC72D3" w:rsidRPr="00AC72D3" w:rsidRDefault="00AC72D3" w:rsidP="00AC72D3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kern w:val="0"/>
          <w14:ligatures w14:val="none"/>
        </w:rPr>
        <w:t>Claims denial rates and administrative rejection reasons related to SCD care coding.</w:t>
      </w:r>
    </w:p>
    <w:p w14:paraId="7D718180" w14:textId="77777777" w:rsidR="00AC72D3" w:rsidRPr="00AC72D3" w:rsidRDefault="00AC72D3" w:rsidP="00AC72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Instrument I: Policy Key Informant Interview (KII) Guide: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Focuses on the </w:t>
      </w:r>
      <w:r w:rsidRPr="00AC72D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Outer Setting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(equity funding flows, premarital screening legislation, state policy priorities) and </w:t>
      </w:r>
      <w:r w:rsidRPr="00AC72D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Process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(inter-agency coordination between KSCHMA, Ministry of Health, and NIMC).</w:t>
      </w:r>
    </w:p>
    <w:p w14:paraId="068217FF" w14:textId="77777777" w:rsidR="00AC72D3" w:rsidRPr="00AC72D3" w:rsidRDefault="00AC72D3" w:rsidP="00AC72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Instrument II: Healthcare Provider KII Guide: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Evaluates the </w:t>
      </w:r>
      <w:r w:rsidRPr="00AC72D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Inner Setting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(facility infrastructure, clinical referral channels between PHCs and specialist hospitals, capitation adequacy) and </w:t>
      </w:r>
      <w:r w:rsidRPr="00AC72D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Individuals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(provider knowledge of SCD management guidelines and Hydroxyurea protocols).</w:t>
      </w:r>
    </w:p>
    <w:p w14:paraId="47DF34EE" w14:textId="77777777" w:rsidR="00AC72D3" w:rsidRPr="00AC72D3" w:rsidRDefault="00AC72D3" w:rsidP="00AC72D3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AC72D3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Instrument III: Patient &amp; Caregiver Focus Group Discussion (FGD) Guide: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Explores </w:t>
      </w:r>
      <w:r w:rsidRPr="00AC72D3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Innovation</w:t>
      </w:r>
      <w:r w:rsidRPr="00AC72D3">
        <w:rPr>
          <w:rFonts w:ascii="Times New Roman" w:eastAsia="Times New Roman" w:hAnsi="Times New Roman" w:cs="Times New Roman"/>
          <w:kern w:val="0"/>
          <w14:ligatures w14:val="none"/>
        </w:rPr>
        <w:t xml:space="preserve"> perceptions (financial relief from AbbaCare, quality of care received) and operational barriers (distance to accredited secondary centers, NIN registration delays).</w:t>
      </w:r>
    </w:p>
    <w:p w14:paraId="3C32EC32" w14:textId="77777777" w:rsidR="002F4DE8" w:rsidRPr="002F4DE8" w:rsidRDefault="002F4DE8" w:rsidP="002F4DE8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66A13D11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5F4AE5FF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0B071EAF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09ECB91B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05214D5D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A0B2FF4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D14E6B2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17D7D9AC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2C7BFAC0" w14:textId="77777777" w:rsidR="002F4DE8" w:rsidRPr="007140EF" w:rsidRDefault="002F4DE8" w:rsidP="007140EF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20F968B6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08C32D28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44987371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14A92241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3F21BDA7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13D5B5A7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6676542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BEE2637" w14:textId="77777777" w:rsidR="002F4DE8" w:rsidRPr="002F4DE8" w:rsidRDefault="002F4DE8" w:rsidP="007140EF">
      <w:pPr>
        <w:pStyle w:val="ListParagraph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13CCB008" w14:textId="77777777" w:rsidR="002F4DE8" w:rsidRPr="002F4DE8" w:rsidRDefault="002F4DE8" w:rsidP="002F4DE8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p w14:paraId="782EC811" w14:textId="77777777" w:rsidR="002F4DE8" w:rsidRPr="002F4DE8" w:rsidRDefault="002F4DE8" w:rsidP="002F4DE8">
      <w:pPr>
        <w:spacing w:before="100" w:beforeAutospacing="1" w:after="100" w:afterAutospacing="1" w:line="240" w:lineRule="auto"/>
        <w:ind w:left="360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</w:p>
    <w:sectPr w:rsidR="002F4DE8" w:rsidRPr="002F4D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8B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791CB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C9507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83470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126CB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F51B5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D3"/>
    <w:rsid w:val="002F4DE8"/>
    <w:rsid w:val="00490BB9"/>
    <w:rsid w:val="007128EC"/>
    <w:rsid w:val="007140EF"/>
    <w:rsid w:val="008E558B"/>
    <w:rsid w:val="00AC72D3"/>
    <w:rsid w:val="00C075F6"/>
    <w:rsid w:val="00CD1F97"/>
    <w:rsid w:val="00CD6ED9"/>
    <w:rsid w:val="00E334D7"/>
    <w:rsid w:val="00F03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1718B"/>
  <w15:chartTrackingRefBased/>
  <w15:docId w15:val="{D6B47B08-8EAD-3747-92A5-766D35298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7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72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2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2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2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2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2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2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2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2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2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2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2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2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2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2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2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2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2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2D3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C72D3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C72D3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C72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C72D3"/>
    <w:rPr>
      <w:rFonts w:ascii="Courier New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AC72D3"/>
    <w:rPr>
      <w:rFonts w:ascii="Courier New" w:eastAsiaTheme="minorEastAsia" w:hAnsi="Courier New" w:cs="Courier New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C72D3"/>
    <w:rPr>
      <w:i/>
      <w:iCs/>
    </w:rPr>
  </w:style>
  <w:style w:type="table" w:styleId="TableGrid">
    <w:name w:val="Table Grid"/>
    <w:basedOn w:val="TableNormal"/>
    <w:uiPriority w:val="39"/>
    <w:rsid w:val="002F4D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7128E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1011</Words>
  <Characters>5768</Characters>
  <Application>Microsoft Office Word</Application>
  <DocSecurity>0</DocSecurity>
  <Lines>48</Lines>
  <Paragraphs>13</Paragraphs>
  <ScaleCrop>false</ScaleCrop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zmeena2003@gmail.com</dc:creator>
  <cp:keywords/>
  <dc:description/>
  <cp:lastModifiedBy>zmeena2003@gmail.com</cp:lastModifiedBy>
  <cp:revision>7</cp:revision>
  <dcterms:created xsi:type="dcterms:W3CDTF">2026-08-29T05:29:00Z</dcterms:created>
  <dcterms:modified xsi:type="dcterms:W3CDTF">2026-09-28T10:58:00Z</dcterms:modified>
</cp:coreProperties>
</file>