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AB9C6" w14:textId="77777777" w:rsidR="00641D2C" w:rsidRPr="001419AC" w:rsidRDefault="00641D2C" w:rsidP="00641D2C">
      <w:pPr>
        <w:pStyle w:val="Heading2"/>
      </w:pPr>
      <w:r w:rsidRPr="001419AC">
        <w:t>Supplementary figures</w:t>
      </w:r>
    </w:p>
    <w:p w14:paraId="6155983A" w14:textId="77777777" w:rsidR="00641D2C" w:rsidRPr="001419AC" w:rsidRDefault="00641D2C" w:rsidP="00641D2C">
      <w:r w:rsidRPr="001419AC">
        <w:rPr>
          <w:noProof/>
        </w:rPr>
        <w:drawing>
          <wp:inline distT="0" distB="0" distL="0" distR="0" wp14:anchorId="76145AF9" wp14:editId="05F2E84A">
            <wp:extent cx="5731510" cy="4776470"/>
            <wp:effectExtent l="0" t="0" r="2540" b="5080"/>
            <wp:docPr id="15434863" name="Picture 15" descr="A collage of graphs  AI-generated content may be incorrect.">
              <a:extLst xmlns:a="http://schemas.openxmlformats.org/drawingml/2006/main">
                <a:ext uri="{FF2B5EF4-FFF2-40B4-BE49-F238E27FC236}">
                  <a16:creationId xmlns:a16="http://schemas.microsoft.com/office/drawing/2014/main" id="{2EBD7AA5-431F-4029-8883-BD5EDDE92D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863" name="Picture 15" descr="A collage of graphs  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4776470"/>
                    </a:xfrm>
                    <a:prstGeom prst="rect">
                      <a:avLst/>
                    </a:prstGeom>
                    <a:noFill/>
                    <a:ln>
                      <a:noFill/>
                    </a:ln>
                  </pic:spPr>
                </pic:pic>
              </a:graphicData>
            </a:graphic>
          </wp:inline>
        </w:drawing>
      </w:r>
    </w:p>
    <w:p w14:paraId="2BBDC4DC" w14:textId="77777777" w:rsidR="00641D2C" w:rsidRPr="001419AC" w:rsidRDefault="00641D2C" w:rsidP="00641D2C">
      <w:pPr>
        <w:pStyle w:val="NoSpacing"/>
        <w:rPr>
          <w:b/>
          <w:bCs/>
          <w:lang w:val="en-GB"/>
        </w:rPr>
      </w:pPr>
      <w:r w:rsidRPr="001419AC">
        <w:rPr>
          <w:b/>
          <w:bCs/>
          <w:lang w:val="en-GB"/>
        </w:rPr>
        <w:t>Figure S1.  </w:t>
      </w:r>
      <w:r>
        <w:rPr>
          <w:b/>
          <w:bCs/>
          <w:lang w:val="en-GB"/>
        </w:rPr>
        <w:t>F</w:t>
      </w:r>
      <w:r w:rsidRPr="001419AC">
        <w:rPr>
          <w:b/>
          <w:bCs/>
          <w:lang w:val="en-GB"/>
        </w:rPr>
        <w:t xml:space="preserve">amily relative abundance as a function of age (days post hatch) in the ileum. </w:t>
      </w:r>
      <w:r w:rsidRPr="001419AC">
        <w:rPr>
          <w:lang w:val="en-GB"/>
        </w:rPr>
        <w:t xml:space="preserve">For each family, both a </w:t>
      </w:r>
      <w:r w:rsidRPr="0034334E">
        <w:rPr>
          <w:lang w:val="en-GB"/>
        </w:rPr>
        <w:t>generali</w:t>
      </w:r>
      <w:r>
        <w:rPr>
          <w:lang w:val="en-GB"/>
        </w:rPr>
        <w:t>s</w:t>
      </w:r>
      <w:r w:rsidRPr="0034334E">
        <w:rPr>
          <w:lang w:val="en-GB"/>
        </w:rPr>
        <w:t>ed</w:t>
      </w:r>
      <w:r w:rsidRPr="001419AC">
        <w:rPr>
          <w:lang w:val="en-GB"/>
        </w:rPr>
        <w:t xml:space="preserve"> additive model (GAM) and a linear model (LM) was fitted, after which the best model was selected by comparing the model AICs. GAMs were considered superior when their AIC was at least two units lower than that of the corresponding LM. For GAMs, each plot displays the fitted smooth term for age (solid line) with 95% confidence intervals (shaded area). For LMs, each plot displays the fitted estimate for age (solid line) with 95% confidence intervals (shaded area). The log2 transformed relative abundance values (%) are shown as dots. Read depth was included in the model as a covariate but is not </w:t>
      </w:r>
      <w:r w:rsidRPr="0034334E">
        <w:rPr>
          <w:lang w:val="en-GB"/>
        </w:rPr>
        <w:t>visuali</w:t>
      </w:r>
      <w:r>
        <w:rPr>
          <w:lang w:val="en-GB"/>
        </w:rPr>
        <w:t>s</w:t>
      </w:r>
      <w:r w:rsidRPr="0034334E">
        <w:rPr>
          <w:lang w:val="en-GB"/>
        </w:rPr>
        <w:t>ed.</w:t>
      </w:r>
    </w:p>
    <w:p w14:paraId="2A35F2F5" w14:textId="77777777" w:rsidR="00641D2C" w:rsidRPr="001419AC" w:rsidRDefault="00641D2C" w:rsidP="00641D2C">
      <w:r w:rsidRPr="001419AC">
        <w:rPr>
          <w:noProof/>
        </w:rPr>
        <w:lastRenderedPageBreak/>
        <w:drawing>
          <wp:inline distT="0" distB="0" distL="0" distR="0" wp14:anchorId="52C60CAA" wp14:editId="12E0AEED">
            <wp:extent cx="5731510" cy="4776470"/>
            <wp:effectExtent l="0" t="0" r="2540" b="5080"/>
            <wp:docPr id="30647705" name="Picture 17" descr="A collage of graphs  AI-generated content may be incorrect.">
              <a:extLst xmlns:a="http://schemas.openxmlformats.org/drawingml/2006/main">
                <a:ext uri="{FF2B5EF4-FFF2-40B4-BE49-F238E27FC236}">
                  <a16:creationId xmlns:a16="http://schemas.microsoft.com/office/drawing/2014/main" id="{3CF3966F-B5A7-499A-8A6E-7E5E466ACF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47705" name="Picture 17" descr="A collage of graphs  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4776470"/>
                    </a:xfrm>
                    <a:prstGeom prst="rect">
                      <a:avLst/>
                    </a:prstGeom>
                    <a:noFill/>
                    <a:ln>
                      <a:noFill/>
                    </a:ln>
                  </pic:spPr>
                </pic:pic>
              </a:graphicData>
            </a:graphic>
          </wp:inline>
        </w:drawing>
      </w:r>
    </w:p>
    <w:p w14:paraId="72B65BF8" w14:textId="77777777" w:rsidR="00641D2C" w:rsidRPr="001419AC" w:rsidRDefault="00641D2C" w:rsidP="00641D2C">
      <w:pPr>
        <w:pStyle w:val="NoSpacing"/>
        <w:rPr>
          <w:lang w:val="en-GB"/>
        </w:rPr>
      </w:pPr>
      <w:r w:rsidRPr="001419AC">
        <w:rPr>
          <w:b/>
          <w:bCs/>
          <w:lang w:val="en-GB"/>
        </w:rPr>
        <w:t>Figure S2.  </w:t>
      </w:r>
      <w:r>
        <w:rPr>
          <w:b/>
          <w:bCs/>
          <w:lang w:val="en-GB"/>
        </w:rPr>
        <w:t>F</w:t>
      </w:r>
      <w:r w:rsidRPr="001419AC">
        <w:rPr>
          <w:b/>
          <w:bCs/>
          <w:lang w:val="en-GB"/>
        </w:rPr>
        <w:t>amily relative abundance as a function of age (days post hatch) in the caecum.</w:t>
      </w:r>
      <w:r w:rsidRPr="001419AC">
        <w:rPr>
          <w:lang w:val="en-GB"/>
        </w:rPr>
        <w:t xml:space="preserve"> Each plot displays the fitted smooth term for age (solid line) with 95% confidence intervals (shaded area). The log2 transformed relative abundance values (%) are shown as dots. Read depth was included in the model as a covariate but is not </w:t>
      </w:r>
      <w:r w:rsidRPr="0034334E">
        <w:rPr>
          <w:lang w:val="en-GB"/>
        </w:rPr>
        <w:t>visuali</w:t>
      </w:r>
      <w:r>
        <w:rPr>
          <w:lang w:val="en-GB"/>
        </w:rPr>
        <w:t>s</w:t>
      </w:r>
      <w:r w:rsidRPr="0034334E">
        <w:rPr>
          <w:lang w:val="en-GB"/>
        </w:rPr>
        <w:t>ed.</w:t>
      </w:r>
      <w:r w:rsidRPr="001419AC">
        <w:rPr>
          <w:lang w:val="en-GB"/>
        </w:rPr>
        <w:br w:type="page"/>
      </w:r>
    </w:p>
    <w:p w14:paraId="58F3376C" w14:textId="77777777" w:rsidR="00641D2C" w:rsidRPr="001419AC" w:rsidRDefault="00641D2C" w:rsidP="00641D2C">
      <w:pPr>
        <w:rPr>
          <w:b/>
        </w:rPr>
      </w:pPr>
      <w:r w:rsidRPr="001419AC">
        <w:rPr>
          <w:b/>
          <w:noProof/>
        </w:rPr>
        <w:lastRenderedPageBreak/>
        <w:drawing>
          <wp:inline distT="0" distB="0" distL="0" distR="0" wp14:anchorId="50A3736B" wp14:editId="298FA7FD">
            <wp:extent cx="5731510" cy="3820795"/>
            <wp:effectExtent l="0" t="0" r="2540" b="8255"/>
            <wp:docPr id="392251426" name="Picture 8">
              <a:extLst xmlns:a="http://schemas.openxmlformats.org/drawingml/2006/main">
                <a:ext uri="{FF2B5EF4-FFF2-40B4-BE49-F238E27FC236}">
                  <a16:creationId xmlns:a16="http://schemas.microsoft.com/office/drawing/2014/main" id="{E455FEF9-EA2D-4E92-88EE-3372090A5C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05A20DAB" w14:textId="77777777" w:rsidR="00641D2C" w:rsidRPr="001419AC" w:rsidRDefault="00641D2C" w:rsidP="00641D2C">
      <w:pPr>
        <w:pStyle w:val="NoSpacing"/>
        <w:rPr>
          <w:lang w:val="en-GB"/>
        </w:rPr>
      </w:pPr>
      <w:r w:rsidRPr="001419AC">
        <w:rPr>
          <w:b/>
          <w:bCs/>
          <w:lang w:val="en-GB"/>
        </w:rPr>
        <w:t xml:space="preserve">Figure S3. </w:t>
      </w:r>
      <w:r w:rsidRPr="0034334E">
        <w:rPr>
          <w:b/>
          <w:bCs/>
          <w:lang w:val="en-GB"/>
        </w:rPr>
        <w:t>Coloni</w:t>
      </w:r>
      <w:r>
        <w:rPr>
          <w:b/>
          <w:bCs/>
          <w:lang w:val="en-GB"/>
        </w:rPr>
        <w:t>s</w:t>
      </w:r>
      <w:r w:rsidRPr="0034334E">
        <w:rPr>
          <w:b/>
          <w:bCs/>
          <w:lang w:val="en-GB"/>
        </w:rPr>
        <w:t>ation</w:t>
      </w:r>
      <w:r w:rsidRPr="001419AC">
        <w:rPr>
          <w:b/>
          <w:bCs/>
          <w:lang w:val="en-GB"/>
        </w:rPr>
        <w:t xml:space="preserve"> patterns of ASVs belonging to the genus </w:t>
      </w:r>
      <w:r w:rsidRPr="001419AC">
        <w:rPr>
          <w:b/>
          <w:bCs/>
          <w:i/>
          <w:iCs/>
          <w:lang w:val="en-GB"/>
        </w:rPr>
        <w:t>Enterococcus</w:t>
      </w:r>
      <w:r w:rsidRPr="001419AC">
        <w:rPr>
          <w:b/>
          <w:bCs/>
          <w:lang w:val="en-GB"/>
        </w:rPr>
        <w:t xml:space="preserve">. </w:t>
      </w:r>
      <w:r w:rsidRPr="001419AC">
        <w:rPr>
          <w:lang w:val="en-GB"/>
        </w:rPr>
        <w:t xml:space="preserve">The mean relative abundance of the ASVs belonging to the genus </w:t>
      </w:r>
      <w:r w:rsidRPr="001419AC">
        <w:rPr>
          <w:i/>
          <w:iCs/>
          <w:lang w:val="en-GB"/>
        </w:rPr>
        <w:t xml:space="preserve">Enterococcus </w:t>
      </w:r>
      <w:r w:rsidRPr="001419AC">
        <w:rPr>
          <w:lang w:val="en-GB"/>
        </w:rPr>
        <w:t xml:space="preserve">in the ileal (top row) or caecal (bottom row) </w:t>
      </w:r>
      <w:r>
        <w:rPr>
          <w:lang w:val="en-GB"/>
        </w:rPr>
        <w:t>microbiota</w:t>
      </w:r>
      <w:r w:rsidRPr="001419AC">
        <w:rPr>
          <w:lang w:val="en-GB"/>
        </w:rPr>
        <w:t xml:space="preserve"> are </w:t>
      </w:r>
      <w:r w:rsidRPr="0034334E">
        <w:rPr>
          <w:lang w:val="en-GB"/>
        </w:rPr>
        <w:t>show</w:t>
      </w:r>
      <w:r>
        <w:rPr>
          <w:lang w:val="en-GB"/>
        </w:rPr>
        <w:t>n</w:t>
      </w:r>
      <w:r w:rsidRPr="0034334E">
        <w:rPr>
          <w:lang w:val="en-GB"/>
        </w:rPr>
        <w:t>.</w:t>
      </w:r>
      <w:r w:rsidRPr="001419AC">
        <w:rPr>
          <w:lang w:val="en-GB"/>
        </w:rPr>
        <w:t xml:space="preserve"> The ASVs are ordered based on the total abundance in the ileum or caecal microbiota. Curves show LOESS fit for the data per category, and shaded areas show 95% confidence intervals for the fit. To support visual interpretation of the data, all graphs are plotted on a linear y-scale (left) and a log-transformed y-scale (right).</w:t>
      </w:r>
    </w:p>
    <w:p w14:paraId="34F30E05" w14:textId="77777777" w:rsidR="00641D2C" w:rsidRPr="001419AC" w:rsidRDefault="00641D2C" w:rsidP="00641D2C">
      <w:pPr>
        <w:spacing w:line="278" w:lineRule="auto"/>
        <w:jc w:val="left"/>
      </w:pPr>
      <w:r w:rsidRPr="001419AC">
        <w:br w:type="page"/>
      </w:r>
    </w:p>
    <w:p w14:paraId="6B6DB8CB" w14:textId="77777777" w:rsidR="00641D2C" w:rsidRPr="001419AC" w:rsidRDefault="00641D2C" w:rsidP="00641D2C">
      <w:pPr>
        <w:pStyle w:val="NoSpacing"/>
        <w:rPr>
          <w:lang w:val="en-GB"/>
        </w:rPr>
      </w:pPr>
    </w:p>
    <w:p w14:paraId="6B5741EC" w14:textId="77777777" w:rsidR="00641D2C" w:rsidRPr="001419AC" w:rsidRDefault="00641D2C" w:rsidP="00641D2C">
      <w:pPr>
        <w:rPr>
          <w:b/>
        </w:rPr>
      </w:pPr>
      <w:r w:rsidRPr="001419AC">
        <w:rPr>
          <w:b/>
          <w:noProof/>
        </w:rPr>
        <w:drawing>
          <wp:inline distT="0" distB="0" distL="0" distR="0" wp14:anchorId="072C5FC4" wp14:editId="4C62A749">
            <wp:extent cx="5731510" cy="3820795"/>
            <wp:effectExtent l="0" t="0" r="2540" b="8255"/>
            <wp:docPr id="1920520289" name="Picture 6">
              <a:extLst xmlns:a="http://schemas.openxmlformats.org/drawingml/2006/main">
                <a:ext uri="{FF2B5EF4-FFF2-40B4-BE49-F238E27FC236}">
                  <a16:creationId xmlns:a16="http://schemas.microsoft.com/office/drawing/2014/main" id="{298319FC-41A8-4F4D-90E0-7FAE4848AC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0D88F672" w14:textId="77777777" w:rsidR="00641D2C" w:rsidRPr="001419AC" w:rsidRDefault="00641D2C" w:rsidP="00641D2C">
      <w:pPr>
        <w:pStyle w:val="NoSpacing"/>
        <w:rPr>
          <w:lang w:val="en-GB"/>
        </w:rPr>
      </w:pPr>
      <w:r w:rsidRPr="001419AC">
        <w:rPr>
          <w:b/>
          <w:bCs/>
          <w:lang w:val="en-GB"/>
        </w:rPr>
        <w:t xml:space="preserve">Figure S4. </w:t>
      </w:r>
      <w:r w:rsidRPr="0034334E">
        <w:rPr>
          <w:b/>
          <w:bCs/>
          <w:lang w:val="en-GB"/>
        </w:rPr>
        <w:t>Coloni</w:t>
      </w:r>
      <w:r>
        <w:rPr>
          <w:b/>
          <w:bCs/>
          <w:lang w:val="en-GB"/>
        </w:rPr>
        <w:t>s</w:t>
      </w:r>
      <w:r w:rsidRPr="0034334E">
        <w:rPr>
          <w:b/>
          <w:bCs/>
          <w:lang w:val="en-GB"/>
        </w:rPr>
        <w:t>ation</w:t>
      </w:r>
      <w:r w:rsidRPr="001419AC">
        <w:rPr>
          <w:b/>
          <w:bCs/>
          <w:lang w:val="en-GB"/>
        </w:rPr>
        <w:t xml:space="preserve"> patterns of ASVs belonging to the genus </w:t>
      </w:r>
      <w:r w:rsidRPr="001419AC">
        <w:rPr>
          <w:b/>
          <w:bCs/>
          <w:i/>
          <w:iCs/>
          <w:lang w:val="en-GB"/>
        </w:rPr>
        <w:t>Escherichia-Shigella</w:t>
      </w:r>
      <w:r w:rsidRPr="001419AC">
        <w:rPr>
          <w:b/>
          <w:bCs/>
          <w:lang w:val="en-GB"/>
        </w:rPr>
        <w:t xml:space="preserve">. </w:t>
      </w:r>
      <w:r w:rsidRPr="001419AC">
        <w:rPr>
          <w:lang w:val="en-GB"/>
        </w:rPr>
        <w:t xml:space="preserve">The mean relative abundance of the ASVs belonging to the genus </w:t>
      </w:r>
      <w:r w:rsidRPr="001419AC">
        <w:rPr>
          <w:i/>
          <w:iCs/>
          <w:lang w:val="en-GB"/>
        </w:rPr>
        <w:t xml:space="preserve">Escherichia-Shigella </w:t>
      </w:r>
      <w:r w:rsidRPr="001419AC">
        <w:rPr>
          <w:lang w:val="en-GB"/>
        </w:rPr>
        <w:t xml:space="preserve">in the ileal (top row) or caecal (bottom row) </w:t>
      </w:r>
      <w:r>
        <w:rPr>
          <w:lang w:val="en-GB"/>
        </w:rPr>
        <w:t>microbiota</w:t>
      </w:r>
      <w:r w:rsidRPr="001419AC">
        <w:rPr>
          <w:lang w:val="en-GB"/>
        </w:rPr>
        <w:t xml:space="preserve"> are </w:t>
      </w:r>
      <w:r w:rsidRPr="0034334E">
        <w:rPr>
          <w:lang w:val="en-GB"/>
        </w:rPr>
        <w:t>show</w:t>
      </w:r>
      <w:r>
        <w:rPr>
          <w:lang w:val="en-GB"/>
        </w:rPr>
        <w:t>n</w:t>
      </w:r>
      <w:r w:rsidRPr="0034334E">
        <w:rPr>
          <w:lang w:val="en-GB"/>
        </w:rPr>
        <w:t>.</w:t>
      </w:r>
      <w:r w:rsidRPr="001419AC">
        <w:rPr>
          <w:lang w:val="en-GB"/>
        </w:rPr>
        <w:t xml:space="preserve"> The ASVs are ordered based on the total abundance in the ileum or caecal microbiota. Curves show LOESS fit for the data per category, and shaded areas show 95% confidence intervals for the fit. To support visual interpretation of the data, all graphs are plotted on a linear y-scale (left) and a log-transformed y-scale (right).</w:t>
      </w:r>
    </w:p>
    <w:p w14:paraId="5A6322B1" w14:textId="77777777" w:rsidR="00641D2C" w:rsidRPr="001419AC" w:rsidRDefault="00641D2C" w:rsidP="00641D2C">
      <w:pPr>
        <w:pStyle w:val="NoSpacing"/>
        <w:rPr>
          <w:lang w:val="en-GB"/>
        </w:rPr>
      </w:pPr>
      <w:r w:rsidRPr="001419AC">
        <w:rPr>
          <w:lang w:val="en-GB"/>
        </w:rPr>
        <w:br w:type="page"/>
      </w:r>
    </w:p>
    <w:p w14:paraId="2836D1BE" w14:textId="77777777" w:rsidR="00641D2C" w:rsidRPr="001419AC" w:rsidRDefault="00641D2C" w:rsidP="00641D2C">
      <w:pPr>
        <w:rPr>
          <w:b/>
        </w:rPr>
      </w:pPr>
      <w:r w:rsidRPr="001419AC">
        <w:rPr>
          <w:b/>
          <w:noProof/>
        </w:rPr>
        <w:lastRenderedPageBreak/>
        <w:drawing>
          <wp:inline distT="0" distB="0" distL="0" distR="0" wp14:anchorId="7FB8877D" wp14:editId="6532BCCB">
            <wp:extent cx="5731510" cy="3820795"/>
            <wp:effectExtent l="0" t="0" r="2540" b="8255"/>
            <wp:docPr id="1877442305" name="Picture 10">
              <a:extLst xmlns:a="http://schemas.openxmlformats.org/drawingml/2006/main">
                <a:ext uri="{FF2B5EF4-FFF2-40B4-BE49-F238E27FC236}">
                  <a16:creationId xmlns:a16="http://schemas.microsoft.com/office/drawing/2014/main" id="{920BE725-C5DD-4829-BDBA-F89B05F8EE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5A194003" w14:textId="77777777" w:rsidR="00641D2C" w:rsidRPr="001419AC" w:rsidRDefault="00641D2C" w:rsidP="00641D2C">
      <w:pPr>
        <w:pStyle w:val="NoSpacing"/>
        <w:rPr>
          <w:lang w:val="en-GB"/>
        </w:rPr>
      </w:pPr>
      <w:r w:rsidRPr="001419AC">
        <w:rPr>
          <w:b/>
          <w:bCs/>
          <w:lang w:val="en-GB"/>
        </w:rPr>
        <w:t xml:space="preserve">Figure S5. </w:t>
      </w:r>
      <w:r w:rsidRPr="0034334E">
        <w:rPr>
          <w:b/>
          <w:bCs/>
          <w:lang w:val="en-GB"/>
        </w:rPr>
        <w:t>Coloni</w:t>
      </w:r>
      <w:r>
        <w:rPr>
          <w:b/>
          <w:bCs/>
          <w:lang w:val="en-GB"/>
        </w:rPr>
        <w:t>s</w:t>
      </w:r>
      <w:r w:rsidRPr="0034334E">
        <w:rPr>
          <w:b/>
          <w:bCs/>
          <w:lang w:val="en-GB"/>
        </w:rPr>
        <w:t>ation</w:t>
      </w:r>
      <w:r w:rsidRPr="001419AC">
        <w:rPr>
          <w:b/>
          <w:bCs/>
          <w:lang w:val="en-GB"/>
        </w:rPr>
        <w:t xml:space="preserve"> patterns of ASVs belonging to the genus </w:t>
      </w:r>
      <w:r w:rsidRPr="001419AC">
        <w:rPr>
          <w:b/>
          <w:bCs/>
          <w:i/>
          <w:iCs/>
          <w:lang w:val="en-GB"/>
        </w:rPr>
        <w:t>Clostridium</w:t>
      </w:r>
      <w:r w:rsidRPr="001419AC">
        <w:rPr>
          <w:b/>
          <w:bCs/>
          <w:lang w:val="en-GB"/>
        </w:rPr>
        <w:t xml:space="preserve">. </w:t>
      </w:r>
      <w:r w:rsidRPr="001419AC">
        <w:rPr>
          <w:lang w:val="en-GB"/>
        </w:rPr>
        <w:t xml:space="preserve">The mean relative abundance of the ASVs belonging to the genus </w:t>
      </w:r>
      <w:r w:rsidRPr="001419AC">
        <w:rPr>
          <w:i/>
          <w:iCs/>
          <w:lang w:val="en-GB"/>
        </w:rPr>
        <w:t xml:space="preserve">Clostridium </w:t>
      </w:r>
      <w:r w:rsidRPr="001419AC">
        <w:rPr>
          <w:lang w:val="en-GB"/>
        </w:rPr>
        <w:t xml:space="preserve">in the ileal (top row) or caecal (bottom row) </w:t>
      </w:r>
      <w:r>
        <w:rPr>
          <w:lang w:val="en-GB"/>
        </w:rPr>
        <w:t>microbiota</w:t>
      </w:r>
      <w:r w:rsidRPr="001419AC">
        <w:rPr>
          <w:lang w:val="en-GB"/>
        </w:rPr>
        <w:t xml:space="preserve"> are </w:t>
      </w:r>
      <w:r w:rsidRPr="0034334E">
        <w:rPr>
          <w:lang w:val="en-GB"/>
        </w:rPr>
        <w:t>show</w:t>
      </w:r>
      <w:r>
        <w:rPr>
          <w:lang w:val="en-GB"/>
        </w:rPr>
        <w:t>n</w:t>
      </w:r>
      <w:r w:rsidRPr="0034334E">
        <w:rPr>
          <w:lang w:val="en-GB"/>
        </w:rPr>
        <w:t>.</w:t>
      </w:r>
      <w:r w:rsidRPr="001419AC">
        <w:rPr>
          <w:lang w:val="en-GB"/>
        </w:rPr>
        <w:t xml:space="preserve"> The ASVs are ordered based on the total abundance in the ileum or caecal microbiota. Curves show LOESS fit for the data per category, and shaded areas show 95% confidence intervals for the fit. To support visual interpretation of the data, all graphs are plotted on a linear y-scale (left) and a log-transformed y-scale (right).</w:t>
      </w:r>
    </w:p>
    <w:p w14:paraId="15B992B4" w14:textId="77777777" w:rsidR="00641D2C" w:rsidRPr="001419AC" w:rsidRDefault="00641D2C" w:rsidP="00641D2C">
      <w:pPr>
        <w:spacing w:line="278" w:lineRule="auto"/>
        <w:jc w:val="left"/>
      </w:pPr>
      <w:r w:rsidRPr="001419AC">
        <w:br w:type="page"/>
      </w:r>
    </w:p>
    <w:p w14:paraId="0B3DAE2E" w14:textId="77777777" w:rsidR="00641D2C" w:rsidRPr="001419AC" w:rsidRDefault="00641D2C" w:rsidP="00641D2C">
      <w:pPr>
        <w:spacing w:line="278" w:lineRule="auto"/>
        <w:jc w:val="left"/>
      </w:pPr>
      <w:r w:rsidRPr="001419AC">
        <w:rPr>
          <w:noProof/>
        </w:rPr>
        <w:lastRenderedPageBreak/>
        <w:drawing>
          <wp:inline distT="0" distB="0" distL="0" distR="0" wp14:anchorId="6681B7A6" wp14:editId="196F3778">
            <wp:extent cx="5731510" cy="2149475"/>
            <wp:effectExtent l="0" t="0" r="2540" b="3175"/>
            <wp:docPr id="2008173771" name="Picture 16" descr="The diagram illustrates a scatter plot comparing the number of Dirichlet components (1-10) with their corresponding Laplace approximation criterion values, ranging from 1 to 2.5.  AI-generated content may be incorrect.">
              <a:extLst xmlns:a="http://schemas.openxmlformats.org/drawingml/2006/main">
                <a:ext uri="{FF2B5EF4-FFF2-40B4-BE49-F238E27FC236}">
                  <a16:creationId xmlns:a16="http://schemas.microsoft.com/office/drawing/2014/main" id="{EE886145-7FF3-4E0A-BE12-9E975B5BE1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173771" name="Picture 16" descr="The diagram illustrates a scatter plot comparing the number of Dirichlet components (1-10) with their corresponding Laplace approximation criterion values, ranging from 1 to 2.5.  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2149475"/>
                    </a:xfrm>
                    <a:prstGeom prst="rect">
                      <a:avLst/>
                    </a:prstGeom>
                    <a:noFill/>
                    <a:ln>
                      <a:noFill/>
                    </a:ln>
                  </pic:spPr>
                </pic:pic>
              </a:graphicData>
            </a:graphic>
          </wp:inline>
        </w:drawing>
      </w:r>
    </w:p>
    <w:p w14:paraId="584FC352" w14:textId="77777777" w:rsidR="00641D2C" w:rsidRPr="001419AC" w:rsidRDefault="00641D2C" w:rsidP="00641D2C">
      <w:pPr>
        <w:spacing w:line="278" w:lineRule="auto"/>
        <w:rPr>
          <w:b/>
          <w:bCs/>
        </w:rPr>
      </w:pPr>
      <w:r w:rsidRPr="001419AC">
        <w:rPr>
          <w:b/>
          <w:bCs/>
        </w:rPr>
        <w:t xml:space="preserve">Figure S6. Selection of the number of Dirichlet multinomial mixture (DMM) components for ileal and caecal </w:t>
      </w:r>
      <w:r>
        <w:rPr>
          <w:b/>
          <w:bCs/>
        </w:rPr>
        <w:t>microbiota</w:t>
      </w:r>
      <w:r w:rsidRPr="001419AC">
        <w:rPr>
          <w:b/>
          <w:bCs/>
        </w:rPr>
        <w:t xml:space="preserve">. </w:t>
      </w:r>
      <w:r w:rsidRPr="001419AC">
        <w:t xml:space="preserve">The Laplace approximation criterion is shown for models containing increasing numbers of Dirichlet components. The </w:t>
      </w:r>
      <w:r w:rsidRPr="0034334E">
        <w:t>model</w:t>
      </w:r>
      <w:r>
        <w:t>s</w:t>
      </w:r>
      <w:r w:rsidRPr="001419AC">
        <w:t xml:space="preserve"> with lowest criterion values were selected as the optimal model, resulting in two components in the ileum (A) and four components in the caecum (B).</w:t>
      </w:r>
      <w:r w:rsidRPr="001419AC">
        <w:rPr>
          <w:b/>
          <w:bCs/>
        </w:rPr>
        <w:br w:type="page"/>
      </w:r>
    </w:p>
    <w:p w14:paraId="07050BDE" w14:textId="77777777" w:rsidR="00641D2C" w:rsidRPr="001419AC" w:rsidRDefault="00641D2C" w:rsidP="00641D2C">
      <w:pPr>
        <w:pStyle w:val="NoSpacing"/>
        <w:rPr>
          <w:lang w:val="en-GB"/>
        </w:rPr>
      </w:pPr>
      <w:r w:rsidRPr="001419AC">
        <w:rPr>
          <w:noProof/>
          <w:lang w:val="en-GB"/>
        </w:rPr>
        <w:lastRenderedPageBreak/>
        <w:drawing>
          <wp:inline distT="0" distB="0" distL="0" distR="0" wp14:anchorId="5AAFBA1A" wp14:editId="22836A8A">
            <wp:extent cx="5731510" cy="7164705"/>
            <wp:effectExtent l="0" t="0" r="2540" b="0"/>
            <wp:docPr id="203246175" name="Picture 13" descr="A graph of different sizes and shapes  AI-generated content may be incorrect.">
              <a:extLst xmlns:a="http://schemas.openxmlformats.org/drawingml/2006/main">
                <a:ext uri="{FF2B5EF4-FFF2-40B4-BE49-F238E27FC236}">
                  <a16:creationId xmlns:a16="http://schemas.microsoft.com/office/drawing/2014/main" id="{28B4B00E-357E-4584-868B-94C276B9CB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46175" name="Picture 13" descr="A graph of different sizes and shapes  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7164705"/>
                    </a:xfrm>
                    <a:prstGeom prst="rect">
                      <a:avLst/>
                    </a:prstGeom>
                    <a:noFill/>
                    <a:ln>
                      <a:noFill/>
                    </a:ln>
                  </pic:spPr>
                </pic:pic>
              </a:graphicData>
            </a:graphic>
          </wp:inline>
        </w:drawing>
      </w:r>
    </w:p>
    <w:p w14:paraId="67A4E66A" w14:textId="77777777" w:rsidR="00641D2C" w:rsidRPr="001419AC" w:rsidRDefault="00641D2C" w:rsidP="00641D2C">
      <w:pPr>
        <w:pStyle w:val="NoSpacing"/>
        <w:rPr>
          <w:lang w:val="en-GB"/>
        </w:rPr>
      </w:pPr>
      <w:r w:rsidRPr="001419AC">
        <w:rPr>
          <w:b/>
          <w:bCs/>
          <w:lang w:val="en-GB"/>
        </w:rPr>
        <w:t>Figure S7. Contribution of the taxonomic groups to the DMM determined maturation stages.</w:t>
      </w:r>
      <w:r w:rsidRPr="001419AC">
        <w:rPr>
          <w:lang w:val="en-GB"/>
        </w:rPr>
        <w:t xml:space="preserve"> The top microbial drivers for each DMM cluster in the caecum (</w:t>
      </w:r>
      <w:r w:rsidRPr="001419AC">
        <w:rPr>
          <w:b/>
          <w:bCs/>
          <w:lang w:val="en-GB"/>
        </w:rPr>
        <w:t>A</w:t>
      </w:r>
      <w:r w:rsidRPr="001419AC">
        <w:rPr>
          <w:lang w:val="en-GB"/>
        </w:rPr>
        <w:t xml:space="preserve">: DMM cluster I, </w:t>
      </w:r>
      <w:r w:rsidRPr="001419AC">
        <w:rPr>
          <w:b/>
          <w:bCs/>
          <w:lang w:val="en-GB"/>
        </w:rPr>
        <w:t>B</w:t>
      </w:r>
      <w:r w:rsidRPr="001419AC">
        <w:rPr>
          <w:lang w:val="en-GB"/>
        </w:rPr>
        <w:t xml:space="preserve">: DMM cluster II, </w:t>
      </w:r>
      <w:r w:rsidRPr="001419AC">
        <w:rPr>
          <w:b/>
          <w:bCs/>
          <w:lang w:val="en-GB"/>
        </w:rPr>
        <w:t>C</w:t>
      </w:r>
      <w:r w:rsidRPr="001419AC">
        <w:rPr>
          <w:lang w:val="en-GB"/>
        </w:rPr>
        <w:t xml:space="preserve">: DMM cluster III and </w:t>
      </w:r>
      <w:r w:rsidRPr="001419AC">
        <w:rPr>
          <w:b/>
          <w:bCs/>
          <w:lang w:val="en-GB"/>
        </w:rPr>
        <w:t>D</w:t>
      </w:r>
      <w:r w:rsidRPr="001419AC">
        <w:rPr>
          <w:lang w:val="en-GB"/>
        </w:rPr>
        <w:t>: DMM cluster IV) and ileum (</w:t>
      </w:r>
      <w:r w:rsidRPr="001419AC">
        <w:rPr>
          <w:b/>
          <w:bCs/>
          <w:lang w:val="en-GB"/>
        </w:rPr>
        <w:t>E</w:t>
      </w:r>
      <w:r w:rsidRPr="001419AC">
        <w:rPr>
          <w:lang w:val="en-GB"/>
        </w:rPr>
        <w:t xml:space="preserve">: ileal DMM cluster I, </w:t>
      </w:r>
      <w:r w:rsidRPr="001419AC">
        <w:rPr>
          <w:b/>
          <w:bCs/>
          <w:lang w:val="en-GB"/>
        </w:rPr>
        <w:t>F</w:t>
      </w:r>
      <w:r w:rsidRPr="001419AC">
        <w:rPr>
          <w:lang w:val="en-GB"/>
        </w:rPr>
        <w:t>: DMM cluster II) are shown. The microbial genera shown are limited to the top 10% drivers for each DMM cluster.</w:t>
      </w:r>
    </w:p>
    <w:p w14:paraId="3C285523" w14:textId="77777777" w:rsidR="00641D2C" w:rsidRPr="001419AC" w:rsidRDefault="00641D2C" w:rsidP="00641D2C">
      <w:pPr>
        <w:spacing w:line="278" w:lineRule="auto"/>
        <w:jc w:val="left"/>
      </w:pPr>
      <w:r w:rsidRPr="001419AC">
        <w:br w:type="page"/>
      </w:r>
    </w:p>
    <w:p w14:paraId="7256F761" w14:textId="77777777" w:rsidR="00641D2C" w:rsidRPr="001419AC" w:rsidRDefault="00641D2C" w:rsidP="00641D2C">
      <w:pPr>
        <w:pStyle w:val="NoSpacing"/>
        <w:rPr>
          <w:lang w:val="en-GB"/>
        </w:rPr>
      </w:pPr>
      <w:r w:rsidRPr="001419AC">
        <w:rPr>
          <w:noProof/>
          <w:lang w:val="en-GB"/>
        </w:rPr>
        <w:lastRenderedPageBreak/>
        <w:drawing>
          <wp:inline distT="0" distB="0" distL="0" distR="0" wp14:anchorId="269AE39C" wp14:editId="1F1AA959">
            <wp:extent cx="5731510" cy="4011930"/>
            <wp:effectExtent l="0" t="0" r="2540" b="7620"/>
            <wp:docPr id="483352952" name="Picture 4" descr="The image is a table showing the abundance percentage of various metabolic pathways and their contribution by different bacterial families across different maturation stages.  AI-generated content may be incorrect.">
              <a:extLst xmlns:a="http://schemas.openxmlformats.org/drawingml/2006/main">
                <a:ext uri="{FF2B5EF4-FFF2-40B4-BE49-F238E27FC236}">
                  <a16:creationId xmlns:a16="http://schemas.microsoft.com/office/drawing/2014/main" id="{D3549C78-EB8A-4C1C-9B7B-83151D4731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352952" name="Picture 4" descr="The image is a table showing the abundance percentage of various metabolic pathways and their contribution by different bacterial families across different maturation stages.  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4011930"/>
                    </a:xfrm>
                    <a:prstGeom prst="rect">
                      <a:avLst/>
                    </a:prstGeom>
                    <a:noFill/>
                    <a:ln>
                      <a:noFill/>
                    </a:ln>
                  </pic:spPr>
                </pic:pic>
              </a:graphicData>
            </a:graphic>
          </wp:inline>
        </w:drawing>
      </w:r>
    </w:p>
    <w:p w14:paraId="0D5D3203" w14:textId="77777777" w:rsidR="00641D2C" w:rsidRPr="001419AC" w:rsidRDefault="00641D2C" w:rsidP="00641D2C">
      <w:pPr>
        <w:pStyle w:val="NoSpacing"/>
        <w:rPr>
          <w:lang w:val="en-GB"/>
        </w:rPr>
      </w:pPr>
    </w:p>
    <w:p w14:paraId="4B54549D" w14:textId="77777777" w:rsidR="00641D2C" w:rsidRPr="00DF63E5" w:rsidRDefault="00641D2C" w:rsidP="00641D2C">
      <w:pPr>
        <w:pStyle w:val="NoSpacing"/>
        <w:rPr>
          <w:lang w:val="en-GB"/>
        </w:rPr>
      </w:pPr>
      <w:r w:rsidRPr="001419AC">
        <w:rPr>
          <w:b/>
          <w:bCs/>
          <w:lang w:val="en-GB"/>
        </w:rPr>
        <w:t xml:space="preserve">Figure </w:t>
      </w:r>
      <w:r>
        <w:rPr>
          <w:b/>
          <w:bCs/>
          <w:lang w:val="en-GB"/>
        </w:rPr>
        <w:t>S8</w:t>
      </w:r>
      <w:r w:rsidRPr="001419AC">
        <w:rPr>
          <w:b/>
          <w:bCs/>
          <w:lang w:val="en-GB"/>
        </w:rPr>
        <w:t xml:space="preserve">. Functional prediction of the successional </w:t>
      </w:r>
      <w:r>
        <w:rPr>
          <w:b/>
          <w:bCs/>
          <w:lang w:val="en-GB"/>
        </w:rPr>
        <w:t>ileal</w:t>
      </w:r>
      <w:r w:rsidRPr="001419AC">
        <w:rPr>
          <w:b/>
          <w:bCs/>
          <w:lang w:val="en-GB"/>
        </w:rPr>
        <w:t xml:space="preserve"> gut maturation stages. </w:t>
      </w:r>
      <w:r w:rsidRPr="00DF63E5">
        <w:rPr>
          <w:lang w:val="en-GB"/>
        </w:rPr>
        <w:t>PICRUSt2-predicted KEGG Orthologues (KOs) were mapped to Gut Metabolic Modules (GMMs) representing predicted microbial metabolic pathways. Predicted functions are shown across the two identified ileal maturation stages. (</w:t>
      </w:r>
      <w:r w:rsidRPr="00DF63E5">
        <w:rPr>
          <w:b/>
          <w:lang w:val="en-GB"/>
        </w:rPr>
        <w:t>A</w:t>
      </w:r>
      <w:r w:rsidRPr="00DF63E5">
        <w:rPr>
          <w:lang w:val="en-GB"/>
        </w:rPr>
        <w:t>) Relative abundance of predicted functional pathways (GMMs) across successional GM maturation stages. (</w:t>
      </w:r>
      <w:r w:rsidRPr="00DF63E5">
        <w:rPr>
          <w:b/>
          <w:lang w:val="en-GB"/>
        </w:rPr>
        <w:t>B</w:t>
      </w:r>
      <w:r w:rsidRPr="00DF63E5">
        <w:rPr>
          <w:lang w:val="en-GB"/>
        </w:rPr>
        <w:t>) Heatmap showing the relative contribution of the top 8 ileal bacterial families to predicted functional pathways within each ileal GM maturation stage. Colo</w:t>
      </w:r>
      <w:r>
        <w:rPr>
          <w:lang w:val="en-GB"/>
        </w:rPr>
        <w:t>u</w:t>
      </w:r>
      <w:r w:rsidRPr="00DF63E5">
        <w:rPr>
          <w:lang w:val="en-GB"/>
        </w:rPr>
        <w:t>rs indicate the proportion of a given functional pathway that is attributed to each bacterial family, independent of the overall abundance of that pathway. Families not among the dominant taxa were grouped as “Other”.</w:t>
      </w:r>
    </w:p>
    <w:p w14:paraId="7D3ED55C" w14:textId="77777777" w:rsidR="00641D2C" w:rsidRPr="001419AC" w:rsidRDefault="00641D2C" w:rsidP="00641D2C">
      <w:pPr>
        <w:spacing w:line="278" w:lineRule="auto"/>
        <w:jc w:val="left"/>
      </w:pPr>
      <w:r w:rsidRPr="001419AC">
        <w:br w:type="page"/>
      </w:r>
    </w:p>
    <w:p w14:paraId="6E8C31D1" w14:textId="77777777" w:rsidR="00641D2C" w:rsidRPr="001419AC" w:rsidRDefault="00641D2C" w:rsidP="00641D2C">
      <w:pPr>
        <w:pStyle w:val="NoSpacing"/>
        <w:rPr>
          <w:lang w:val="en-GB"/>
        </w:rPr>
      </w:pPr>
      <w:r w:rsidRPr="001419AC">
        <w:rPr>
          <w:noProof/>
          <w:lang w:val="en-GB"/>
        </w:rPr>
        <w:lastRenderedPageBreak/>
        <w:drawing>
          <wp:inline distT="0" distB="0" distL="0" distR="0" wp14:anchorId="5CDF6E5B" wp14:editId="02998DA7">
            <wp:extent cx="5731510" cy="4776470"/>
            <wp:effectExtent l="0" t="0" r="2540" b="5080"/>
            <wp:docPr id="1348567497" name="Picture 2" descr="The image is a graph depicting gene expression levels for various genes (IL1beta, IL17, LITAF) across different ages, with statistical data indicating significant differences for some genes.  AI-generated content may be incorrect.">
              <a:extLst xmlns:a="http://schemas.openxmlformats.org/drawingml/2006/main">
                <a:ext uri="{FF2B5EF4-FFF2-40B4-BE49-F238E27FC236}">
                  <a16:creationId xmlns:a16="http://schemas.microsoft.com/office/drawing/2014/main" id="{512FA789-211A-4921-9060-15B073A809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567497" name="Picture 2" descr="The image is a graph depicting gene expression levels for various genes (IL1beta, IL17, LITAF) across different ages, with statistical data indicating significant differences for some genes.  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4776470"/>
                    </a:xfrm>
                    <a:prstGeom prst="rect">
                      <a:avLst/>
                    </a:prstGeom>
                    <a:noFill/>
                    <a:ln>
                      <a:noFill/>
                    </a:ln>
                  </pic:spPr>
                </pic:pic>
              </a:graphicData>
            </a:graphic>
          </wp:inline>
        </w:drawing>
      </w:r>
    </w:p>
    <w:p w14:paraId="13600176" w14:textId="77777777" w:rsidR="00641D2C" w:rsidRPr="001419AC" w:rsidRDefault="00641D2C" w:rsidP="00641D2C">
      <w:pPr>
        <w:pStyle w:val="NoSpacing"/>
        <w:rPr>
          <w:lang w:val="en-GB"/>
        </w:rPr>
      </w:pPr>
    </w:p>
    <w:p w14:paraId="6524B9F2" w14:textId="77777777" w:rsidR="00641D2C" w:rsidRPr="001419AC" w:rsidRDefault="00641D2C" w:rsidP="00641D2C">
      <w:pPr>
        <w:pStyle w:val="NoSpacing"/>
        <w:rPr>
          <w:lang w:val="en-GB"/>
        </w:rPr>
      </w:pPr>
    </w:p>
    <w:p w14:paraId="4CFE6DF4" w14:textId="77777777" w:rsidR="00641D2C" w:rsidRPr="001419AC" w:rsidRDefault="00641D2C" w:rsidP="00641D2C">
      <w:pPr>
        <w:pStyle w:val="NoSpacing"/>
        <w:rPr>
          <w:lang w:val="en-GB"/>
        </w:rPr>
      </w:pPr>
      <w:r w:rsidRPr="001419AC">
        <w:rPr>
          <w:b/>
          <w:bCs/>
          <w:lang w:val="en-GB"/>
        </w:rPr>
        <w:t>Figure S9.  </w:t>
      </w:r>
      <w:r>
        <w:rPr>
          <w:b/>
          <w:bCs/>
          <w:lang w:val="en-GB"/>
        </w:rPr>
        <w:t>R</w:t>
      </w:r>
      <w:r w:rsidRPr="001419AC">
        <w:rPr>
          <w:b/>
          <w:bCs/>
          <w:lang w:val="en-GB"/>
        </w:rPr>
        <w:t xml:space="preserve">elative gene expression as a function of age (days post hatch) in the ileum. </w:t>
      </w:r>
      <w:r w:rsidRPr="001419AC">
        <w:rPr>
          <w:lang w:val="en-GB"/>
        </w:rPr>
        <w:t xml:space="preserve">For each gene, both a </w:t>
      </w:r>
      <w:r w:rsidRPr="0034334E">
        <w:rPr>
          <w:lang w:val="en-GB"/>
        </w:rPr>
        <w:t>generali</w:t>
      </w:r>
      <w:r>
        <w:rPr>
          <w:lang w:val="en-GB"/>
        </w:rPr>
        <w:t>s</w:t>
      </w:r>
      <w:r w:rsidRPr="0034334E">
        <w:rPr>
          <w:lang w:val="en-GB"/>
        </w:rPr>
        <w:t>ed</w:t>
      </w:r>
      <w:r w:rsidRPr="001419AC">
        <w:rPr>
          <w:lang w:val="en-GB"/>
        </w:rPr>
        <w:t xml:space="preserve"> additive model (GAM) and a linear model (LM) was fitted, after which the best model was selected by comparing the model AICs. GAMs were considered superior when their AIC was at least two units lower than that of the corresponding LM. For GAMs, each plot displays the fitted smooth term for age (solid line) with 95% confidence intervals (shaded area). For LMs, each plot displays the fitted estimate for age (solid line) with 95% confidence intervals (shaded area). The log2 transformed relative gene expression values are shown as dots. </w:t>
      </w:r>
    </w:p>
    <w:p w14:paraId="57CCF8D7" w14:textId="77777777" w:rsidR="00641D2C" w:rsidRPr="001419AC" w:rsidRDefault="00641D2C" w:rsidP="00641D2C">
      <w:pPr>
        <w:pStyle w:val="NoSpacing"/>
        <w:rPr>
          <w:b/>
          <w:bCs/>
          <w:lang w:val="en-GB"/>
        </w:rPr>
      </w:pPr>
      <w:r w:rsidRPr="001419AC">
        <w:rPr>
          <w:lang w:val="en-GB"/>
        </w:rPr>
        <w:t xml:space="preserve">Note: LITAF is included in the plot for completeness, but did not change with age. </w:t>
      </w:r>
    </w:p>
    <w:p w14:paraId="6D7329B8" w14:textId="77777777" w:rsidR="00641D2C" w:rsidRPr="0060383C" w:rsidRDefault="00641D2C" w:rsidP="00641D2C">
      <w:pPr>
        <w:spacing w:line="278" w:lineRule="auto"/>
        <w:jc w:val="left"/>
      </w:pPr>
    </w:p>
    <w:p w14:paraId="0521DE56" w14:textId="77777777" w:rsidR="00E023F9" w:rsidRDefault="00E023F9"/>
    <w:sectPr w:rsidR="00E023F9" w:rsidSect="00641D2C">
      <w:footerReference w:type="default" r:id="rId13"/>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698053"/>
      <w:docPartObj>
        <w:docPartGallery w:val="Page Numbers (Bottom of Page)"/>
        <w:docPartUnique/>
      </w:docPartObj>
    </w:sdtPr>
    <w:sdtEndPr>
      <w:rPr>
        <w:noProof/>
      </w:rPr>
    </w:sdtEndPr>
    <w:sdtContent>
      <w:p w14:paraId="57DBE50E" w14:textId="77777777" w:rsidR="00641D2C" w:rsidRDefault="00641D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EF3C6E" w14:textId="77777777" w:rsidR="00641D2C" w:rsidRDefault="00641D2C">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D2C"/>
    <w:rsid w:val="000C4033"/>
    <w:rsid w:val="00173ED8"/>
    <w:rsid w:val="002F50B1"/>
    <w:rsid w:val="004B42CB"/>
    <w:rsid w:val="005F2B46"/>
    <w:rsid w:val="00641D2C"/>
    <w:rsid w:val="006E1731"/>
    <w:rsid w:val="00866D74"/>
    <w:rsid w:val="00882A73"/>
    <w:rsid w:val="008A2A96"/>
    <w:rsid w:val="00906905"/>
    <w:rsid w:val="0095305D"/>
    <w:rsid w:val="00B10170"/>
    <w:rsid w:val="00B260B7"/>
    <w:rsid w:val="00B85331"/>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10D0A"/>
  <w15:chartTrackingRefBased/>
  <w15:docId w15:val="{B51F4990-EED1-4EC0-9078-DD3B2A576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D2C"/>
    <w:pPr>
      <w:spacing w:line="480" w:lineRule="auto"/>
      <w:jc w:val="both"/>
    </w:pPr>
    <w:rPr>
      <w:rFonts w:ascii="Calibri" w:hAnsi="Calibri" w:cs="Calibri"/>
      <w:color w:val="00000A"/>
      <w:kern w:val="0"/>
      <w:sz w:val="22"/>
      <w:szCs w:val="22"/>
      <w:lang w:val="en-GB"/>
      <w14:ligatures w14:val="none"/>
    </w:rPr>
  </w:style>
  <w:style w:type="paragraph" w:styleId="Heading1">
    <w:name w:val="heading 1"/>
    <w:basedOn w:val="Normal"/>
    <w:next w:val="Normal"/>
    <w:link w:val="Heading1Char"/>
    <w:uiPriority w:val="9"/>
    <w:qFormat/>
    <w:rsid w:val="00641D2C"/>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unhideWhenUsed/>
    <w:qFormat/>
    <w:rsid w:val="00641D2C"/>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641D2C"/>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641D2C"/>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641D2C"/>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641D2C"/>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641D2C"/>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641D2C"/>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641D2C"/>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D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41D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D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D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D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D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D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D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D2C"/>
    <w:rPr>
      <w:rFonts w:eastAsiaTheme="majorEastAsia" w:cstheme="majorBidi"/>
      <w:color w:val="272727" w:themeColor="text1" w:themeTint="D8"/>
    </w:rPr>
  </w:style>
  <w:style w:type="paragraph" w:styleId="Title">
    <w:name w:val="Title"/>
    <w:basedOn w:val="Normal"/>
    <w:next w:val="Normal"/>
    <w:link w:val="TitleChar"/>
    <w:uiPriority w:val="10"/>
    <w:qFormat/>
    <w:rsid w:val="00641D2C"/>
    <w:pPr>
      <w:spacing w:after="80" w:line="240" w:lineRule="auto"/>
      <w:contextualSpacing/>
      <w:jc w:val="left"/>
    </w:pPr>
    <w:rPr>
      <w:rFonts w:asciiTheme="majorHAnsi" w:eastAsiaTheme="majorEastAsia" w:hAnsiTheme="majorHAnsi" w:cstheme="majorBidi"/>
      <w:color w:val="auto"/>
      <w:spacing w:val="-10"/>
      <w:kern w:val="28"/>
      <w:sz w:val="56"/>
      <w:szCs w:val="56"/>
      <w:lang w:val="en-IN"/>
      <w14:ligatures w14:val="standardContextual"/>
    </w:rPr>
  </w:style>
  <w:style w:type="character" w:customStyle="1" w:styleId="TitleChar">
    <w:name w:val="Title Char"/>
    <w:basedOn w:val="DefaultParagraphFont"/>
    <w:link w:val="Title"/>
    <w:uiPriority w:val="10"/>
    <w:rsid w:val="00641D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D2C"/>
    <w:pPr>
      <w:numPr>
        <w:ilvl w:val="1"/>
      </w:numPr>
      <w:spacing w:line="278" w:lineRule="auto"/>
      <w:jc w:val="left"/>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641D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D2C"/>
    <w:pPr>
      <w:spacing w:before="160" w:line="278" w:lineRule="auto"/>
      <w:jc w:val="center"/>
    </w:pPr>
    <w:rPr>
      <w:rFonts w:asciiTheme="minorHAnsi" w:hAnsiTheme="minorHAnsi" w:cstheme="minorBid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641D2C"/>
    <w:rPr>
      <w:i/>
      <w:iCs/>
      <w:color w:val="404040" w:themeColor="text1" w:themeTint="BF"/>
    </w:rPr>
  </w:style>
  <w:style w:type="paragraph" w:styleId="ListParagraph">
    <w:name w:val="List Paragraph"/>
    <w:basedOn w:val="Normal"/>
    <w:uiPriority w:val="34"/>
    <w:qFormat/>
    <w:rsid w:val="00641D2C"/>
    <w:pPr>
      <w:spacing w:line="278" w:lineRule="auto"/>
      <w:ind w:left="720"/>
      <w:contextualSpacing/>
      <w:jc w:val="left"/>
    </w:pPr>
    <w:rPr>
      <w:rFonts w:asciiTheme="minorHAnsi" w:hAnsiTheme="minorHAnsi" w:cstheme="minorBidi"/>
      <w:color w:val="auto"/>
      <w:kern w:val="2"/>
      <w:sz w:val="24"/>
      <w:szCs w:val="24"/>
      <w:lang w:val="en-IN"/>
      <w14:ligatures w14:val="standardContextual"/>
    </w:rPr>
  </w:style>
  <w:style w:type="character" w:styleId="IntenseEmphasis">
    <w:name w:val="Intense Emphasis"/>
    <w:basedOn w:val="DefaultParagraphFont"/>
    <w:uiPriority w:val="21"/>
    <w:qFormat/>
    <w:rsid w:val="00641D2C"/>
    <w:rPr>
      <w:i/>
      <w:iCs/>
      <w:color w:val="0F4761" w:themeColor="accent1" w:themeShade="BF"/>
    </w:rPr>
  </w:style>
  <w:style w:type="paragraph" w:styleId="IntenseQuote">
    <w:name w:val="Intense Quote"/>
    <w:basedOn w:val="Normal"/>
    <w:next w:val="Normal"/>
    <w:link w:val="IntenseQuoteChar"/>
    <w:uiPriority w:val="30"/>
    <w:qFormat/>
    <w:rsid w:val="00641D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641D2C"/>
    <w:rPr>
      <w:i/>
      <w:iCs/>
      <w:color w:val="0F4761" w:themeColor="accent1" w:themeShade="BF"/>
    </w:rPr>
  </w:style>
  <w:style w:type="character" w:styleId="IntenseReference">
    <w:name w:val="Intense Reference"/>
    <w:basedOn w:val="DefaultParagraphFont"/>
    <w:uiPriority w:val="32"/>
    <w:qFormat/>
    <w:rsid w:val="00641D2C"/>
    <w:rPr>
      <w:b/>
      <w:bCs/>
      <w:smallCaps/>
      <w:color w:val="0F4761" w:themeColor="accent1" w:themeShade="BF"/>
      <w:spacing w:val="5"/>
    </w:rPr>
  </w:style>
  <w:style w:type="paragraph" w:styleId="NoSpacing">
    <w:name w:val="No Spacing"/>
    <w:uiPriority w:val="1"/>
    <w:qFormat/>
    <w:rsid w:val="00641D2C"/>
    <w:pPr>
      <w:spacing w:after="0" w:line="240" w:lineRule="auto"/>
      <w:jc w:val="both"/>
    </w:pPr>
    <w:rPr>
      <w:rFonts w:ascii="Calibri" w:hAnsi="Calibri" w:cs="Calibri"/>
      <w:color w:val="00000A"/>
      <w:kern w:val="0"/>
      <w:sz w:val="22"/>
      <w:szCs w:val="22"/>
      <w:lang w:val="en-US"/>
      <w14:ligatures w14:val="none"/>
    </w:rPr>
  </w:style>
  <w:style w:type="paragraph" w:styleId="Footer">
    <w:name w:val="footer"/>
    <w:basedOn w:val="Normal"/>
    <w:link w:val="FooterChar"/>
    <w:uiPriority w:val="99"/>
    <w:unhideWhenUsed/>
    <w:rsid w:val="00641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1D2C"/>
    <w:rPr>
      <w:rFonts w:ascii="Calibri" w:hAnsi="Calibri" w:cs="Calibri"/>
      <w:color w:val="00000A"/>
      <w:kern w:val="0"/>
      <w:sz w:val="22"/>
      <w:szCs w:val="22"/>
      <w:lang w:val="en-GB"/>
      <w14:ligatures w14:val="none"/>
    </w:rPr>
  </w:style>
  <w:style w:type="character" w:styleId="LineNumber">
    <w:name w:val="line number"/>
    <w:basedOn w:val="DefaultParagraphFont"/>
    <w:uiPriority w:val="99"/>
    <w:semiHidden/>
    <w:unhideWhenUsed/>
    <w:rsid w:val="00641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tiff"/><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762</Words>
  <Characters>4349</Characters>
  <Application>Microsoft Office Word</Application>
  <DocSecurity>0</DocSecurity>
  <Lines>36</Lines>
  <Paragraphs>10</Paragraphs>
  <ScaleCrop>false</ScaleCrop>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2026-10-05T07:24:00Z</dcterms:created>
  <dcterms:modified xsi:type="dcterms:W3CDTF">2026-10-05T07:24:00Z</dcterms:modified>
</cp:coreProperties>
</file>