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center"/>
      </w:pPr>
      <w:r>
        <w:rPr>
          <w:rFonts w:ascii="Times New Roman" w:cs="Times New Roman" w:eastAsia="SimSun" w:hAnsi="Times New Roman"/>
          <w:b/>
          <w:bCs/>
          <w:sz w:val="32"/>
          <w:szCs w:val="32"/>
        </w:rPr>
        <w:t xml:space="preserve">Additional file 1</w:t>
      </w:r>
    </w:p>
    <w:p>
      <w:pPr>
        <w:spacing w:after="360"/>
        <w:jc w:val="center"/>
      </w:pPr>
      <w:r>
        <w:rPr>
          <w:rFonts w:ascii="Times New Roman" w:cs="Times New Roman" w:eastAsia="SimSun" w:hAnsi="Times New Roman"/>
          <w:sz w:val="24"/>
          <w:szCs w:val="24"/>
        </w:rPr>
        <w:t xml:space="preserve">Leave-one-province-out meta-regression for: Climate-zone-dependent temperature sensitivity of Japanese encephalitis and the reversal of its age identity in China: a two-stage distributed lag non-linear analysis of six provinces, 2005-2020</w:t>
      </w:r>
    </w:p>
    <w:p>
      <w:pPr>
        <w:pStyle w:val="Heading1"/>
        <w:spacing w:after="160" w:before="320"/>
      </w:pPr>
      <w:r>
        <w:rPr>
          <w:rFonts w:ascii="Times New Roman" w:cs="Times New Roman" w:eastAsia="SimSun" w:hAnsi="Times New Roman"/>
          <w:b/>
          <w:bCs/>
          <w:sz w:val="28"/>
          <w:szCs w:val="28"/>
        </w:rPr>
        <w:t xml:space="preserve">Table S1</w:t>
      </w:r>
    </w:p>
    <w:p>
      <w:pPr>
        <w:spacing w:after="160" w:line="360"/>
      </w:pPr>
      <w:r>
        <w:rPr>
          <w:rFonts w:ascii="Times New Roman" w:cs="Times New Roman" w:eastAsia="SimSun" w:hAnsi="Times New Roman"/>
          <w:b/>
          <w:bCs/>
          <w:sz w:val="21"/>
          <w:szCs w:val="21"/>
        </w:rPr>
        <w:t xml:space="preserve">Table S1. Leave-one-province-out meta-regression of the per-series temperature-sensitivity contrast (log-RR, provincial 90th vs 50th temperature percentile, lags 0-2 months) on province-level covariates, band-adjusted. Each row refits the model after excluding all series of one province.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750"/>
        <w:gridCol w:w="750"/>
        <w:gridCol w:w="2150"/>
        <w:gridCol w:w="2200"/>
        <w:gridCol w:w="2150"/>
      </w:tblGrid>
      <w:tr>
        <w:trPr>
          <w:tblHeader/>
        </w:trPr>
        <w:tc>
          <w:tcPr>
            <w:tcW w:type="dxa" w:w="1750"/>
            <w:shd w:fill="D9E2EC" w:val="clear"/>
            <w:tcMar>
              <w:top w:type="dxa" w:w="80"/>
              <w:left w:type="dxa" w:w="100"/>
              <w:bottom w:type="dxa" w:w="80"/>
              <w:right w:type="dxa" w:w="100"/>
            </w:tcMar>
          </w:tcPr>
          <w:p>
            <w:pPr>
              <w:spacing w:after="40" w:line="264"/>
            </w:pPr>
            <w:r>
              <w:rPr>
                <w:rFonts w:ascii="Times New Roman" w:cs="Times New Roman" w:eastAsia="SimSun" w:hAnsi="Times New Roman"/>
                <w:b/>
                <w:bCs/>
                <w:sz w:val="20"/>
                <w:szCs w:val="20"/>
              </w:rPr>
              <w:t xml:space="preserve">Excluded province</w:t>
            </w:r>
          </w:p>
        </w:tc>
        <w:tc>
          <w:tcPr>
            <w:tcW w:type="dxa" w:w="750"/>
            <w:shd w:fill="D9E2EC" w:val="clear"/>
            <w:tcMar>
              <w:top w:type="dxa" w:w="80"/>
              <w:left w:type="dxa" w:w="100"/>
              <w:bottom w:type="dxa" w:w="80"/>
              <w:right w:type="dxa" w:w="100"/>
            </w:tcMar>
          </w:tcPr>
          <w:p>
            <w:pPr>
              <w:spacing w:after="40" w:line="264"/>
            </w:pPr>
            <w:r>
              <w:rPr>
                <w:rFonts w:ascii="Times New Roman" w:cs="Times New Roman" w:eastAsia="SimSun" w:hAnsi="Times New Roman"/>
                <w:b/>
                <w:bCs/>
                <w:sz w:val="20"/>
                <w:szCs w:val="20"/>
              </w:rPr>
              <w:t xml:space="preserve">n</w:t>
            </w:r>
          </w:p>
        </w:tc>
        <w:tc>
          <w:tcPr>
            <w:tcW w:type="dxa" w:w="2150"/>
            <w:shd w:fill="D9E2EC" w:val="clear"/>
            <w:tcMar>
              <w:top w:type="dxa" w:w="80"/>
              <w:left w:type="dxa" w:w="100"/>
              <w:bottom w:type="dxa" w:w="80"/>
              <w:right w:type="dxa" w:w="100"/>
            </w:tcMar>
          </w:tcPr>
          <w:p>
            <w:pPr>
              <w:spacing w:after="40" w:line="264"/>
            </w:pPr>
            <w:r>
              <w:rPr>
                <w:rFonts w:ascii="Times New Roman" w:cs="Times New Roman" w:eastAsia="SimSun" w:hAnsi="Times New Roman"/>
                <w:b/>
                <w:bCs/>
                <w:sz w:val="20"/>
                <w:szCs w:val="20"/>
              </w:rPr>
              <w:t xml:space="preserve">Latitude, beta (P)*</w:t>
            </w:r>
          </w:p>
        </w:tc>
        <w:tc>
          <w:tcPr>
            <w:tcW w:type="dxa" w:w="2200"/>
            <w:shd w:fill="D9E2EC" w:val="clear"/>
            <w:tcMar>
              <w:top w:type="dxa" w:w="80"/>
              <w:left w:type="dxa" w:w="100"/>
              <w:bottom w:type="dxa" w:w="80"/>
              <w:right w:type="dxa" w:w="100"/>
            </w:tcMar>
          </w:tcPr>
          <w:p>
            <w:pPr>
              <w:spacing w:after="40" w:line="264"/>
            </w:pPr>
            <w:r>
              <w:rPr>
                <w:rFonts w:ascii="Times New Roman" w:cs="Times New Roman" w:eastAsia="SimSun" w:hAnsi="Times New Roman"/>
                <w:b/>
                <w:bCs/>
                <w:sz w:val="20"/>
                <w:szCs w:val="20"/>
              </w:rPr>
              <w:t xml:space="preserve">Childhood case share, beta (P)</w:t>
            </w:r>
          </w:p>
        </w:tc>
        <w:tc>
          <w:tcPr>
            <w:tcW w:type="dxa" w:w="2150"/>
            <w:shd w:fill="D9E2EC" w:val="clear"/>
            <w:tcMar>
              <w:top w:type="dxa" w:w="80"/>
              <w:left w:type="dxa" w:w="100"/>
              <w:bottom w:type="dxa" w:w="80"/>
              <w:right w:type="dxa" w:w="100"/>
            </w:tcMar>
          </w:tcPr>
          <w:p>
            <w:pPr>
              <w:spacing w:after="40" w:line="264"/>
            </w:pPr>
            <w:r>
              <w:rPr>
                <w:rFonts w:ascii="Times New Roman" w:cs="Times New Roman" w:eastAsia="SimSun" w:hAnsi="Times New Roman"/>
                <w:b/>
                <w:bCs/>
                <w:sz w:val="20"/>
                <w:szCs w:val="20"/>
              </w:rPr>
              <w:t xml:space="preserve">Annual mean temperature, beta (P)</w:t>
            </w:r>
          </w:p>
        </w:tc>
      </w:tr>
      <w:tr>
        <w:tc>
          <w:tcPr>
            <w:tcW w:type="dxa" w:w="175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(none - full model)</w:t>
            </w:r>
          </w:p>
        </w:tc>
        <w:tc>
          <w:tcPr>
            <w:tcW w:type="dxa" w:w="75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15</w:t>
            </w:r>
          </w:p>
        </w:tc>
        <w:tc>
          <w:tcPr>
            <w:tcW w:type="dxa" w:w="215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0.228 (0.005)</w:t>
            </w:r>
          </w:p>
        </w:tc>
        <w:tc>
          <w:tcPr>
            <w:tcW w:type="dxa" w:w="220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-0.010 (0.60)</w:t>
            </w:r>
          </w:p>
        </w:tc>
        <w:tc>
          <w:tcPr>
            <w:tcW w:type="dxa" w:w="215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-0.266 (0.16)</w:t>
            </w:r>
          </w:p>
        </w:tc>
      </w:tr>
      <w:tr>
        <w:tc>
          <w:tcPr>
            <w:tcW w:type="dxa" w:w="175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Gansu</w:t>
            </w:r>
          </w:p>
        </w:tc>
        <w:tc>
          <w:tcPr>
            <w:tcW w:type="dxa" w:w="75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12</w:t>
            </w:r>
          </w:p>
        </w:tc>
        <w:tc>
          <w:tcPr>
            <w:tcW w:type="dxa" w:w="215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0.280 (0.010)</w:t>
            </w:r>
          </w:p>
        </w:tc>
        <w:tc>
          <w:tcPr>
            <w:tcW w:type="dxa" w:w="220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-0.004 (0.91)</w:t>
            </w:r>
          </w:p>
        </w:tc>
        <w:tc>
          <w:tcPr>
            <w:tcW w:type="dxa" w:w="215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-0.829 (0.067)</w:t>
            </w:r>
          </w:p>
        </w:tc>
      </w:tr>
      <w:tr>
        <w:tc>
          <w:tcPr>
            <w:tcW w:type="dxa" w:w="175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Guizhou</w:t>
            </w:r>
          </w:p>
        </w:tc>
        <w:tc>
          <w:tcPr>
            <w:tcW w:type="dxa" w:w="75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13</w:t>
            </w:r>
          </w:p>
        </w:tc>
        <w:tc>
          <w:tcPr>
            <w:tcW w:type="dxa" w:w="215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0.259 (0.001)</w:t>
            </w:r>
          </w:p>
        </w:tc>
        <w:tc>
          <w:tcPr>
            <w:tcW w:type="dxa" w:w="220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-0.018 (0.46)</w:t>
            </w:r>
          </w:p>
        </w:tc>
        <w:tc>
          <w:tcPr>
            <w:tcW w:type="dxa" w:w="215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-0.287 (0.17)</w:t>
            </w:r>
          </w:p>
        </w:tc>
      </w:tr>
      <w:tr>
        <w:tc>
          <w:tcPr>
            <w:tcW w:type="dxa" w:w="175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Henan</w:t>
            </w:r>
          </w:p>
        </w:tc>
        <w:tc>
          <w:tcPr>
            <w:tcW w:type="dxa" w:w="75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13</w:t>
            </w:r>
          </w:p>
        </w:tc>
        <w:tc>
          <w:tcPr>
            <w:tcW w:type="dxa" w:w="215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0.258 (0.003)</w:t>
            </w:r>
          </w:p>
        </w:tc>
        <w:tc>
          <w:tcPr>
            <w:tcW w:type="dxa" w:w="220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-0.012 (0.57)</w:t>
            </w:r>
          </w:p>
        </w:tc>
        <w:tc>
          <w:tcPr>
            <w:tcW w:type="dxa" w:w="215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-0.279 (0.17)</w:t>
            </w:r>
          </w:p>
        </w:tc>
      </w:tr>
      <w:tr>
        <w:tc>
          <w:tcPr>
            <w:tcW w:type="dxa" w:w="175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Shaanxi</w:t>
            </w:r>
          </w:p>
        </w:tc>
        <w:tc>
          <w:tcPr>
            <w:tcW w:type="dxa" w:w="75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12</w:t>
            </w:r>
          </w:p>
        </w:tc>
        <w:tc>
          <w:tcPr>
            <w:tcW w:type="dxa" w:w="215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0.189 (0.041)</w:t>
            </w:r>
          </w:p>
        </w:tc>
        <w:tc>
          <w:tcPr>
            <w:tcW w:type="dxa" w:w="220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-0.002 (0.92)</w:t>
            </w:r>
          </w:p>
        </w:tc>
        <w:tc>
          <w:tcPr>
            <w:tcW w:type="dxa" w:w="215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-0.198 (0.30)</w:t>
            </w:r>
          </w:p>
        </w:tc>
      </w:tr>
      <w:tr>
        <w:tc>
          <w:tcPr>
            <w:tcW w:type="dxa" w:w="175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Sichuan</w:t>
            </w:r>
          </w:p>
        </w:tc>
        <w:tc>
          <w:tcPr>
            <w:tcW w:type="dxa" w:w="75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13</w:t>
            </w:r>
          </w:p>
        </w:tc>
        <w:tc>
          <w:tcPr>
            <w:tcW w:type="dxa" w:w="215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0.224 (0.003)</w:t>
            </w:r>
          </w:p>
        </w:tc>
        <w:tc>
          <w:tcPr>
            <w:tcW w:type="dxa" w:w="220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-0.019 (0.36)</w:t>
            </w:r>
          </w:p>
        </w:tc>
        <w:tc>
          <w:tcPr>
            <w:tcW w:type="dxa" w:w="215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-0.341 (0.057)</w:t>
            </w:r>
          </w:p>
        </w:tc>
      </w:tr>
      <w:tr>
        <w:tc>
          <w:tcPr>
            <w:tcW w:type="dxa" w:w="175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Yunnan</w:t>
            </w:r>
          </w:p>
        </w:tc>
        <w:tc>
          <w:tcPr>
            <w:tcW w:type="dxa" w:w="75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12</w:t>
            </w:r>
          </w:p>
        </w:tc>
        <w:tc>
          <w:tcPr>
            <w:tcW w:type="dxa" w:w="215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-0.005 (0.96)</w:t>
            </w:r>
          </w:p>
        </w:tc>
        <w:tc>
          <w:tcPr>
            <w:tcW w:type="dxa" w:w="220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0.001 (0.95)</w:t>
            </w:r>
          </w:p>
        </w:tc>
        <w:tc>
          <w:tcPr>
            <w:tcW w:type="dxa" w:w="2150"/>
            <w:tcMar>
              <w:top w:type="dxa" w:w="80"/>
              <w:left w:type="dxa" w:w="100"/>
              <w:bottom w:type="dxa" w:w="80"/>
              <w:right w:type="dxa" w:w="100"/>
            </w:tcMar>
          </w:tcPr>
          <w:p>
            <w:pPr>
              <w:spacing w:after="40" w:line="264"/>
            </w:pPr>
            <w:r>
              <w:rPr>
                <w:rFonts w:ascii="Times New Roman" w:cs="Times New Roman" w:eastAsia="SimSun" w:hAnsi="Times New Roman"/>
                <w:b w:val="false"/>
                <w:bCs w:val="false"/>
                <w:sz w:val="20"/>
                <w:szCs w:val="20"/>
              </w:rPr>
              <w:t xml:space="preserve">0.012 (0.94)</w:t>
            </w:r>
          </w:p>
        </w:tc>
      </w:tr>
    </w:tbl>
    <w:p>
      <w:pPr>
        <w:spacing w:after="240"/>
      </w:pPr>
      <w:r>
        <w:rPr>
          <w:rFonts w:ascii="Times New Roman" w:cs="Times New Roman" w:eastAsia="SimSun" w:hAnsi="Times New Roman"/>
          <w:i/>
          <w:iCs/>
          <w:color w:val="444444"/>
          <w:sz w:val="21"/>
          <w:szCs w:val="21"/>
        </w:rPr>
        <w:t xml:space="preserve">* Beta per 1 degree N (latitude), per 1 percentage point (childhood case share), or per 1 degree C (annual mean temperature). Random-effects multivariate meta-regression (REML) with band indicators; P values are two-sided Wald.</w:t>
      </w:r>
    </w:p>
    <w:p>
      <w:pPr>
        <w:pStyle w:val="Heading1"/>
        <w:spacing w:after="160" w:before="320"/>
      </w:pPr>
      <w:r>
        <w:rPr>
          <w:rFonts w:ascii="Times New Roman" w:cs="Times New Roman" w:eastAsia="SimSun" w:hAnsi="Times New Roman"/>
          <w:b/>
          <w:bCs/>
          <w:sz w:val="28"/>
          <w:szCs w:val="28"/>
        </w:rPr>
        <w:t xml:space="preserve">Figure S1</w:t>
      </w:r>
    </w:p>
    <w:p>
      <w:pPr>
        <w:spacing w:after="160" w:line="360"/>
        <w:jc w:val="center"/>
      </w:pPr>
      <w:r>
        <w:drawing>
          <wp:inline distT="0" distB="0" distL="0" distR="0">
            <wp:extent cx="5943600" cy="3390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3390900"/>
                    </a:xfrm>
                    <a:prstGeom prst="rect">
                      <a:avLst/>
                    </a:prstGeom>
                  </pic:spPr>
                </pic:pic>
              </a:graphicData>
            </a:graphic>
          </wp:inline>
        </w:drawing>
      </w:r>
    </w:p>
    <w:p>
      <w:pPr>
        <w:spacing w:after="240"/>
      </w:pPr>
      <w:r>
        <w:rPr>
          <w:rFonts w:ascii="Times New Roman" w:cs="Times New Roman" w:eastAsia="SimSun" w:hAnsi="Times New Roman"/>
          <w:i/>
          <w:iCs/>
          <w:color w:val="444444"/>
          <w:sz w:val="21"/>
          <w:szCs w:val="21"/>
        </w:rPr>
        <w:t xml:space="preserve">Figure S1. Latitude coefficient (log-RR per degree N, 95% CI) from the band-adjusted meta-regression, refit after excluding each province in turn. The gradient is robust to exclusion of the outbreak province (Gansu) and of Guizhou, Henan, Shaanxi and Sichuan, but attenuates to null when Yunnan - the subtropical anchor of the transect - is removed, indicating a transect-level association rather than one driven by the temperate end.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60" w:line="360"/>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9d5e393a97358ee8bbaccaea44d54510019eeb50.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2026-09-28T15:14:42.427Z</dcterms:created>
  <dcterms:modified xsi:type="dcterms:W3CDTF">2026-09-28T15:14:42.428Z</dcterms:modified>
</cp:coreProperties>
</file>

<file path=docProps/custom.xml><?xml version="1.0" encoding="utf-8"?>
<Properties xmlns="http://schemas.openxmlformats.org/officeDocument/2006/custom-properties" xmlns:vt="http://schemas.openxmlformats.org/officeDocument/2006/docPropsVTypes"/>
</file>