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19E06" w14:textId="77777777" w:rsidR="003B4EDB" w:rsidRDefault="003B4EDB" w:rsidP="003B4EDB">
      <w:pPr>
        <w:pStyle w:val="Heading2"/>
      </w:pPr>
      <w:bookmarkStart w:id="0" w:name="additional-files"/>
      <w:r>
        <w:t>Additional files</w:t>
      </w:r>
    </w:p>
    <w:p w14:paraId="6D98202C" w14:textId="77777777" w:rsidR="003B4EDB" w:rsidRDefault="003B4EDB" w:rsidP="003B4EDB">
      <w:pPr>
        <w:pStyle w:val="FirstParagraph"/>
      </w:pPr>
      <w:r>
        <w:rPr>
          <w:b/>
          <w:bCs/>
        </w:rPr>
        <w:t>Additional file 1</w:t>
      </w:r>
      <w:r>
        <w:t xml:space="preserve"> (PDF). Supplementary methods and results. Causal diagram and adjustment sets (Section S1, Figure S1); missing data (Table S1); co-occurrence of markers (Figure S2); characteristics by HIV and HCV serostatus (Tables S2–S3); Firth models for HBsAg and treponemal antibody (Table S4); alternative model specifications (Table S5); additive interaction (Table S6); E-values (Table S7); sensitivity analyses (Table S8); model discrimination and calibration (Section S7, Figure S3); software (Table S9).</w:t>
      </w:r>
    </w:p>
    <w:p w14:paraId="00172994" w14:textId="77777777" w:rsidR="003B4EDB" w:rsidRDefault="003B4EDB" w:rsidP="003B4EDB">
      <w:pPr>
        <w:pStyle w:val="BodyText"/>
      </w:pPr>
      <w:r>
        <w:rPr>
          <w:b/>
          <w:bCs/>
        </w:rPr>
        <w:t>Additional file 2</w:t>
      </w:r>
      <w:r>
        <w:t xml:space="preserve"> (PDF). Completed STROBE checklist for cross-sectional studies.</w:t>
      </w:r>
    </w:p>
    <w:bookmarkEnd w:id="0"/>
    <w:p w14:paraId="13A2D455" w14:textId="77777777" w:rsidR="00E023F9" w:rsidRDefault="00E023F9"/>
    <w:sectPr w:rsidR="00E023F9" w:rsidSect="003B4EDB">
      <w:footerReference w:type="default" r:id="rId4"/>
      <w:pgSz w:w="11906" w:h="16838"/>
      <w:pgMar w:top="1418" w:right="1418" w:bottom="1418" w:left="1418" w:header="709" w:footer="709" w:gutter="0"/>
      <w:lnNumType w:countBy="1" w:distance="283" w:restart="continuous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8A564" w14:textId="77777777" w:rsidR="003B4EDB" w:rsidRDefault="003B4ED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EDB"/>
    <w:rsid w:val="000C4033"/>
    <w:rsid w:val="00173ED8"/>
    <w:rsid w:val="002F50B1"/>
    <w:rsid w:val="003B4EDB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16D4B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2AB3D"/>
  <w15:chartTrackingRefBased/>
  <w15:docId w15:val="{7BA87E4D-CBB2-430D-94C7-86D12CCCE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EDB"/>
    <w:pPr>
      <w:spacing w:after="0" w:line="480" w:lineRule="auto"/>
    </w:pPr>
    <w:rPr>
      <w:rFonts w:ascii="Times New Roman" w:eastAsia="Times New Roman" w:hAnsi="Times New Roman" w:cs="Times New Roman"/>
      <w:kern w:val="0"/>
      <w:lang w:val="en-GB"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4E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E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ED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ED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ED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ED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ED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ED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ED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E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E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E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E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E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E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E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E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E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B4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ED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B4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ED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B4E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ED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B4E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E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E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ED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3B4EDB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3B4EDB"/>
    <w:rPr>
      <w:rFonts w:ascii="Times New Roman" w:eastAsia="Times New Roman" w:hAnsi="Times New Roman" w:cs="Times New Roman"/>
      <w:kern w:val="0"/>
      <w:lang w:val="en-GB" w:eastAsia="en-IN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3B4EDB"/>
  </w:style>
  <w:style w:type="character" w:styleId="LineNumber">
    <w:name w:val="line number"/>
    <w:basedOn w:val="DefaultParagraphFont"/>
    <w:uiPriority w:val="99"/>
    <w:semiHidden/>
    <w:unhideWhenUsed/>
    <w:rsid w:val="003B4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2026-10-06T09:36:00Z</dcterms:created>
  <dcterms:modified xsi:type="dcterms:W3CDTF">2026-10-06T09:36:00Z</dcterms:modified>
</cp:coreProperties>
</file>