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1CFC3" w14:textId="561249B7" w:rsidR="004C5028" w:rsidRPr="009769AD" w:rsidRDefault="004C5028" w:rsidP="009769AD">
      <w:pPr>
        <w:pStyle w:val="Title"/>
        <w:rPr>
          <w:sz w:val="24"/>
          <w:szCs w:val="24"/>
        </w:rPr>
      </w:pPr>
      <w:r w:rsidRPr="009769AD">
        <w:rPr>
          <w:rStyle w:val="TitleChar"/>
          <w:sz w:val="24"/>
          <w:szCs w:val="24"/>
        </w:rPr>
        <w:t>Towards guideline-grounded clinical decision-making: a multi-scale study of retrieval augmented generation based large language model agents</w:t>
      </w:r>
    </w:p>
    <w:p w14:paraId="2EAC051C" w14:textId="2CB206DC" w:rsidR="009769AD" w:rsidRDefault="009769AD" w:rsidP="000B5D0F">
      <w:pPr>
        <w:pStyle w:val="Title"/>
        <w:rPr>
          <w:rStyle w:val="TitleChar"/>
        </w:rPr>
      </w:pPr>
      <w:r>
        <w:rPr>
          <w:rStyle w:val="TitleChar"/>
        </w:rPr>
        <w:t>Supplementary Material</w:t>
      </w:r>
    </w:p>
    <w:p w14:paraId="3D2312DB" w14:textId="77777777" w:rsidR="000B5D0F" w:rsidRPr="000B5D0F" w:rsidRDefault="000B5D0F" w:rsidP="000B5D0F"/>
    <w:p w14:paraId="44BF7367" w14:textId="77777777" w:rsidR="000B5D0F" w:rsidRPr="000B5D0F" w:rsidRDefault="000B5D0F" w:rsidP="000B5D0F"/>
    <w:p w14:paraId="5E17982E" w14:textId="77777777" w:rsidR="006F1A72" w:rsidRDefault="006F1A72" w:rsidP="006F1A72">
      <w:pPr>
        <w:pStyle w:val="Legend"/>
      </w:pPr>
      <w:r w:rsidRPr="00DE4496">
        <w:rPr>
          <w:noProof/>
        </w:rPr>
        <w:drawing>
          <wp:inline distT="0" distB="0" distL="0" distR="0" wp14:anchorId="178D3F5E" wp14:editId="20C4A6B5">
            <wp:extent cx="5760720" cy="6546850"/>
            <wp:effectExtent l="0" t="0" r="0" b="6350"/>
            <wp:docPr id="78877397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773977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4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6133F" w14:textId="296A989D" w:rsidR="006F1A72" w:rsidRPr="001235E5" w:rsidRDefault="006F1A72" w:rsidP="006F1A72">
      <w:pPr>
        <w:pStyle w:val="Legend"/>
        <w:rPr>
          <w:b w:val="0"/>
          <w:bCs w:val="0"/>
          <w:szCs w:val="18"/>
        </w:rPr>
      </w:pPr>
      <w:r>
        <w:rPr>
          <w:szCs w:val="18"/>
        </w:rPr>
        <w:t>Supplementary</w:t>
      </w:r>
      <w:r w:rsidRPr="00EC329C">
        <w:rPr>
          <w:szCs w:val="18"/>
        </w:rPr>
        <w:t xml:space="preserve"> Fig. </w:t>
      </w:r>
      <w:r w:rsidR="00C75F70">
        <w:rPr>
          <w:szCs w:val="18"/>
        </w:rPr>
        <w:t>1</w:t>
      </w:r>
      <w:r w:rsidRPr="00EC329C">
        <w:rPr>
          <w:szCs w:val="18"/>
        </w:rPr>
        <w:t xml:space="preserve"> </w:t>
      </w:r>
      <w:r w:rsidRPr="009F7A8F">
        <w:t xml:space="preserve">| </w:t>
      </w:r>
      <w:r>
        <w:t>Second c</w:t>
      </w:r>
      <w:r w:rsidRPr="009F7A8F">
        <w:t>ase-level comparison of the same backbone model with and without RAG.</w:t>
      </w:r>
      <w:r>
        <w:t xml:space="preserve"> </w:t>
      </w:r>
      <w:r>
        <w:rPr>
          <w:b w:val="0"/>
          <w:bCs w:val="0"/>
          <w:szCs w:val="18"/>
        </w:rPr>
        <w:t>This</w:t>
      </w:r>
      <w:r w:rsidRPr="00EB1278">
        <w:rPr>
          <w:b w:val="0"/>
          <w:bCs w:val="0"/>
          <w:szCs w:val="18"/>
        </w:rPr>
        <w:t xml:space="preserve"> illustrative</w:t>
      </w:r>
      <w:r>
        <w:rPr>
          <w:b w:val="0"/>
          <w:bCs w:val="0"/>
          <w:szCs w:val="18"/>
        </w:rPr>
        <w:t xml:space="preserve"> </w:t>
      </w:r>
      <w:r w:rsidRPr="00EB1278">
        <w:rPr>
          <w:b w:val="0"/>
          <w:bCs w:val="0"/>
          <w:szCs w:val="18"/>
        </w:rPr>
        <w:t xml:space="preserve">pathway shows how retrieval can alter both the diagnostic work-up and the final diagnosis. In the non-RAG setting, the model skips key tests and converges on an incorrect diagnosis. </w:t>
      </w:r>
      <w:r>
        <w:rPr>
          <w:b w:val="0"/>
          <w:bCs w:val="0"/>
          <w:szCs w:val="18"/>
        </w:rPr>
        <w:t xml:space="preserve">Whereas the </w:t>
      </w:r>
      <w:r w:rsidRPr="00EB1278">
        <w:rPr>
          <w:b w:val="0"/>
          <w:bCs w:val="0"/>
          <w:szCs w:val="18"/>
        </w:rPr>
        <w:t>same backbone model</w:t>
      </w:r>
      <w:r>
        <w:rPr>
          <w:b w:val="0"/>
          <w:bCs w:val="0"/>
          <w:szCs w:val="18"/>
        </w:rPr>
        <w:t xml:space="preserve"> for the same seed and same patient, but</w:t>
      </w:r>
      <w:r w:rsidRPr="001235E5">
        <w:rPr>
          <w:b w:val="0"/>
          <w:bCs w:val="0"/>
          <w:szCs w:val="18"/>
        </w:rPr>
        <w:t xml:space="preserve"> </w:t>
      </w:r>
      <w:r>
        <w:rPr>
          <w:b w:val="0"/>
          <w:bCs w:val="0"/>
          <w:szCs w:val="18"/>
        </w:rPr>
        <w:t>equipped with</w:t>
      </w:r>
      <w:r w:rsidRPr="00EB1278">
        <w:rPr>
          <w:b w:val="0"/>
          <w:bCs w:val="0"/>
          <w:szCs w:val="18"/>
        </w:rPr>
        <w:t xml:space="preserve"> RAG, </w:t>
      </w:r>
      <w:r>
        <w:rPr>
          <w:b w:val="0"/>
          <w:bCs w:val="0"/>
          <w:szCs w:val="18"/>
        </w:rPr>
        <w:t>retrieves</w:t>
      </w:r>
      <w:r w:rsidRPr="00EB1278">
        <w:rPr>
          <w:b w:val="0"/>
          <w:bCs w:val="0"/>
          <w:szCs w:val="18"/>
        </w:rPr>
        <w:t xml:space="preserve"> guideline passages at each</w:t>
      </w:r>
      <w:r>
        <w:rPr>
          <w:b w:val="0"/>
          <w:bCs w:val="0"/>
          <w:szCs w:val="18"/>
        </w:rPr>
        <w:t xml:space="preserve"> decision</w:t>
      </w:r>
      <w:r w:rsidRPr="00EB1278">
        <w:rPr>
          <w:b w:val="0"/>
          <w:bCs w:val="0"/>
          <w:szCs w:val="18"/>
        </w:rPr>
        <w:t xml:space="preserve"> step,</w:t>
      </w:r>
      <w:r>
        <w:rPr>
          <w:b w:val="0"/>
          <w:bCs w:val="0"/>
          <w:szCs w:val="18"/>
        </w:rPr>
        <w:t xml:space="preserve"> grounding its tests ordering into a more informed reasoning, </w:t>
      </w:r>
      <w:r w:rsidRPr="00EB1278">
        <w:rPr>
          <w:b w:val="0"/>
          <w:bCs w:val="0"/>
          <w:szCs w:val="18"/>
        </w:rPr>
        <w:t>and reaches the correct final diagnosis and care plan. This figure represents a</w:t>
      </w:r>
      <w:r>
        <w:rPr>
          <w:b w:val="0"/>
          <w:bCs w:val="0"/>
          <w:szCs w:val="18"/>
        </w:rPr>
        <w:t>n actual</w:t>
      </w:r>
      <w:r w:rsidRPr="00EB1278">
        <w:rPr>
          <w:b w:val="0"/>
          <w:bCs w:val="0"/>
          <w:szCs w:val="18"/>
        </w:rPr>
        <w:t xml:space="preserve"> case from an acute </w:t>
      </w:r>
      <w:r>
        <w:rPr>
          <w:b w:val="0"/>
          <w:bCs w:val="0"/>
          <w:szCs w:val="18"/>
        </w:rPr>
        <w:t>appendicitis</w:t>
      </w:r>
      <w:r w:rsidRPr="00EB1278">
        <w:rPr>
          <w:b w:val="0"/>
          <w:bCs w:val="0"/>
          <w:szCs w:val="18"/>
        </w:rPr>
        <w:t xml:space="preserve"> patient </w:t>
      </w:r>
      <w:r>
        <w:rPr>
          <w:b w:val="0"/>
          <w:bCs w:val="0"/>
          <w:szCs w:val="18"/>
        </w:rPr>
        <w:t>taken from</w:t>
      </w:r>
      <w:r w:rsidRPr="00EB1278">
        <w:rPr>
          <w:b w:val="0"/>
          <w:bCs w:val="0"/>
          <w:szCs w:val="18"/>
        </w:rPr>
        <w:t xml:space="preserve"> </w:t>
      </w:r>
      <w:r>
        <w:rPr>
          <w:b w:val="0"/>
          <w:bCs w:val="0"/>
          <w:szCs w:val="18"/>
        </w:rPr>
        <w:t>the</w:t>
      </w:r>
      <w:r w:rsidRPr="00EB1278">
        <w:rPr>
          <w:b w:val="0"/>
          <w:bCs w:val="0"/>
          <w:szCs w:val="18"/>
        </w:rPr>
        <w:t xml:space="preserve"> dataset</w:t>
      </w:r>
      <w:r>
        <w:rPr>
          <w:b w:val="0"/>
          <w:bCs w:val="0"/>
          <w:szCs w:val="18"/>
        </w:rPr>
        <w:t>,</w:t>
      </w:r>
      <w:r w:rsidRPr="00EB1278">
        <w:rPr>
          <w:b w:val="0"/>
          <w:bCs w:val="0"/>
          <w:szCs w:val="18"/>
        </w:rPr>
        <w:t xml:space="preserve"> that we have</w:t>
      </w:r>
      <w:r>
        <w:rPr>
          <w:b w:val="0"/>
          <w:bCs w:val="0"/>
          <w:szCs w:val="18"/>
        </w:rPr>
        <w:t xml:space="preserve"> then manually</w:t>
      </w:r>
      <w:r w:rsidRPr="00EB1278">
        <w:rPr>
          <w:b w:val="0"/>
          <w:bCs w:val="0"/>
          <w:szCs w:val="18"/>
        </w:rPr>
        <w:t xml:space="preserve"> anonymized. In this comparison, the backbone model is </w:t>
      </w:r>
      <w:r w:rsidRPr="00507DC7">
        <w:rPr>
          <w:b w:val="0"/>
          <w:bCs w:val="0"/>
          <w:sz w:val="16"/>
          <w:szCs w:val="18"/>
        </w:rPr>
        <w:t xml:space="preserve">Qwen3-30B-A3B </w:t>
      </w:r>
      <w:r w:rsidRPr="00EB1278">
        <w:rPr>
          <w:b w:val="0"/>
          <w:bCs w:val="0"/>
        </w:rPr>
        <w:t>quantized in 4 bits</w:t>
      </w:r>
      <w:r>
        <w:rPr>
          <w:b w:val="0"/>
          <w:bCs w:val="0"/>
        </w:rPr>
        <w:t>-</w:t>
      </w:r>
      <w:r w:rsidRPr="00EB1278">
        <w:rPr>
          <w:b w:val="0"/>
          <w:bCs w:val="0"/>
        </w:rPr>
        <w:t>per</w:t>
      </w:r>
      <w:r>
        <w:rPr>
          <w:b w:val="0"/>
          <w:bCs w:val="0"/>
        </w:rPr>
        <w:t>-</w:t>
      </w:r>
      <w:r w:rsidRPr="00EB1278">
        <w:rPr>
          <w:b w:val="0"/>
          <w:bCs w:val="0"/>
        </w:rPr>
        <w:t xml:space="preserve">weight and ran with seed </w:t>
      </w:r>
      <w:r>
        <w:rPr>
          <w:b w:val="0"/>
          <w:bCs w:val="0"/>
        </w:rPr>
        <w:t>4896</w:t>
      </w:r>
      <w:r w:rsidRPr="00EB1278">
        <w:rPr>
          <w:b w:val="0"/>
          <w:bCs w:val="0"/>
        </w:rPr>
        <w:t>.</w:t>
      </w:r>
    </w:p>
    <w:p w14:paraId="0E869923" w14:textId="7FBB2203" w:rsidR="00B62F38" w:rsidRDefault="00B62F38">
      <w:pPr>
        <w:spacing w:after="160" w:line="278" w:lineRule="auto"/>
        <w:jc w:val="left"/>
        <w:rPr>
          <w:rFonts w:ascii="Merriweather Black 18pt" w:hAnsi="Merriweather Black 18pt"/>
          <w:sz w:val="48"/>
          <w:szCs w:val="48"/>
        </w:rPr>
      </w:pPr>
    </w:p>
    <w:p w14:paraId="348B0527" w14:textId="4E541377" w:rsidR="006F1A72" w:rsidRPr="00F44AF7" w:rsidRDefault="00B62F38" w:rsidP="00F44AF7">
      <w:pPr>
        <w:spacing w:after="160" w:line="278" w:lineRule="auto"/>
        <w:jc w:val="left"/>
        <w:rPr>
          <w:rFonts w:ascii="Merriweather Black 18pt" w:hAnsi="Merriweather Black 18pt"/>
          <w:sz w:val="48"/>
          <w:szCs w:val="48"/>
        </w:rPr>
      </w:pPr>
      <w:r w:rsidRPr="00B62F38">
        <w:rPr>
          <w:rFonts w:ascii="Merriweather Black 18pt" w:hAnsi="Merriweather Black 18pt"/>
          <w:noProof/>
          <w:sz w:val="48"/>
          <w:szCs w:val="48"/>
        </w:rPr>
        <w:drawing>
          <wp:inline distT="0" distB="0" distL="0" distR="0" wp14:anchorId="0A7B958C" wp14:editId="6B6B4752">
            <wp:extent cx="5760720" cy="6728460"/>
            <wp:effectExtent l="0" t="0" r="0" b="0"/>
            <wp:docPr id="157836506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365069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2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D5CDE" w14:textId="1471FA2F" w:rsidR="00B62F38" w:rsidRDefault="00B62F38" w:rsidP="00B62F38">
      <w:pPr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Supplementary Table 1 | Detailed corpus composition</w:t>
      </w:r>
      <w:r w:rsidRPr="00621C2C">
        <w:rPr>
          <w:b/>
          <w:bCs/>
          <w:i/>
          <w:iCs/>
          <w:sz w:val="18"/>
          <w:szCs w:val="18"/>
        </w:rPr>
        <w:t>.</w:t>
      </w:r>
      <w:r>
        <w:rPr>
          <w:b/>
          <w:bCs/>
          <w:i/>
          <w:iCs/>
          <w:sz w:val="18"/>
          <w:szCs w:val="18"/>
        </w:rPr>
        <w:t xml:space="preserve"> </w:t>
      </w:r>
      <w:r w:rsidRPr="009C2437">
        <w:rPr>
          <w:i/>
          <w:iCs/>
          <w:sz w:val="18"/>
          <w:szCs w:val="18"/>
        </w:rPr>
        <w:t xml:space="preserve">The approximate word count is computed as the total number of words contained within each </w:t>
      </w:r>
      <w:proofErr w:type="gramStart"/>
      <w:r w:rsidRPr="009C2437">
        <w:rPr>
          <w:i/>
          <w:iCs/>
          <w:sz w:val="18"/>
          <w:szCs w:val="18"/>
        </w:rPr>
        <w:t>chunks</w:t>
      </w:r>
      <w:proofErr w:type="gramEnd"/>
      <w:r w:rsidRPr="009C2437">
        <w:rPr>
          <w:i/>
          <w:iCs/>
          <w:sz w:val="18"/>
          <w:szCs w:val="18"/>
        </w:rPr>
        <w:t>, including word overlap. Only the four target pathologies document</w:t>
      </w:r>
      <w:r w:rsidR="00B25C2D">
        <w:rPr>
          <w:i/>
          <w:iCs/>
          <w:sz w:val="18"/>
          <w:szCs w:val="18"/>
        </w:rPr>
        <w:t>s</w:t>
      </w:r>
      <w:r w:rsidRPr="009C2437">
        <w:rPr>
          <w:i/>
          <w:iCs/>
          <w:sz w:val="18"/>
          <w:szCs w:val="18"/>
        </w:rPr>
        <w:t xml:space="preserve"> have been manually cleaned into markdown</w:t>
      </w:r>
      <w:r w:rsidR="009C2437" w:rsidRPr="009C2437">
        <w:rPr>
          <w:i/>
          <w:iCs/>
          <w:sz w:val="18"/>
          <w:szCs w:val="18"/>
        </w:rPr>
        <w:t>.</w:t>
      </w:r>
    </w:p>
    <w:p w14:paraId="09CDC0B6" w14:textId="38348EE1" w:rsidR="00281126" w:rsidRDefault="00281126" w:rsidP="00281126">
      <w:pPr>
        <w:spacing w:after="160" w:line="278" w:lineRule="auto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br w:type="page"/>
      </w:r>
    </w:p>
    <w:p w14:paraId="03639F54" w14:textId="5E2E46DF" w:rsidR="00281126" w:rsidRDefault="00281126" w:rsidP="00281126">
      <w:pPr>
        <w:jc w:val="center"/>
        <w:rPr>
          <w:b/>
          <w:bCs/>
          <w:i/>
          <w:iCs/>
          <w:sz w:val="18"/>
          <w:szCs w:val="18"/>
        </w:rPr>
      </w:pPr>
      <w:r w:rsidRPr="00281126">
        <w:rPr>
          <w:b/>
          <w:bCs/>
          <w:i/>
          <w:iCs/>
          <w:noProof/>
          <w:sz w:val="18"/>
          <w:szCs w:val="18"/>
        </w:rPr>
        <w:lastRenderedPageBreak/>
        <w:drawing>
          <wp:inline distT="0" distB="0" distL="0" distR="0" wp14:anchorId="3061CAFB" wp14:editId="32B4BD3A">
            <wp:extent cx="5314950" cy="5000625"/>
            <wp:effectExtent l="0" t="0" r="0" b="9525"/>
            <wp:docPr id="184164251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642513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A9548" w14:textId="0C81DAC9" w:rsidR="00281126" w:rsidRPr="008E69E9" w:rsidRDefault="00281126" w:rsidP="00281126">
      <w:pPr>
        <w:rPr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Supplementary</w:t>
      </w:r>
      <w:r w:rsidRPr="00EC329C">
        <w:rPr>
          <w:b/>
          <w:bCs/>
          <w:i/>
          <w:iCs/>
          <w:sz w:val="18"/>
          <w:szCs w:val="18"/>
        </w:rPr>
        <w:t xml:space="preserve"> Fig. </w:t>
      </w:r>
      <w:r w:rsidR="00086770">
        <w:rPr>
          <w:b/>
          <w:bCs/>
          <w:i/>
          <w:iCs/>
          <w:sz w:val="18"/>
          <w:szCs w:val="18"/>
        </w:rPr>
        <w:t>2</w:t>
      </w:r>
      <w:r w:rsidRPr="00EC329C">
        <w:rPr>
          <w:b/>
          <w:bCs/>
          <w:i/>
          <w:iCs/>
          <w:sz w:val="18"/>
          <w:szCs w:val="18"/>
        </w:rPr>
        <w:t xml:space="preserve"> | Composition of guideline retrieval across patient pathologies and source documents</w:t>
      </w:r>
      <w:r>
        <w:rPr>
          <w:b/>
          <w:bCs/>
          <w:i/>
          <w:iCs/>
          <w:sz w:val="18"/>
          <w:szCs w:val="18"/>
        </w:rPr>
        <w:t>, main four guidelines corpus</w:t>
      </w:r>
      <w:r w:rsidRPr="00EC329C">
        <w:rPr>
          <w:b/>
          <w:bCs/>
          <w:i/>
          <w:iCs/>
          <w:sz w:val="18"/>
          <w:szCs w:val="18"/>
        </w:rPr>
        <w:t>.</w:t>
      </w:r>
      <w:r w:rsidR="00CA0CC6">
        <w:rPr>
          <w:b/>
          <w:bCs/>
          <w:i/>
          <w:iCs/>
          <w:sz w:val="18"/>
          <w:szCs w:val="18"/>
        </w:rPr>
        <w:t xml:space="preserve"> </w:t>
      </w:r>
      <w:r w:rsidR="00A0378B" w:rsidRPr="00A0378B">
        <w:rPr>
          <w:i/>
          <w:iCs/>
          <w:sz w:val="18"/>
          <w:szCs w:val="18"/>
        </w:rPr>
        <w:t xml:space="preserve">Main four guidelines corpus corresponds </w:t>
      </w:r>
      <w:r w:rsidR="00A0378B" w:rsidRPr="00A0378B">
        <w:rPr>
          <w:i/>
          <w:iCs/>
          <w:sz w:val="18"/>
          <w:szCs w:val="18"/>
        </w:rPr>
        <w:t>to the four guidelines used in the original MIMIC-CDM study to evaluate whether the LLMs fail to order the exams required by diagnostic guidelines.</w:t>
      </w:r>
      <w:r w:rsidR="00A0378B" w:rsidRPr="00A0378B">
        <w:rPr>
          <w:b/>
          <w:bCs/>
          <w:i/>
          <w:iCs/>
          <w:sz w:val="18"/>
          <w:szCs w:val="18"/>
        </w:rPr>
        <w:t xml:space="preserve"> </w:t>
      </w:r>
      <w:proofErr w:type="gramStart"/>
      <w:r w:rsidR="008E69E9" w:rsidRPr="008E69E9">
        <w:rPr>
          <w:b/>
          <w:bCs/>
          <w:i/>
          <w:iCs/>
          <w:sz w:val="18"/>
          <w:szCs w:val="18"/>
        </w:rPr>
        <w:t>a,</w:t>
      </w:r>
      <w:proofErr w:type="gramEnd"/>
      <w:r w:rsidR="008E69E9" w:rsidRPr="008E69E9">
        <w:rPr>
          <w:i/>
          <w:iCs/>
          <w:sz w:val="18"/>
          <w:szCs w:val="18"/>
        </w:rPr>
        <w:t xml:space="preserve"> Guideline-level composition of retrieved chunks, stratified by the ground-truth pathology of the patient case. For each pathology, bars show the mean percentage of retrieved chunks originating from each of the four pathology-specific guideline groups. Within each seed, retrieval proportions were averaged across the eight evaluated LLM backbones; bars show the mean across the three resulting seed-level means (n = 3 seeds), and error bars denote ±1 </w:t>
      </w:r>
      <w:proofErr w:type="spellStart"/>
      <w:r w:rsidR="008E69E9" w:rsidRPr="008E69E9">
        <w:rPr>
          <w:i/>
          <w:iCs/>
          <w:sz w:val="18"/>
          <w:szCs w:val="18"/>
        </w:rPr>
        <w:t>s.d.</w:t>
      </w:r>
      <w:proofErr w:type="spellEnd"/>
      <w:r w:rsidR="008E69E9" w:rsidRPr="008E69E9">
        <w:rPr>
          <w:i/>
          <w:iCs/>
          <w:sz w:val="18"/>
          <w:szCs w:val="18"/>
        </w:rPr>
        <w:t xml:space="preserve"> across these seed-level means. Solid bars denote the guideline group corresponding to the ground-truth patient pathology, whereas hatched bars denote off-target guideline groups. </w:t>
      </w:r>
      <w:r w:rsidR="008E69E9" w:rsidRPr="008E69E9">
        <w:rPr>
          <w:b/>
          <w:bCs/>
          <w:i/>
          <w:iCs/>
          <w:sz w:val="18"/>
          <w:szCs w:val="18"/>
        </w:rPr>
        <w:t>b,</w:t>
      </w:r>
      <w:r w:rsidR="008E69E9" w:rsidRPr="008E69E9">
        <w:rPr>
          <w:i/>
          <w:iCs/>
          <w:sz w:val="18"/>
          <w:szCs w:val="18"/>
        </w:rPr>
        <w:t xml:space="preserve"> Document-level composition of retrieved chunks. Rows represent individual guideline or reference documents and columns represent the ground-truth patient pathology. Cell values show the mean percentage of retrieved chunks originating from each document, calculated across the same three seed-level means after averaging across the eight backbones within each seed (n = 3 seeds). The colored strip adjacent to each row denotes the pathology associated with the source document. Black outlines indicate document blocks whose pathology matches the ground-truth patient pathology. Guideline sources are identified by the issuing organization or guideline series for organizational guidelines and by first author for article-based sources; years indicate the corresponding publication or guideline version.</w:t>
      </w:r>
    </w:p>
    <w:p w14:paraId="3EAB7ACB" w14:textId="77777777" w:rsidR="00281126" w:rsidRDefault="00281126">
      <w:pPr>
        <w:spacing w:after="160" w:line="278" w:lineRule="auto"/>
        <w:jc w:val="lef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br w:type="page"/>
      </w:r>
    </w:p>
    <w:p w14:paraId="5F0F7A3A" w14:textId="7D3E5403" w:rsidR="00281126" w:rsidRDefault="00281126" w:rsidP="00281126">
      <w:pPr>
        <w:jc w:val="center"/>
        <w:rPr>
          <w:b/>
          <w:bCs/>
          <w:i/>
          <w:iCs/>
          <w:sz w:val="18"/>
          <w:szCs w:val="18"/>
        </w:rPr>
      </w:pPr>
      <w:r w:rsidRPr="00281126">
        <w:rPr>
          <w:b/>
          <w:bCs/>
          <w:i/>
          <w:iCs/>
          <w:noProof/>
          <w:sz w:val="18"/>
          <w:szCs w:val="18"/>
        </w:rPr>
        <w:lastRenderedPageBreak/>
        <w:drawing>
          <wp:inline distT="0" distB="0" distL="0" distR="0" wp14:anchorId="5B29E42F" wp14:editId="7123CAE5">
            <wp:extent cx="5314950" cy="5838825"/>
            <wp:effectExtent l="0" t="0" r="0" b="9525"/>
            <wp:docPr id="50347989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479895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C79C3" w14:textId="5FF34EB5" w:rsidR="008F7526" w:rsidRDefault="00281126" w:rsidP="002B06F6">
      <w:pPr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Supplementary</w:t>
      </w:r>
      <w:r w:rsidRPr="00EC329C">
        <w:rPr>
          <w:b/>
          <w:bCs/>
          <w:i/>
          <w:iCs/>
          <w:sz w:val="18"/>
          <w:szCs w:val="18"/>
        </w:rPr>
        <w:t xml:space="preserve"> Fig. </w:t>
      </w:r>
      <w:r w:rsidR="00086770">
        <w:rPr>
          <w:b/>
          <w:bCs/>
          <w:i/>
          <w:iCs/>
          <w:sz w:val="18"/>
          <w:szCs w:val="18"/>
        </w:rPr>
        <w:t>3</w:t>
      </w:r>
      <w:r w:rsidRPr="00EC329C">
        <w:rPr>
          <w:b/>
          <w:bCs/>
          <w:i/>
          <w:iCs/>
          <w:sz w:val="18"/>
          <w:szCs w:val="18"/>
        </w:rPr>
        <w:t xml:space="preserve"> | Composition of guideline retrieval across patient pathologies and source documents</w:t>
      </w:r>
      <w:r>
        <w:rPr>
          <w:b/>
          <w:bCs/>
          <w:i/>
          <w:iCs/>
          <w:sz w:val="18"/>
          <w:szCs w:val="18"/>
        </w:rPr>
        <w:t xml:space="preserve">, </w:t>
      </w:r>
      <w:r w:rsidR="003456B5">
        <w:rPr>
          <w:b/>
          <w:bCs/>
          <w:i/>
          <w:iCs/>
          <w:sz w:val="18"/>
          <w:szCs w:val="18"/>
        </w:rPr>
        <w:t>augmented corpus, raw PDF</w:t>
      </w:r>
      <w:r w:rsidRPr="00EC329C">
        <w:rPr>
          <w:b/>
          <w:bCs/>
          <w:i/>
          <w:iCs/>
          <w:sz w:val="18"/>
          <w:szCs w:val="18"/>
        </w:rPr>
        <w:t>.</w:t>
      </w:r>
      <w:r w:rsidR="00F6450F">
        <w:rPr>
          <w:b/>
          <w:bCs/>
          <w:i/>
          <w:iCs/>
          <w:sz w:val="18"/>
          <w:szCs w:val="18"/>
        </w:rPr>
        <w:t xml:space="preserve"> </w:t>
      </w:r>
      <w:proofErr w:type="gramStart"/>
      <w:r w:rsidR="008E69E9" w:rsidRPr="008E69E9">
        <w:rPr>
          <w:b/>
          <w:bCs/>
          <w:i/>
          <w:iCs/>
          <w:sz w:val="18"/>
          <w:szCs w:val="18"/>
        </w:rPr>
        <w:t>a,</w:t>
      </w:r>
      <w:proofErr w:type="gramEnd"/>
      <w:r w:rsidR="008E69E9" w:rsidRPr="008E69E9">
        <w:rPr>
          <w:i/>
          <w:iCs/>
          <w:sz w:val="18"/>
          <w:szCs w:val="18"/>
        </w:rPr>
        <w:t xml:space="preserve"> Guideline-level composition of retrieved chunks, stratified by the ground-truth pathology of the patient case. For each pathology, bars show the mean percentage of retrieved chunks originating from each of the four pathology-specific guideline groups. Within each seed, retrieval proportions were averaged across the eight evaluated LLM backbones; bars show the mean across the three resulting seed-level means (n = 3 seeds), and error bars denote ±1 </w:t>
      </w:r>
      <w:proofErr w:type="spellStart"/>
      <w:r w:rsidR="008E69E9" w:rsidRPr="008E69E9">
        <w:rPr>
          <w:i/>
          <w:iCs/>
          <w:sz w:val="18"/>
          <w:szCs w:val="18"/>
        </w:rPr>
        <w:t>s.d.</w:t>
      </w:r>
      <w:proofErr w:type="spellEnd"/>
      <w:r w:rsidR="008E69E9" w:rsidRPr="008E69E9">
        <w:rPr>
          <w:i/>
          <w:iCs/>
          <w:sz w:val="18"/>
          <w:szCs w:val="18"/>
        </w:rPr>
        <w:t xml:space="preserve"> across these seed-level means. Solid bars denote the guideline group corresponding to the ground-truth patient pathology, whereas hatched bars denote off-target guideline groups. </w:t>
      </w:r>
      <w:r w:rsidR="008E69E9" w:rsidRPr="008E69E9">
        <w:rPr>
          <w:b/>
          <w:bCs/>
          <w:i/>
          <w:iCs/>
          <w:sz w:val="18"/>
          <w:szCs w:val="18"/>
        </w:rPr>
        <w:t>b,</w:t>
      </w:r>
      <w:r w:rsidR="008E69E9" w:rsidRPr="008E69E9">
        <w:rPr>
          <w:i/>
          <w:iCs/>
          <w:sz w:val="18"/>
          <w:szCs w:val="18"/>
        </w:rPr>
        <w:t xml:space="preserve"> Document-level composition of retrieved chunks. Rows represent individual guideline or reference documents and columns represent the ground-truth patient pathology. Cell values show the mean percentage of retrieved chunks originating from each document, calculated across the same three seed-level means after averaging across the eight backbones within each seed (n = 3 seeds). The colored strip adjacent to each row denotes the pathology associated with the source document. Black outlines indicate document blocks whose pathology matches the ground-truth patient pathology. Guideline sources are identified by the issuing organization or guideline series for organizational guidelines and by first author for article-based sources; years indicate the corresponding publication or guideline version.</w:t>
      </w:r>
    </w:p>
    <w:p w14:paraId="0F42FBE0" w14:textId="77777777" w:rsidR="002B06F6" w:rsidRDefault="002B06F6" w:rsidP="002B06F6">
      <w:pPr>
        <w:jc w:val="center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br w:type="page"/>
      </w:r>
      <w:r w:rsidRPr="00EC329C">
        <w:rPr>
          <w:noProof/>
        </w:rPr>
        <w:lastRenderedPageBreak/>
        <w:drawing>
          <wp:inline distT="0" distB="0" distL="0" distR="0" wp14:anchorId="109ABA19" wp14:editId="37D66EB5">
            <wp:extent cx="5427556" cy="7918788"/>
            <wp:effectExtent l="0" t="0" r="1905" b="6350"/>
            <wp:docPr id="203263059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630599" name="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178" cy="7976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B7800" w14:textId="3861EFD2" w:rsidR="002B06F6" w:rsidRPr="002B06F6" w:rsidRDefault="001A3FAD" w:rsidP="00F6450F">
      <w:pPr>
        <w:spacing w:after="160" w:line="278" w:lineRule="auto"/>
        <w:rPr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Supplementary</w:t>
      </w:r>
      <w:r w:rsidRPr="00EC329C">
        <w:rPr>
          <w:b/>
          <w:bCs/>
          <w:i/>
          <w:iCs/>
          <w:sz w:val="18"/>
          <w:szCs w:val="18"/>
        </w:rPr>
        <w:t xml:space="preserve"> Fig. </w:t>
      </w:r>
      <w:r>
        <w:rPr>
          <w:b/>
          <w:bCs/>
          <w:i/>
          <w:iCs/>
          <w:sz w:val="18"/>
          <w:szCs w:val="18"/>
        </w:rPr>
        <w:t>4</w:t>
      </w:r>
      <w:r w:rsidR="002B06F6">
        <w:rPr>
          <w:b/>
          <w:bCs/>
          <w:i/>
          <w:iCs/>
          <w:sz w:val="18"/>
          <w:szCs w:val="18"/>
        </w:rPr>
        <w:t xml:space="preserve"> </w:t>
      </w:r>
      <w:r w:rsidR="002B06F6" w:rsidRPr="00EC329C">
        <w:rPr>
          <w:b/>
          <w:bCs/>
          <w:i/>
          <w:iCs/>
          <w:sz w:val="18"/>
          <w:szCs w:val="18"/>
        </w:rPr>
        <w:t xml:space="preserve">| </w:t>
      </w:r>
      <w:r w:rsidR="002B06F6" w:rsidRPr="004F7446">
        <w:rPr>
          <w:b/>
          <w:bCs/>
          <w:i/>
          <w:iCs/>
          <w:sz w:val="18"/>
          <w:szCs w:val="18"/>
        </w:rPr>
        <w:t>Composition of guideline retrieval across patient pathologies and source documents from the ambiguous corpus</w:t>
      </w:r>
      <w:r w:rsidR="002B06F6">
        <w:rPr>
          <w:b/>
          <w:bCs/>
          <w:i/>
          <w:iCs/>
          <w:sz w:val="18"/>
          <w:szCs w:val="18"/>
        </w:rPr>
        <w:t>.</w:t>
      </w:r>
      <w:r w:rsidR="00F6450F">
        <w:rPr>
          <w:b/>
          <w:bCs/>
          <w:i/>
          <w:iCs/>
          <w:sz w:val="18"/>
          <w:szCs w:val="18"/>
        </w:rPr>
        <w:t xml:space="preserve"> </w:t>
      </w:r>
      <w:r w:rsidR="00F6450F" w:rsidRPr="00F6450F">
        <w:rPr>
          <w:i/>
          <w:iCs/>
          <w:sz w:val="18"/>
          <w:szCs w:val="18"/>
        </w:rPr>
        <w:t>Figure also available the paper’s extended data section, but added here again to allow for easy comparison.</w:t>
      </w:r>
      <w:r w:rsidR="002B06F6">
        <w:rPr>
          <w:b/>
          <w:bCs/>
          <w:i/>
          <w:iCs/>
          <w:sz w:val="18"/>
          <w:szCs w:val="18"/>
        </w:rPr>
        <w:t xml:space="preserve"> </w:t>
      </w:r>
      <w:r w:rsidR="002B06F6" w:rsidRPr="001D07BC">
        <w:rPr>
          <w:b/>
          <w:bCs/>
          <w:i/>
          <w:iCs/>
          <w:sz w:val="18"/>
          <w:szCs w:val="18"/>
        </w:rPr>
        <w:t xml:space="preserve">a, </w:t>
      </w:r>
      <w:proofErr w:type="gramStart"/>
      <w:r w:rsidR="002B06F6" w:rsidRPr="001D07BC">
        <w:rPr>
          <w:i/>
          <w:iCs/>
          <w:sz w:val="18"/>
          <w:szCs w:val="18"/>
        </w:rPr>
        <w:t>Retrieved</w:t>
      </w:r>
      <w:proofErr w:type="gramEnd"/>
      <w:r w:rsidR="002B06F6" w:rsidRPr="001D07BC">
        <w:rPr>
          <w:i/>
          <w:iCs/>
          <w:sz w:val="18"/>
          <w:szCs w:val="18"/>
        </w:rPr>
        <w:t xml:space="preserve"> chunks by guideline type and patient pathology; solid and hatched bars indicate ground-truth and off-target pathologies, respectively (mean ± </w:t>
      </w:r>
      <w:proofErr w:type="spellStart"/>
      <w:r w:rsidR="002B06F6" w:rsidRPr="001D07BC">
        <w:rPr>
          <w:i/>
          <w:iCs/>
          <w:sz w:val="18"/>
          <w:szCs w:val="18"/>
        </w:rPr>
        <w:t>s.d.</w:t>
      </w:r>
      <w:proofErr w:type="spellEnd"/>
      <w:r w:rsidR="002B06F6" w:rsidRPr="001D07BC">
        <w:rPr>
          <w:i/>
          <w:iCs/>
          <w:sz w:val="18"/>
          <w:szCs w:val="18"/>
        </w:rPr>
        <w:t>, n = 3 seeds).</w:t>
      </w:r>
      <w:r w:rsidR="002B06F6" w:rsidRPr="001D07BC">
        <w:rPr>
          <w:b/>
          <w:bCs/>
          <w:i/>
          <w:iCs/>
          <w:sz w:val="18"/>
          <w:szCs w:val="18"/>
        </w:rPr>
        <w:t xml:space="preserve"> b</w:t>
      </w:r>
      <w:r w:rsidR="002B06F6" w:rsidRPr="001D07BC">
        <w:rPr>
          <w:i/>
          <w:iCs/>
          <w:sz w:val="18"/>
          <w:szCs w:val="18"/>
        </w:rPr>
        <w:t>, Document-level composition; values show mean retrieved-chunk percentages, with row colors denoting source pathology and black outlines indicating pathology-matched document blocks</w:t>
      </w:r>
      <w:r w:rsidR="00F6450F">
        <w:rPr>
          <w:i/>
          <w:iCs/>
          <w:sz w:val="18"/>
          <w:szCs w:val="18"/>
        </w:rPr>
        <w:t>.</w:t>
      </w:r>
    </w:p>
    <w:p w14:paraId="6E6A74E3" w14:textId="77777777" w:rsidR="008F7526" w:rsidRDefault="008F7526" w:rsidP="008F7526">
      <w:pPr>
        <w:rPr>
          <w:b/>
          <w:bCs/>
          <w:i/>
          <w:iCs/>
          <w:sz w:val="18"/>
          <w:szCs w:val="18"/>
        </w:rPr>
      </w:pPr>
      <w:r w:rsidRPr="008F7526">
        <w:rPr>
          <w:b/>
          <w:bCs/>
          <w:i/>
          <w:iCs/>
          <w:noProof/>
          <w:sz w:val="18"/>
          <w:szCs w:val="18"/>
        </w:rPr>
        <w:lastRenderedPageBreak/>
        <w:drawing>
          <wp:inline distT="0" distB="0" distL="0" distR="0" wp14:anchorId="48CFF387" wp14:editId="6CBE69E4">
            <wp:extent cx="5760720" cy="7879715"/>
            <wp:effectExtent l="0" t="0" r="0" b="6985"/>
            <wp:docPr id="213643199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431997" name="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7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319C3" w14:textId="12F7E2E2" w:rsidR="000957FC" w:rsidRDefault="008F7526" w:rsidP="008F7526">
      <w:pPr>
        <w:rPr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Supplementary</w:t>
      </w:r>
      <w:r w:rsidRPr="00EC329C">
        <w:rPr>
          <w:b/>
          <w:bCs/>
          <w:i/>
          <w:iCs/>
          <w:sz w:val="18"/>
          <w:szCs w:val="18"/>
        </w:rPr>
        <w:t xml:space="preserve"> Fig. </w:t>
      </w:r>
      <w:r w:rsidR="001A3FAD">
        <w:rPr>
          <w:b/>
          <w:bCs/>
          <w:i/>
          <w:iCs/>
          <w:sz w:val="18"/>
          <w:szCs w:val="18"/>
        </w:rPr>
        <w:t>5</w:t>
      </w:r>
      <w:r w:rsidRPr="00EC329C">
        <w:rPr>
          <w:b/>
          <w:bCs/>
          <w:i/>
          <w:iCs/>
          <w:sz w:val="18"/>
          <w:szCs w:val="18"/>
        </w:rPr>
        <w:t xml:space="preserve"> | </w:t>
      </w:r>
      <w:r>
        <w:rPr>
          <w:b/>
          <w:bCs/>
          <w:i/>
          <w:iCs/>
          <w:sz w:val="18"/>
          <w:szCs w:val="18"/>
        </w:rPr>
        <w:t xml:space="preserve">Detailed per-model report, Llama3.2-1B. </w:t>
      </w:r>
      <w:r w:rsidRPr="008F7526">
        <w:rPr>
          <w:i/>
          <w:iCs/>
          <w:sz w:val="18"/>
          <w:szCs w:val="18"/>
        </w:rPr>
        <w:t>Quantized to 4.0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bpw</w:t>
      </w:r>
      <w:r>
        <w:rPr>
          <w:i/>
          <w:iCs/>
          <w:sz w:val="18"/>
          <w:szCs w:val="18"/>
        </w:rPr>
        <w:t>, r</w:t>
      </w:r>
      <w:r w:rsidRPr="008F7526">
        <w:rPr>
          <w:i/>
          <w:iCs/>
          <w:sz w:val="18"/>
          <w:szCs w:val="18"/>
        </w:rPr>
        <w:t xml:space="preserve">un over </w:t>
      </w:r>
      <w:r>
        <w:rPr>
          <w:i/>
          <w:iCs/>
          <w:sz w:val="18"/>
          <w:szCs w:val="18"/>
        </w:rPr>
        <w:t>n=</w:t>
      </w:r>
      <w:r w:rsidRPr="008F7526">
        <w:rPr>
          <w:i/>
          <w:iCs/>
          <w:sz w:val="18"/>
          <w:szCs w:val="18"/>
        </w:rPr>
        <w:t>3 seeds. Error bars indicate sample standard deviations across the three decoding seeds.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Each backbone–condition was evaluated on all 2,400 MIMIC-CDM cases.</w:t>
      </w:r>
    </w:p>
    <w:p w14:paraId="5C292311" w14:textId="34547B4A" w:rsidR="008F7526" w:rsidRPr="000957FC" w:rsidRDefault="000957FC" w:rsidP="000957FC">
      <w:pPr>
        <w:spacing w:after="160" w:line="278" w:lineRule="auto"/>
        <w:jc w:val="lef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br w:type="page"/>
      </w:r>
    </w:p>
    <w:p w14:paraId="093BCE1D" w14:textId="64566713" w:rsidR="008F7526" w:rsidRDefault="000957FC" w:rsidP="008F7526">
      <w:pPr>
        <w:rPr>
          <w:b/>
          <w:bCs/>
          <w:i/>
          <w:iCs/>
          <w:sz w:val="18"/>
          <w:szCs w:val="18"/>
        </w:rPr>
      </w:pPr>
      <w:r w:rsidRPr="000957FC">
        <w:rPr>
          <w:b/>
          <w:bCs/>
          <w:i/>
          <w:iCs/>
          <w:noProof/>
          <w:sz w:val="18"/>
          <w:szCs w:val="18"/>
        </w:rPr>
        <w:lastRenderedPageBreak/>
        <w:drawing>
          <wp:inline distT="0" distB="0" distL="0" distR="0" wp14:anchorId="61BD1F9D" wp14:editId="42688E90">
            <wp:extent cx="5760720" cy="7879715"/>
            <wp:effectExtent l="0" t="0" r="0" b="6985"/>
            <wp:docPr id="175594197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941978" name="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7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1F95B" w14:textId="685626B6" w:rsidR="00C75F70" w:rsidRDefault="00C75F70" w:rsidP="00C75F70">
      <w:pPr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Supplementary</w:t>
      </w:r>
      <w:r w:rsidRPr="00EC329C">
        <w:rPr>
          <w:b/>
          <w:bCs/>
          <w:i/>
          <w:iCs/>
          <w:sz w:val="18"/>
          <w:szCs w:val="18"/>
        </w:rPr>
        <w:t xml:space="preserve"> Fig.</w:t>
      </w:r>
      <w:r w:rsidR="00777D98">
        <w:rPr>
          <w:b/>
          <w:bCs/>
          <w:i/>
          <w:iCs/>
          <w:sz w:val="18"/>
          <w:szCs w:val="18"/>
        </w:rPr>
        <w:t xml:space="preserve"> </w:t>
      </w:r>
      <w:r w:rsidR="001A3FAD">
        <w:rPr>
          <w:b/>
          <w:bCs/>
          <w:i/>
          <w:iCs/>
          <w:sz w:val="18"/>
          <w:szCs w:val="18"/>
        </w:rPr>
        <w:t>6</w:t>
      </w:r>
      <w:r w:rsidRPr="00EC329C">
        <w:rPr>
          <w:b/>
          <w:bCs/>
          <w:i/>
          <w:iCs/>
          <w:sz w:val="18"/>
          <w:szCs w:val="18"/>
        </w:rPr>
        <w:t xml:space="preserve"> | </w:t>
      </w:r>
      <w:r>
        <w:rPr>
          <w:b/>
          <w:bCs/>
          <w:i/>
          <w:iCs/>
          <w:sz w:val="18"/>
          <w:szCs w:val="18"/>
        </w:rPr>
        <w:t xml:space="preserve">Detailed per-model report, Mistral-7B. </w:t>
      </w:r>
      <w:r w:rsidRPr="008F7526">
        <w:rPr>
          <w:i/>
          <w:iCs/>
          <w:sz w:val="18"/>
          <w:szCs w:val="18"/>
        </w:rPr>
        <w:t>Quantized to 4.0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bpw</w:t>
      </w:r>
      <w:r>
        <w:rPr>
          <w:i/>
          <w:iCs/>
          <w:sz w:val="18"/>
          <w:szCs w:val="18"/>
        </w:rPr>
        <w:t>, r</w:t>
      </w:r>
      <w:r w:rsidRPr="008F7526">
        <w:rPr>
          <w:i/>
          <w:iCs/>
          <w:sz w:val="18"/>
          <w:szCs w:val="18"/>
        </w:rPr>
        <w:t xml:space="preserve">un over </w:t>
      </w:r>
      <w:r>
        <w:rPr>
          <w:i/>
          <w:iCs/>
          <w:sz w:val="18"/>
          <w:szCs w:val="18"/>
        </w:rPr>
        <w:t>n=</w:t>
      </w:r>
      <w:r w:rsidRPr="008F7526">
        <w:rPr>
          <w:i/>
          <w:iCs/>
          <w:sz w:val="18"/>
          <w:szCs w:val="18"/>
        </w:rPr>
        <w:t>3 seeds. Error bars indicate sample standard deviations across the three decoding seeds.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Each backbone–condition was evaluated on all 2,400 MIMIC-CDM cases.</w:t>
      </w:r>
    </w:p>
    <w:p w14:paraId="43F47299" w14:textId="311786FA" w:rsidR="000957FC" w:rsidRDefault="000957FC">
      <w:pPr>
        <w:spacing w:after="160" w:line="278" w:lineRule="auto"/>
        <w:jc w:val="lef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br w:type="page"/>
      </w:r>
    </w:p>
    <w:p w14:paraId="5862C32D" w14:textId="68AF0E20" w:rsidR="000957FC" w:rsidRDefault="000957FC" w:rsidP="000957FC">
      <w:pPr>
        <w:rPr>
          <w:b/>
          <w:bCs/>
          <w:i/>
          <w:iCs/>
          <w:sz w:val="18"/>
          <w:szCs w:val="18"/>
        </w:rPr>
      </w:pPr>
      <w:r w:rsidRPr="000957FC">
        <w:rPr>
          <w:b/>
          <w:bCs/>
          <w:i/>
          <w:iCs/>
          <w:noProof/>
          <w:sz w:val="18"/>
          <w:szCs w:val="18"/>
        </w:rPr>
        <w:lastRenderedPageBreak/>
        <w:drawing>
          <wp:inline distT="0" distB="0" distL="0" distR="0" wp14:anchorId="1EBDBFAA" wp14:editId="0F34F2D4">
            <wp:extent cx="5760720" cy="7879715"/>
            <wp:effectExtent l="0" t="0" r="0" b="6985"/>
            <wp:docPr id="131592600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926006" name="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7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67FF8" w14:textId="52072883" w:rsidR="003E7CA2" w:rsidRDefault="000957FC" w:rsidP="000957FC">
      <w:pPr>
        <w:rPr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Supplementary</w:t>
      </w:r>
      <w:r w:rsidRPr="00EC329C">
        <w:rPr>
          <w:b/>
          <w:bCs/>
          <w:i/>
          <w:iCs/>
          <w:sz w:val="18"/>
          <w:szCs w:val="18"/>
        </w:rPr>
        <w:t xml:space="preserve"> Fig.</w:t>
      </w:r>
      <w:r>
        <w:rPr>
          <w:b/>
          <w:bCs/>
          <w:i/>
          <w:iCs/>
          <w:sz w:val="18"/>
          <w:szCs w:val="18"/>
        </w:rPr>
        <w:t xml:space="preserve"> </w:t>
      </w:r>
      <w:r w:rsidR="001A3FAD">
        <w:rPr>
          <w:b/>
          <w:bCs/>
          <w:i/>
          <w:iCs/>
          <w:sz w:val="18"/>
          <w:szCs w:val="18"/>
        </w:rPr>
        <w:t>7</w:t>
      </w:r>
      <w:r w:rsidRPr="00EC329C">
        <w:rPr>
          <w:b/>
          <w:bCs/>
          <w:i/>
          <w:iCs/>
          <w:sz w:val="18"/>
          <w:szCs w:val="18"/>
        </w:rPr>
        <w:t xml:space="preserve"> | </w:t>
      </w:r>
      <w:r>
        <w:rPr>
          <w:b/>
          <w:bCs/>
          <w:i/>
          <w:iCs/>
          <w:sz w:val="18"/>
          <w:szCs w:val="18"/>
        </w:rPr>
        <w:t xml:space="preserve">Detailed per-model report, Llama3-UltraMedical-8B. </w:t>
      </w:r>
      <w:r w:rsidRPr="008F7526">
        <w:rPr>
          <w:i/>
          <w:iCs/>
          <w:sz w:val="18"/>
          <w:szCs w:val="18"/>
        </w:rPr>
        <w:t>Quantized to 4.0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bpw</w:t>
      </w:r>
      <w:r>
        <w:rPr>
          <w:i/>
          <w:iCs/>
          <w:sz w:val="18"/>
          <w:szCs w:val="18"/>
        </w:rPr>
        <w:t>, r</w:t>
      </w:r>
      <w:r w:rsidRPr="008F7526">
        <w:rPr>
          <w:i/>
          <w:iCs/>
          <w:sz w:val="18"/>
          <w:szCs w:val="18"/>
        </w:rPr>
        <w:t xml:space="preserve">un over </w:t>
      </w:r>
      <w:r>
        <w:rPr>
          <w:i/>
          <w:iCs/>
          <w:sz w:val="18"/>
          <w:szCs w:val="18"/>
        </w:rPr>
        <w:t>n=</w:t>
      </w:r>
      <w:r w:rsidRPr="008F7526">
        <w:rPr>
          <w:i/>
          <w:iCs/>
          <w:sz w:val="18"/>
          <w:szCs w:val="18"/>
        </w:rPr>
        <w:t>3 seeds. Error bars indicate sample standard deviations across the three decoding seeds.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Each backbone–condition was evaluated on all 2,400 MIMIC-CDM cases.</w:t>
      </w:r>
    </w:p>
    <w:p w14:paraId="14274768" w14:textId="77777777" w:rsidR="003E7CA2" w:rsidRDefault="003E7CA2">
      <w:pPr>
        <w:spacing w:after="160" w:line="278" w:lineRule="auto"/>
        <w:jc w:val="lef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br w:type="page"/>
      </w:r>
    </w:p>
    <w:p w14:paraId="2CAFA32F" w14:textId="5082C674" w:rsidR="003E7CA2" w:rsidRDefault="003E7CA2" w:rsidP="003E7CA2">
      <w:pPr>
        <w:rPr>
          <w:b/>
          <w:bCs/>
          <w:i/>
          <w:iCs/>
          <w:sz w:val="18"/>
          <w:szCs w:val="18"/>
        </w:rPr>
      </w:pPr>
      <w:r w:rsidRPr="003E7CA2">
        <w:rPr>
          <w:b/>
          <w:bCs/>
          <w:i/>
          <w:iCs/>
          <w:noProof/>
          <w:sz w:val="18"/>
          <w:szCs w:val="18"/>
        </w:rPr>
        <w:lastRenderedPageBreak/>
        <w:drawing>
          <wp:inline distT="0" distB="0" distL="0" distR="0" wp14:anchorId="440429AE" wp14:editId="745284A3">
            <wp:extent cx="5760720" cy="7879715"/>
            <wp:effectExtent l="0" t="0" r="0" b="6985"/>
            <wp:docPr id="33575142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751420" name=""/>
                    <pic:cNvPicPr/>
                  </pic:nvPicPr>
                  <pic:blipFill>
                    <a:blip r:embed="rId23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7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40D3A" w14:textId="533DC302" w:rsidR="003D5517" w:rsidRDefault="003E7CA2" w:rsidP="003E7CA2">
      <w:pPr>
        <w:rPr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Supplementary</w:t>
      </w:r>
      <w:r w:rsidRPr="00EC329C">
        <w:rPr>
          <w:b/>
          <w:bCs/>
          <w:i/>
          <w:iCs/>
          <w:sz w:val="18"/>
          <w:szCs w:val="18"/>
        </w:rPr>
        <w:t xml:space="preserve"> Fig.</w:t>
      </w:r>
      <w:r>
        <w:rPr>
          <w:b/>
          <w:bCs/>
          <w:i/>
          <w:iCs/>
          <w:sz w:val="18"/>
          <w:szCs w:val="18"/>
        </w:rPr>
        <w:t xml:space="preserve"> </w:t>
      </w:r>
      <w:r w:rsidR="001A3FAD">
        <w:rPr>
          <w:b/>
          <w:bCs/>
          <w:i/>
          <w:iCs/>
          <w:sz w:val="18"/>
          <w:szCs w:val="18"/>
        </w:rPr>
        <w:t>8</w:t>
      </w:r>
      <w:r w:rsidRPr="00EC329C">
        <w:rPr>
          <w:b/>
          <w:bCs/>
          <w:i/>
          <w:iCs/>
          <w:sz w:val="18"/>
          <w:szCs w:val="18"/>
        </w:rPr>
        <w:t xml:space="preserve"> | </w:t>
      </w:r>
      <w:r>
        <w:rPr>
          <w:b/>
          <w:bCs/>
          <w:i/>
          <w:iCs/>
          <w:sz w:val="18"/>
          <w:szCs w:val="18"/>
        </w:rPr>
        <w:t xml:space="preserve">Detailed per-model report, Llama3.1-8B. </w:t>
      </w:r>
      <w:r w:rsidRPr="008F7526">
        <w:rPr>
          <w:i/>
          <w:iCs/>
          <w:sz w:val="18"/>
          <w:szCs w:val="18"/>
        </w:rPr>
        <w:t>Quantized to 4.0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bpw</w:t>
      </w:r>
      <w:r>
        <w:rPr>
          <w:i/>
          <w:iCs/>
          <w:sz w:val="18"/>
          <w:szCs w:val="18"/>
        </w:rPr>
        <w:t>, r</w:t>
      </w:r>
      <w:r w:rsidRPr="008F7526">
        <w:rPr>
          <w:i/>
          <w:iCs/>
          <w:sz w:val="18"/>
          <w:szCs w:val="18"/>
        </w:rPr>
        <w:t xml:space="preserve">un over </w:t>
      </w:r>
      <w:r>
        <w:rPr>
          <w:i/>
          <w:iCs/>
          <w:sz w:val="18"/>
          <w:szCs w:val="18"/>
        </w:rPr>
        <w:t>n=</w:t>
      </w:r>
      <w:r w:rsidRPr="008F7526">
        <w:rPr>
          <w:i/>
          <w:iCs/>
          <w:sz w:val="18"/>
          <w:szCs w:val="18"/>
        </w:rPr>
        <w:t>3 seeds. Error bars indicate sample standard deviations across the three decoding seeds.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Each backbone–condition was evaluated on all 2,400 MIMIC-CDM cases.</w:t>
      </w:r>
    </w:p>
    <w:p w14:paraId="4361D71E" w14:textId="77777777" w:rsidR="003D5517" w:rsidRDefault="003D5517">
      <w:pPr>
        <w:spacing w:after="160" w:line="278" w:lineRule="auto"/>
        <w:jc w:val="lef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br w:type="page"/>
      </w:r>
    </w:p>
    <w:p w14:paraId="7CEA5099" w14:textId="0DC1FEFA" w:rsidR="003D5517" w:rsidRDefault="003D5517" w:rsidP="003D5517">
      <w:pPr>
        <w:rPr>
          <w:b/>
          <w:bCs/>
          <w:i/>
          <w:iCs/>
          <w:sz w:val="18"/>
          <w:szCs w:val="18"/>
        </w:rPr>
      </w:pPr>
      <w:r w:rsidRPr="003D5517">
        <w:rPr>
          <w:b/>
          <w:bCs/>
          <w:i/>
          <w:iCs/>
          <w:noProof/>
          <w:sz w:val="18"/>
          <w:szCs w:val="18"/>
        </w:rPr>
        <w:lastRenderedPageBreak/>
        <w:drawing>
          <wp:inline distT="0" distB="0" distL="0" distR="0" wp14:anchorId="665F8533" wp14:editId="4149A643">
            <wp:extent cx="5760720" cy="7879715"/>
            <wp:effectExtent l="0" t="0" r="0" b="6985"/>
            <wp:docPr id="39453588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535882" name=""/>
                    <pic:cNvPicPr/>
                  </pic:nvPicPr>
                  <pic:blipFill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7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2EE6D" w14:textId="545E7135" w:rsidR="003D5517" w:rsidRDefault="003D5517" w:rsidP="003D5517">
      <w:pPr>
        <w:rPr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Supplementary</w:t>
      </w:r>
      <w:r w:rsidRPr="00EC329C">
        <w:rPr>
          <w:b/>
          <w:bCs/>
          <w:i/>
          <w:iCs/>
          <w:sz w:val="18"/>
          <w:szCs w:val="18"/>
        </w:rPr>
        <w:t xml:space="preserve"> Fig.</w:t>
      </w:r>
      <w:r>
        <w:rPr>
          <w:b/>
          <w:bCs/>
          <w:i/>
          <w:iCs/>
          <w:sz w:val="18"/>
          <w:szCs w:val="18"/>
        </w:rPr>
        <w:t xml:space="preserve"> </w:t>
      </w:r>
      <w:r w:rsidR="001A3FAD">
        <w:rPr>
          <w:b/>
          <w:bCs/>
          <w:i/>
          <w:iCs/>
          <w:sz w:val="18"/>
          <w:szCs w:val="18"/>
        </w:rPr>
        <w:t>9</w:t>
      </w:r>
      <w:r w:rsidRPr="00EC329C">
        <w:rPr>
          <w:b/>
          <w:bCs/>
          <w:i/>
          <w:iCs/>
          <w:sz w:val="18"/>
          <w:szCs w:val="18"/>
        </w:rPr>
        <w:t xml:space="preserve"> | </w:t>
      </w:r>
      <w:r>
        <w:rPr>
          <w:b/>
          <w:bCs/>
          <w:i/>
          <w:iCs/>
          <w:sz w:val="18"/>
          <w:szCs w:val="18"/>
        </w:rPr>
        <w:t xml:space="preserve">Detailed per-model report, Gemma2-9B. </w:t>
      </w:r>
      <w:r w:rsidRPr="008F7526">
        <w:rPr>
          <w:i/>
          <w:iCs/>
          <w:sz w:val="18"/>
          <w:szCs w:val="18"/>
        </w:rPr>
        <w:t>Quantized to 4.0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bpw</w:t>
      </w:r>
      <w:r>
        <w:rPr>
          <w:i/>
          <w:iCs/>
          <w:sz w:val="18"/>
          <w:szCs w:val="18"/>
        </w:rPr>
        <w:t>, r</w:t>
      </w:r>
      <w:r w:rsidRPr="008F7526">
        <w:rPr>
          <w:i/>
          <w:iCs/>
          <w:sz w:val="18"/>
          <w:szCs w:val="18"/>
        </w:rPr>
        <w:t xml:space="preserve">un over </w:t>
      </w:r>
      <w:r>
        <w:rPr>
          <w:i/>
          <w:iCs/>
          <w:sz w:val="18"/>
          <w:szCs w:val="18"/>
        </w:rPr>
        <w:t>n=</w:t>
      </w:r>
      <w:r w:rsidRPr="008F7526">
        <w:rPr>
          <w:i/>
          <w:iCs/>
          <w:sz w:val="18"/>
          <w:szCs w:val="18"/>
        </w:rPr>
        <w:t>3 seeds. Error bars indicate sample standard deviations across the three decoding seeds.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Each backbone–condition was evaluated on all 2,400 MIMIC-CDM cases.</w:t>
      </w:r>
    </w:p>
    <w:p w14:paraId="0A70BDEE" w14:textId="77777777" w:rsidR="003D5517" w:rsidRDefault="003D5517">
      <w:pPr>
        <w:spacing w:after="160" w:line="278" w:lineRule="auto"/>
        <w:jc w:val="lef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br w:type="page"/>
      </w:r>
    </w:p>
    <w:p w14:paraId="220785D6" w14:textId="3E7BA090" w:rsidR="003D5517" w:rsidRDefault="000234A8" w:rsidP="003D5517">
      <w:pPr>
        <w:rPr>
          <w:b/>
          <w:bCs/>
          <w:i/>
          <w:iCs/>
          <w:sz w:val="18"/>
          <w:szCs w:val="18"/>
        </w:rPr>
      </w:pPr>
      <w:r w:rsidRPr="000234A8">
        <w:rPr>
          <w:b/>
          <w:bCs/>
          <w:i/>
          <w:iCs/>
          <w:noProof/>
          <w:sz w:val="18"/>
          <w:szCs w:val="18"/>
        </w:rPr>
        <w:lastRenderedPageBreak/>
        <w:drawing>
          <wp:inline distT="0" distB="0" distL="0" distR="0" wp14:anchorId="27CB87EF" wp14:editId="3D9061BF">
            <wp:extent cx="5760720" cy="7879715"/>
            <wp:effectExtent l="0" t="0" r="0" b="6985"/>
            <wp:docPr id="44792126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21261" name=""/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7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62EA6" w14:textId="7CB194E2" w:rsidR="000234A8" w:rsidRDefault="003D5517" w:rsidP="003D5517">
      <w:pPr>
        <w:rPr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Supplementary</w:t>
      </w:r>
      <w:r w:rsidRPr="00EC329C">
        <w:rPr>
          <w:b/>
          <w:bCs/>
          <w:i/>
          <w:iCs/>
          <w:sz w:val="18"/>
          <w:szCs w:val="18"/>
        </w:rPr>
        <w:t xml:space="preserve"> Fig.</w:t>
      </w:r>
      <w:r>
        <w:rPr>
          <w:b/>
          <w:bCs/>
          <w:i/>
          <w:iCs/>
          <w:sz w:val="18"/>
          <w:szCs w:val="18"/>
        </w:rPr>
        <w:t xml:space="preserve"> </w:t>
      </w:r>
      <w:r w:rsidR="001A3FAD">
        <w:rPr>
          <w:b/>
          <w:bCs/>
          <w:i/>
          <w:iCs/>
          <w:sz w:val="18"/>
          <w:szCs w:val="18"/>
        </w:rPr>
        <w:t>10</w:t>
      </w:r>
      <w:r w:rsidRPr="00EC329C">
        <w:rPr>
          <w:b/>
          <w:bCs/>
          <w:i/>
          <w:iCs/>
          <w:sz w:val="18"/>
          <w:szCs w:val="18"/>
        </w:rPr>
        <w:t xml:space="preserve"> | </w:t>
      </w:r>
      <w:r>
        <w:rPr>
          <w:b/>
          <w:bCs/>
          <w:i/>
          <w:iCs/>
          <w:sz w:val="18"/>
          <w:szCs w:val="18"/>
        </w:rPr>
        <w:t xml:space="preserve">Detailed per-model report, </w:t>
      </w:r>
      <w:r w:rsidR="000234A8">
        <w:rPr>
          <w:b/>
          <w:bCs/>
          <w:i/>
          <w:iCs/>
          <w:sz w:val="18"/>
          <w:szCs w:val="18"/>
        </w:rPr>
        <w:t>Qwen3</w:t>
      </w:r>
      <w:r>
        <w:rPr>
          <w:b/>
          <w:bCs/>
          <w:i/>
          <w:iCs/>
          <w:sz w:val="18"/>
          <w:szCs w:val="18"/>
        </w:rPr>
        <w:t>-</w:t>
      </w:r>
      <w:r w:rsidR="000234A8">
        <w:rPr>
          <w:b/>
          <w:bCs/>
          <w:i/>
          <w:iCs/>
          <w:sz w:val="18"/>
          <w:szCs w:val="18"/>
        </w:rPr>
        <w:t>30</w:t>
      </w:r>
      <w:r>
        <w:rPr>
          <w:b/>
          <w:bCs/>
          <w:i/>
          <w:iCs/>
          <w:sz w:val="18"/>
          <w:szCs w:val="18"/>
        </w:rPr>
        <w:t xml:space="preserve">B. </w:t>
      </w:r>
      <w:r w:rsidRPr="008F7526">
        <w:rPr>
          <w:i/>
          <w:iCs/>
          <w:sz w:val="18"/>
          <w:szCs w:val="18"/>
        </w:rPr>
        <w:t>Quantized to 4.0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bpw</w:t>
      </w:r>
      <w:r>
        <w:rPr>
          <w:i/>
          <w:iCs/>
          <w:sz w:val="18"/>
          <w:szCs w:val="18"/>
        </w:rPr>
        <w:t>, r</w:t>
      </w:r>
      <w:r w:rsidRPr="008F7526">
        <w:rPr>
          <w:i/>
          <w:iCs/>
          <w:sz w:val="18"/>
          <w:szCs w:val="18"/>
        </w:rPr>
        <w:t xml:space="preserve">un over </w:t>
      </w:r>
      <w:r>
        <w:rPr>
          <w:i/>
          <w:iCs/>
          <w:sz w:val="18"/>
          <w:szCs w:val="18"/>
        </w:rPr>
        <w:t>n=</w:t>
      </w:r>
      <w:r w:rsidRPr="008F7526">
        <w:rPr>
          <w:i/>
          <w:iCs/>
          <w:sz w:val="18"/>
          <w:szCs w:val="18"/>
        </w:rPr>
        <w:t>3 seeds. Error bars indicate sample standard deviations across the three decoding seeds.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Each backbone–condition was evaluated on all 2,400 MIMIC-CDM cases.</w:t>
      </w:r>
    </w:p>
    <w:p w14:paraId="1C15F25A" w14:textId="77777777" w:rsidR="000234A8" w:rsidRDefault="000234A8">
      <w:pPr>
        <w:spacing w:after="160" w:line="278" w:lineRule="auto"/>
        <w:jc w:val="lef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br w:type="page"/>
      </w:r>
    </w:p>
    <w:p w14:paraId="34C99ED8" w14:textId="31728001" w:rsidR="000234A8" w:rsidRDefault="000234A8" w:rsidP="000234A8">
      <w:pPr>
        <w:rPr>
          <w:b/>
          <w:bCs/>
          <w:i/>
          <w:iCs/>
          <w:sz w:val="18"/>
          <w:szCs w:val="18"/>
        </w:rPr>
      </w:pPr>
      <w:r w:rsidRPr="000234A8">
        <w:rPr>
          <w:b/>
          <w:bCs/>
          <w:i/>
          <w:iCs/>
          <w:noProof/>
          <w:sz w:val="18"/>
          <w:szCs w:val="18"/>
        </w:rPr>
        <w:lastRenderedPageBreak/>
        <w:drawing>
          <wp:inline distT="0" distB="0" distL="0" distR="0" wp14:anchorId="10A57EF8" wp14:editId="349DBA23">
            <wp:extent cx="5760720" cy="7879715"/>
            <wp:effectExtent l="0" t="0" r="0" b="6985"/>
            <wp:docPr id="54292588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925880" name=""/>
                    <pic:cNvPicPr/>
                  </pic:nvPicPr>
                  <pic:blipFill>
                    <a:blip r:embed="rId29">
                      <a:extLs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7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F8E80" w14:textId="5A9CA07F" w:rsidR="000234A8" w:rsidRDefault="000234A8" w:rsidP="000234A8">
      <w:pPr>
        <w:rPr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Supplementary</w:t>
      </w:r>
      <w:r w:rsidRPr="00EC329C">
        <w:rPr>
          <w:b/>
          <w:bCs/>
          <w:i/>
          <w:iCs/>
          <w:sz w:val="18"/>
          <w:szCs w:val="18"/>
        </w:rPr>
        <w:t xml:space="preserve"> Fig.</w:t>
      </w:r>
      <w:r>
        <w:rPr>
          <w:b/>
          <w:bCs/>
          <w:i/>
          <w:iCs/>
          <w:sz w:val="18"/>
          <w:szCs w:val="18"/>
        </w:rPr>
        <w:t xml:space="preserve"> 1</w:t>
      </w:r>
      <w:r w:rsidR="001A3FAD">
        <w:rPr>
          <w:b/>
          <w:bCs/>
          <w:i/>
          <w:iCs/>
          <w:sz w:val="18"/>
          <w:szCs w:val="18"/>
        </w:rPr>
        <w:t>1</w:t>
      </w:r>
      <w:r w:rsidRPr="00EC329C">
        <w:rPr>
          <w:b/>
          <w:bCs/>
          <w:i/>
          <w:iCs/>
          <w:sz w:val="18"/>
          <w:szCs w:val="18"/>
        </w:rPr>
        <w:t xml:space="preserve"> | </w:t>
      </w:r>
      <w:r>
        <w:rPr>
          <w:b/>
          <w:bCs/>
          <w:i/>
          <w:iCs/>
          <w:sz w:val="18"/>
          <w:szCs w:val="18"/>
        </w:rPr>
        <w:t xml:space="preserve">Detailed per-model report, Meditron3-70B. </w:t>
      </w:r>
      <w:r w:rsidRPr="008F7526">
        <w:rPr>
          <w:i/>
          <w:iCs/>
          <w:sz w:val="18"/>
          <w:szCs w:val="18"/>
        </w:rPr>
        <w:t>Quantized to 4.0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bpw</w:t>
      </w:r>
      <w:r>
        <w:rPr>
          <w:i/>
          <w:iCs/>
          <w:sz w:val="18"/>
          <w:szCs w:val="18"/>
        </w:rPr>
        <w:t>, r</w:t>
      </w:r>
      <w:r w:rsidRPr="008F7526">
        <w:rPr>
          <w:i/>
          <w:iCs/>
          <w:sz w:val="18"/>
          <w:szCs w:val="18"/>
        </w:rPr>
        <w:t xml:space="preserve">un over </w:t>
      </w:r>
      <w:r>
        <w:rPr>
          <w:i/>
          <w:iCs/>
          <w:sz w:val="18"/>
          <w:szCs w:val="18"/>
        </w:rPr>
        <w:t>n=</w:t>
      </w:r>
      <w:r w:rsidRPr="008F7526">
        <w:rPr>
          <w:i/>
          <w:iCs/>
          <w:sz w:val="18"/>
          <w:szCs w:val="18"/>
        </w:rPr>
        <w:t>3 seeds. Error bars indicate sample standard deviations across the three decoding seeds.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Each backbone–condition was evaluated on all 2,400 MIMIC-CDM cases.</w:t>
      </w:r>
    </w:p>
    <w:p w14:paraId="4E3B88BE" w14:textId="77777777" w:rsidR="000234A8" w:rsidRDefault="000234A8">
      <w:pPr>
        <w:spacing w:after="160" w:line="278" w:lineRule="auto"/>
        <w:jc w:val="lef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br w:type="page"/>
      </w:r>
    </w:p>
    <w:p w14:paraId="440A22F1" w14:textId="4CCC5EDB" w:rsidR="000234A8" w:rsidRDefault="000234A8" w:rsidP="000234A8">
      <w:pPr>
        <w:rPr>
          <w:b/>
          <w:bCs/>
          <w:i/>
          <w:iCs/>
          <w:sz w:val="18"/>
          <w:szCs w:val="18"/>
        </w:rPr>
      </w:pPr>
      <w:r w:rsidRPr="000234A8">
        <w:rPr>
          <w:b/>
          <w:bCs/>
          <w:i/>
          <w:iCs/>
          <w:noProof/>
          <w:sz w:val="18"/>
          <w:szCs w:val="18"/>
        </w:rPr>
        <w:lastRenderedPageBreak/>
        <w:drawing>
          <wp:inline distT="0" distB="0" distL="0" distR="0" wp14:anchorId="575FC6FB" wp14:editId="08A56471">
            <wp:extent cx="5760720" cy="7879715"/>
            <wp:effectExtent l="0" t="0" r="0" b="6985"/>
            <wp:docPr id="78464681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646810" name=""/>
                    <pic:cNvPicPr/>
                  </pic:nvPicPr>
                  <pic:blipFill>
                    <a:blip r:embed="rId31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7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B4207" w14:textId="5B5D21ED" w:rsidR="000234A8" w:rsidRDefault="000234A8" w:rsidP="000234A8">
      <w:pPr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Supplementary</w:t>
      </w:r>
      <w:r w:rsidRPr="00EC329C">
        <w:rPr>
          <w:b/>
          <w:bCs/>
          <w:i/>
          <w:iCs/>
          <w:sz w:val="18"/>
          <w:szCs w:val="18"/>
        </w:rPr>
        <w:t xml:space="preserve"> Fig.</w:t>
      </w:r>
      <w:r>
        <w:rPr>
          <w:b/>
          <w:bCs/>
          <w:i/>
          <w:iCs/>
          <w:sz w:val="18"/>
          <w:szCs w:val="18"/>
        </w:rPr>
        <w:t xml:space="preserve"> 1</w:t>
      </w:r>
      <w:r w:rsidR="001A3FAD">
        <w:rPr>
          <w:b/>
          <w:bCs/>
          <w:i/>
          <w:iCs/>
          <w:sz w:val="18"/>
          <w:szCs w:val="18"/>
        </w:rPr>
        <w:t>2</w:t>
      </w:r>
      <w:r w:rsidRPr="00EC329C">
        <w:rPr>
          <w:b/>
          <w:bCs/>
          <w:i/>
          <w:iCs/>
          <w:sz w:val="18"/>
          <w:szCs w:val="18"/>
        </w:rPr>
        <w:t xml:space="preserve"> | </w:t>
      </w:r>
      <w:r>
        <w:rPr>
          <w:b/>
          <w:bCs/>
          <w:i/>
          <w:iCs/>
          <w:sz w:val="18"/>
          <w:szCs w:val="18"/>
        </w:rPr>
        <w:t xml:space="preserve">Detailed per-model report, Llama3.1-70B. </w:t>
      </w:r>
      <w:r w:rsidRPr="008F7526">
        <w:rPr>
          <w:i/>
          <w:iCs/>
          <w:sz w:val="18"/>
          <w:szCs w:val="18"/>
        </w:rPr>
        <w:t>Quantized to 4.0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bpw</w:t>
      </w:r>
      <w:r>
        <w:rPr>
          <w:i/>
          <w:iCs/>
          <w:sz w:val="18"/>
          <w:szCs w:val="18"/>
        </w:rPr>
        <w:t>, r</w:t>
      </w:r>
      <w:r w:rsidRPr="008F7526">
        <w:rPr>
          <w:i/>
          <w:iCs/>
          <w:sz w:val="18"/>
          <w:szCs w:val="18"/>
        </w:rPr>
        <w:t xml:space="preserve">un over </w:t>
      </w:r>
      <w:r>
        <w:rPr>
          <w:i/>
          <w:iCs/>
          <w:sz w:val="18"/>
          <w:szCs w:val="18"/>
        </w:rPr>
        <w:t>n=</w:t>
      </w:r>
      <w:r w:rsidRPr="008F7526">
        <w:rPr>
          <w:i/>
          <w:iCs/>
          <w:sz w:val="18"/>
          <w:szCs w:val="18"/>
        </w:rPr>
        <w:t>3 seeds. Error bars indicate sample standard deviations across the three decoding seeds.</w:t>
      </w:r>
      <w:r>
        <w:rPr>
          <w:i/>
          <w:iCs/>
          <w:sz w:val="18"/>
          <w:szCs w:val="18"/>
        </w:rPr>
        <w:t xml:space="preserve"> </w:t>
      </w:r>
      <w:r w:rsidRPr="008F7526">
        <w:rPr>
          <w:i/>
          <w:iCs/>
          <w:sz w:val="18"/>
          <w:szCs w:val="18"/>
        </w:rPr>
        <w:t>Each backbone–condition was evaluated on all 2,400 MIMIC-CDM cases.</w:t>
      </w:r>
    </w:p>
    <w:p w14:paraId="0350F584" w14:textId="77777777" w:rsidR="000234A8" w:rsidRDefault="000234A8" w:rsidP="000234A8">
      <w:pPr>
        <w:rPr>
          <w:b/>
          <w:bCs/>
          <w:i/>
          <w:iCs/>
          <w:sz w:val="18"/>
          <w:szCs w:val="18"/>
        </w:rPr>
      </w:pPr>
    </w:p>
    <w:p w14:paraId="30DB39A6" w14:textId="77777777" w:rsidR="000234A8" w:rsidRDefault="000234A8" w:rsidP="000234A8">
      <w:pPr>
        <w:rPr>
          <w:b/>
          <w:bCs/>
          <w:i/>
          <w:iCs/>
          <w:sz w:val="18"/>
          <w:szCs w:val="18"/>
        </w:rPr>
      </w:pPr>
    </w:p>
    <w:p w14:paraId="19CC5164" w14:textId="77777777" w:rsidR="003D5517" w:rsidRDefault="003D5517" w:rsidP="003D5517">
      <w:pPr>
        <w:rPr>
          <w:b/>
          <w:bCs/>
          <w:i/>
          <w:iCs/>
          <w:sz w:val="18"/>
          <w:szCs w:val="18"/>
        </w:rPr>
      </w:pPr>
    </w:p>
    <w:p w14:paraId="235849DC" w14:textId="77777777" w:rsidR="003D5517" w:rsidRDefault="003D5517" w:rsidP="003D5517">
      <w:pPr>
        <w:rPr>
          <w:b/>
          <w:bCs/>
          <w:i/>
          <w:iCs/>
          <w:sz w:val="18"/>
          <w:szCs w:val="18"/>
        </w:rPr>
      </w:pPr>
    </w:p>
    <w:p w14:paraId="47F92281" w14:textId="77777777" w:rsidR="003D5517" w:rsidRDefault="003D5517" w:rsidP="003D5517">
      <w:pPr>
        <w:rPr>
          <w:b/>
          <w:bCs/>
          <w:i/>
          <w:iCs/>
          <w:sz w:val="18"/>
          <w:szCs w:val="18"/>
        </w:rPr>
      </w:pPr>
    </w:p>
    <w:p w14:paraId="4F64FFBE" w14:textId="77777777" w:rsidR="003E7CA2" w:rsidRDefault="003E7CA2" w:rsidP="003E7CA2">
      <w:pPr>
        <w:rPr>
          <w:b/>
          <w:bCs/>
          <w:i/>
          <w:iCs/>
          <w:sz w:val="18"/>
          <w:szCs w:val="18"/>
        </w:rPr>
      </w:pPr>
    </w:p>
    <w:p w14:paraId="2A358CFA" w14:textId="77777777" w:rsidR="000957FC" w:rsidRDefault="000957FC" w:rsidP="000957FC">
      <w:pPr>
        <w:rPr>
          <w:b/>
          <w:bCs/>
          <w:i/>
          <w:iCs/>
          <w:sz w:val="18"/>
          <w:szCs w:val="18"/>
        </w:rPr>
      </w:pPr>
    </w:p>
    <w:p w14:paraId="6EA2033A" w14:textId="77777777" w:rsidR="008F7526" w:rsidRDefault="008F7526" w:rsidP="00281126">
      <w:pPr>
        <w:rPr>
          <w:b/>
          <w:bCs/>
          <w:i/>
          <w:iCs/>
          <w:sz w:val="18"/>
          <w:szCs w:val="18"/>
        </w:rPr>
      </w:pPr>
    </w:p>
    <w:p w14:paraId="7B4F1C1F" w14:textId="345AE80C" w:rsidR="00281126" w:rsidRDefault="00281126" w:rsidP="00281126">
      <w:pPr>
        <w:spacing w:after="160" w:line="278" w:lineRule="auto"/>
        <w:jc w:val="left"/>
        <w:rPr>
          <w:b/>
          <w:bCs/>
          <w:i/>
          <w:iCs/>
          <w:sz w:val="18"/>
          <w:szCs w:val="18"/>
        </w:rPr>
      </w:pPr>
    </w:p>
    <w:p w14:paraId="74FEC482" w14:textId="1174E607" w:rsidR="00281126" w:rsidRDefault="00621C2C" w:rsidP="00281126">
      <w:pPr>
        <w:rPr>
          <w:b/>
          <w:bCs/>
          <w:i/>
          <w:iCs/>
          <w:sz w:val="18"/>
          <w:szCs w:val="18"/>
        </w:rPr>
      </w:pPr>
      <w:r w:rsidRPr="00621C2C">
        <w:rPr>
          <w:b/>
          <w:bCs/>
          <w:i/>
          <w:iCs/>
          <w:noProof/>
          <w:sz w:val="18"/>
          <w:szCs w:val="18"/>
        </w:rPr>
        <w:drawing>
          <wp:inline distT="0" distB="0" distL="0" distR="0" wp14:anchorId="4CA95104" wp14:editId="47C54FE4">
            <wp:extent cx="5760720" cy="4883785"/>
            <wp:effectExtent l="0" t="0" r="0" b="0"/>
            <wp:docPr id="13085907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59076" name=""/>
                    <pic:cNvPicPr/>
                  </pic:nvPicPr>
                  <pic:blipFill>
                    <a:blip r:embed="rId33">
                      <a:extLs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8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747EE" w14:textId="44087638" w:rsidR="00F62B7E" w:rsidRPr="00EC329C" w:rsidRDefault="00621C2C" w:rsidP="00621C2C">
      <w:pPr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Supplementary Table </w:t>
      </w:r>
      <w:r w:rsidR="00B62F38">
        <w:rPr>
          <w:b/>
          <w:bCs/>
          <w:i/>
          <w:iCs/>
          <w:sz w:val="18"/>
          <w:szCs w:val="18"/>
        </w:rPr>
        <w:t>2</w:t>
      </w:r>
      <w:r>
        <w:rPr>
          <w:b/>
          <w:bCs/>
          <w:i/>
          <w:iCs/>
          <w:sz w:val="18"/>
          <w:szCs w:val="18"/>
        </w:rPr>
        <w:t xml:space="preserve"> | </w:t>
      </w:r>
      <w:r w:rsidRPr="00621C2C">
        <w:rPr>
          <w:b/>
          <w:bCs/>
          <w:i/>
          <w:iCs/>
          <w:sz w:val="18"/>
          <w:szCs w:val="18"/>
        </w:rPr>
        <w:t>Additional metrics.</w:t>
      </w:r>
      <w:r w:rsidRPr="003633B4">
        <w:rPr>
          <w:i/>
          <w:iCs/>
          <w:sz w:val="18"/>
          <w:szCs w:val="18"/>
        </w:rPr>
        <w:t xml:space="preserve"> The sensitivity equates per-class diagnosis accuracy used throughout this study. To calculate these additional metrics, false positives and true negatives were counted over the diseases included in this dataset </w:t>
      </w:r>
      <w:r w:rsidR="003633B4" w:rsidRPr="003633B4">
        <w:rPr>
          <w:i/>
          <w:iCs/>
          <w:sz w:val="18"/>
          <w:szCs w:val="18"/>
        </w:rPr>
        <w:t>and therefore</w:t>
      </w:r>
      <w:r w:rsidRPr="003633B4">
        <w:rPr>
          <w:i/>
          <w:iCs/>
          <w:sz w:val="18"/>
          <w:szCs w:val="18"/>
        </w:rPr>
        <w:t xml:space="preserve"> not representative of a general population and </w:t>
      </w:r>
      <w:r w:rsidR="003633B4" w:rsidRPr="003633B4">
        <w:rPr>
          <w:i/>
          <w:iCs/>
          <w:sz w:val="18"/>
          <w:szCs w:val="18"/>
        </w:rPr>
        <w:t xml:space="preserve">so </w:t>
      </w:r>
      <w:r w:rsidRPr="003633B4">
        <w:rPr>
          <w:i/>
          <w:iCs/>
          <w:sz w:val="18"/>
          <w:szCs w:val="18"/>
        </w:rPr>
        <w:t>the</w:t>
      </w:r>
      <w:r w:rsidR="003633B4" w:rsidRPr="003633B4">
        <w:rPr>
          <w:i/>
          <w:iCs/>
          <w:sz w:val="18"/>
          <w:szCs w:val="18"/>
        </w:rPr>
        <w:t>se</w:t>
      </w:r>
      <w:r w:rsidRPr="003633B4">
        <w:rPr>
          <w:i/>
          <w:iCs/>
          <w:sz w:val="18"/>
          <w:szCs w:val="18"/>
        </w:rPr>
        <w:t xml:space="preserve"> metrics </w:t>
      </w:r>
      <w:r w:rsidR="003633B4" w:rsidRPr="003633B4">
        <w:rPr>
          <w:i/>
          <w:iCs/>
          <w:sz w:val="18"/>
          <w:szCs w:val="18"/>
        </w:rPr>
        <w:t>are to</w:t>
      </w:r>
      <w:r w:rsidRPr="003633B4">
        <w:rPr>
          <w:i/>
          <w:iCs/>
          <w:sz w:val="18"/>
          <w:szCs w:val="18"/>
        </w:rPr>
        <w:t xml:space="preserve"> be interpreted with caution.</w:t>
      </w:r>
    </w:p>
    <w:sectPr w:rsidR="00F62B7E" w:rsidRPr="00EC329C">
      <w:footerReference w:type="default" r:id="rId3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ECC20" w14:textId="77777777" w:rsidR="00240A2D" w:rsidRDefault="00240A2D" w:rsidP="00620E56">
      <w:r>
        <w:separator/>
      </w:r>
    </w:p>
  </w:endnote>
  <w:endnote w:type="continuationSeparator" w:id="0">
    <w:p w14:paraId="14F0CD37" w14:textId="77777777" w:rsidR="00240A2D" w:rsidRDefault="00240A2D" w:rsidP="00620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Black 18pt">
    <w:panose1 w:val="00000000000000000000"/>
    <w:charset w:val="00"/>
    <w:family w:val="auto"/>
    <w:pitch w:val="variable"/>
    <w:sig w:usb0="A10006FF" w:usb1="4001E4FB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8469150"/>
      <w:docPartObj>
        <w:docPartGallery w:val="Page Numbers (Bottom of Page)"/>
        <w:docPartUnique/>
      </w:docPartObj>
    </w:sdtPr>
    <w:sdtContent>
      <w:p w14:paraId="3AF7C086" w14:textId="4C7DD8F3" w:rsidR="00620E56" w:rsidRDefault="00620E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5101891" w14:textId="77777777" w:rsidR="00620E56" w:rsidRDefault="00620E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1BA49" w14:textId="77777777" w:rsidR="00240A2D" w:rsidRDefault="00240A2D" w:rsidP="00620E56">
      <w:r>
        <w:separator/>
      </w:r>
    </w:p>
  </w:footnote>
  <w:footnote w:type="continuationSeparator" w:id="0">
    <w:p w14:paraId="0F1DC296" w14:textId="77777777" w:rsidR="00240A2D" w:rsidRDefault="00240A2D" w:rsidP="00620E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817"/>
    <w:rsid w:val="000065B0"/>
    <w:rsid w:val="0001193B"/>
    <w:rsid w:val="000155C2"/>
    <w:rsid w:val="000234A8"/>
    <w:rsid w:val="000338AC"/>
    <w:rsid w:val="00046949"/>
    <w:rsid w:val="00047FAA"/>
    <w:rsid w:val="00051630"/>
    <w:rsid w:val="00072934"/>
    <w:rsid w:val="00077D44"/>
    <w:rsid w:val="0008644D"/>
    <w:rsid w:val="00086770"/>
    <w:rsid w:val="00093978"/>
    <w:rsid w:val="000957FC"/>
    <w:rsid w:val="000A4007"/>
    <w:rsid w:val="000A5E19"/>
    <w:rsid w:val="000B3795"/>
    <w:rsid w:val="000B5410"/>
    <w:rsid w:val="000B55F3"/>
    <w:rsid w:val="000B5D0F"/>
    <w:rsid w:val="000C220F"/>
    <w:rsid w:val="000E54C5"/>
    <w:rsid w:val="000E740D"/>
    <w:rsid w:val="000F0406"/>
    <w:rsid w:val="000F6951"/>
    <w:rsid w:val="000F7EB2"/>
    <w:rsid w:val="00111E8C"/>
    <w:rsid w:val="001235E5"/>
    <w:rsid w:val="001315DD"/>
    <w:rsid w:val="001332A8"/>
    <w:rsid w:val="001359CC"/>
    <w:rsid w:val="00142E81"/>
    <w:rsid w:val="00147B79"/>
    <w:rsid w:val="001554D3"/>
    <w:rsid w:val="00157D41"/>
    <w:rsid w:val="00165096"/>
    <w:rsid w:val="00182062"/>
    <w:rsid w:val="001A2E3F"/>
    <w:rsid w:val="001A3FAD"/>
    <w:rsid w:val="001B7E3F"/>
    <w:rsid w:val="001C7312"/>
    <w:rsid w:val="001C73CB"/>
    <w:rsid w:val="001E3EBB"/>
    <w:rsid w:val="001E4DC8"/>
    <w:rsid w:val="001F2D93"/>
    <w:rsid w:val="00202069"/>
    <w:rsid w:val="002046CB"/>
    <w:rsid w:val="00216EA0"/>
    <w:rsid w:val="00220FD8"/>
    <w:rsid w:val="00224F17"/>
    <w:rsid w:val="00240A2D"/>
    <w:rsid w:val="002438CF"/>
    <w:rsid w:val="00255481"/>
    <w:rsid w:val="00274581"/>
    <w:rsid w:val="00281126"/>
    <w:rsid w:val="002818AE"/>
    <w:rsid w:val="002B06F6"/>
    <w:rsid w:val="002B2256"/>
    <w:rsid w:val="002C4F2F"/>
    <w:rsid w:val="002E2689"/>
    <w:rsid w:val="002E33BE"/>
    <w:rsid w:val="002F3E0E"/>
    <w:rsid w:val="002F57D3"/>
    <w:rsid w:val="00301FEA"/>
    <w:rsid w:val="00304EF3"/>
    <w:rsid w:val="003053F5"/>
    <w:rsid w:val="003233C2"/>
    <w:rsid w:val="003332C7"/>
    <w:rsid w:val="0033641E"/>
    <w:rsid w:val="0034427B"/>
    <w:rsid w:val="003456B5"/>
    <w:rsid w:val="00351994"/>
    <w:rsid w:val="00353979"/>
    <w:rsid w:val="00357CAD"/>
    <w:rsid w:val="003633B4"/>
    <w:rsid w:val="00374999"/>
    <w:rsid w:val="00380850"/>
    <w:rsid w:val="0038507B"/>
    <w:rsid w:val="003861BC"/>
    <w:rsid w:val="00386816"/>
    <w:rsid w:val="00392916"/>
    <w:rsid w:val="0039361C"/>
    <w:rsid w:val="003972E2"/>
    <w:rsid w:val="003A0B1D"/>
    <w:rsid w:val="003D0C8F"/>
    <w:rsid w:val="003D45BA"/>
    <w:rsid w:val="003D4B3B"/>
    <w:rsid w:val="003D5517"/>
    <w:rsid w:val="003E3DE8"/>
    <w:rsid w:val="003E5811"/>
    <w:rsid w:val="003E7CA2"/>
    <w:rsid w:val="00403195"/>
    <w:rsid w:val="00406313"/>
    <w:rsid w:val="00413D6E"/>
    <w:rsid w:val="00414FF9"/>
    <w:rsid w:val="004219BA"/>
    <w:rsid w:val="0042431E"/>
    <w:rsid w:val="00430597"/>
    <w:rsid w:val="00431579"/>
    <w:rsid w:val="004427BB"/>
    <w:rsid w:val="00460CD3"/>
    <w:rsid w:val="00464900"/>
    <w:rsid w:val="00472DB2"/>
    <w:rsid w:val="00472E98"/>
    <w:rsid w:val="00481039"/>
    <w:rsid w:val="00483749"/>
    <w:rsid w:val="004931E1"/>
    <w:rsid w:val="00495B76"/>
    <w:rsid w:val="00496D55"/>
    <w:rsid w:val="004C356D"/>
    <w:rsid w:val="004C5028"/>
    <w:rsid w:val="004D6866"/>
    <w:rsid w:val="004D6CE2"/>
    <w:rsid w:val="004F0220"/>
    <w:rsid w:val="004F2006"/>
    <w:rsid w:val="004F28C3"/>
    <w:rsid w:val="004F3C2C"/>
    <w:rsid w:val="0050020B"/>
    <w:rsid w:val="00507DC7"/>
    <w:rsid w:val="005113A0"/>
    <w:rsid w:val="00512888"/>
    <w:rsid w:val="00515E22"/>
    <w:rsid w:val="00516D66"/>
    <w:rsid w:val="00531757"/>
    <w:rsid w:val="00543BB1"/>
    <w:rsid w:val="00556638"/>
    <w:rsid w:val="00564529"/>
    <w:rsid w:val="005659B4"/>
    <w:rsid w:val="0057112D"/>
    <w:rsid w:val="00593BDD"/>
    <w:rsid w:val="005B0C8C"/>
    <w:rsid w:val="005B3500"/>
    <w:rsid w:val="005B4817"/>
    <w:rsid w:val="005C72AD"/>
    <w:rsid w:val="005F2971"/>
    <w:rsid w:val="00602167"/>
    <w:rsid w:val="00605AF5"/>
    <w:rsid w:val="00607525"/>
    <w:rsid w:val="00612B98"/>
    <w:rsid w:val="006157D9"/>
    <w:rsid w:val="00620E56"/>
    <w:rsid w:val="0062112B"/>
    <w:rsid w:val="00621C2C"/>
    <w:rsid w:val="00624F0A"/>
    <w:rsid w:val="00625E44"/>
    <w:rsid w:val="00626843"/>
    <w:rsid w:val="0064794F"/>
    <w:rsid w:val="0065409A"/>
    <w:rsid w:val="00660930"/>
    <w:rsid w:val="00664914"/>
    <w:rsid w:val="0067156A"/>
    <w:rsid w:val="00673458"/>
    <w:rsid w:val="00687421"/>
    <w:rsid w:val="00690753"/>
    <w:rsid w:val="0069683F"/>
    <w:rsid w:val="006A0A4C"/>
    <w:rsid w:val="006B02EA"/>
    <w:rsid w:val="006C5137"/>
    <w:rsid w:val="006D49AB"/>
    <w:rsid w:val="006D6123"/>
    <w:rsid w:val="006E1D24"/>
    <w:rsid w:val="006F1A72"/>
    <w:rsid w:val="006F2449"/>
    <w:rsid w:val="007052A8"/>
    <w:rsid w:val="007104FA"/>
    <w:rsid w:val="0071423F"/>
    <w:rsid w:val="00715AF3"/>
    <w:rsid w:val="00720877"/>
    <w:rsid w:val="00740099"/>
    <w:rsid w:val="0074111C"/>
    <w:rsid w:val="00741A4E"/>
    <w:rsid w:val="0074403E"/>
    <w:rsid w:val="00746DC2"/>
    <w:rsid w:val="007624D0"/>
    <w:rsid w:val="00765631"/>
    <w:rsid w:val="007766D0"/>
    <w:rsid w:val="00776B56"/>
    <w:rsid w:val="00777D98"/>
    <w:rsid w:val="0078411C"/>
    <w:rsid w:val="00794607"/>
    <w:rsid w:val="007A58A6"/>
    <w:rsid w:val="007A5D3E"/>
    <w:rsid w:val="007C582C"/>
    <w:rsid w:val="007C694E"/>
    <w:rsid w:val="007D3627"/>
    <w:rsid w:val="007E0F7A"/>
    <w:rsid w:val="00802973"/>
    <w:rsid w:val="00804393"/>
    <w:rsid w:val="0082058D"/>
    <w:rsid w:val="00846507"/>
    <w:rsid w:val="00864384"/>
    <w:rsid w:val="008774E8"/>
    <w:rsid w:val="00895D0B"/>
    <w:rsid w:val="008A1079"/>
    <w:rsid w:val="008A3404"/>
    <w:rsid w:val="008A7811"/>
    <w:rsid w:val="008D2FB9"/>
    <w:rsid w:val="008D3704"/>
    <w:rsid w:val="008D48BE"/>
    <w:rsid w:val="008D7BC2"/>
    <w:rsid w:val="008E69E9"/>
    <w:rsid w:val="008F0F62"/>
    <w:rsid w:val="008F10E8"/>
    <w:rsid w:val="008F6E37"/>
    <w:rsid w:val="008F7526"/>
    <w:rsid w:val="009278A4"/>
    <w:rsid w:val="00951310"/>
    <w:rsid w:val="0097512D"/>
    <w:rsid w:val="009769AD"/>
    <w:rsid w:val="0099226E"/>
    <w:rsid w:val="00996457"/>
    <w:rsid w:val="009A0ED6"/>
    <w:rsid w:val="009B5E2F"/>
    <w:rsid w:val="009C2437"/>
    <w:rsid w:val="009E51C4"/>
    <w:rsid w:val="009F14D8"/>
    <w:rsid w:val="009F3954"/>
    <w:rsid w:val="009F571A"/>
    <w:rsid w:val="009F7A8F"/>
    <w:rsid w:val="00A0378B"/>
    <w:rsid w:val="00A03961"/>
    <w:rsid w:val="00A06710"/>
    <w:rsid w:val="00A12C88"/>
    <w:rsid w:val="00A2472F"/>
    <w:rsid w:val="00A520DF"/>
    <w:rsid w:val="00A57DF6"/>
    <w:rsid w:val="00A65A8B"/>
    <w:rsid w:val="00A72379"/>
    <w:rsid w:val="00A84ABA"/>
    <w:rsid w:val="00A91100"/>
    <w:rsid w:val="00A96C00"/>
    <w:rsid w:val="00A97E03"/>
    <w:rsid w:val="00AA20BF"/>
    <w:rsid w:val="00AA3BC6"/>
    <w:rsid w:val="00AA7C92"/>
    <w:rsid w:val="00AD28F7"/>
    <w:rsid w:val="00AE4987"/>
    <w:rsid w:val="00AE6C7D"/>
    <w:rsid w:val="00B12693"/>
    <w:rsid w:val="00B1632B"/>
    <w:rsid w:val="00B201BA"/>
    <w:rsid w:val="00B25C2D"/>
    <w:rsid w:val="00B525F3"/>
    <w:rsid w:val="00B55AED"/>
    <w:rsid w:val="00B62F38"/>
    <w:rsid w:val="00B850FB"/>
    <w:rsid w:val="00B85F8C"/>
    <w:rsid w:val="00B9700C"/>
    <w:rsid w:val="00BA341B"/>
    <w:rsid w:val="00BA3C66"/>
    <w:rsid w:val="00BA5E47"/>
    <w:rsid w:val="00BA77B0"/>
    <w:rsid w:val="00BC15B9"/>
    <w:rsid w:val="00BC626D"/>
    <w:rsid w:val="00BE0D2B"/>
    <w:rsid w:val="00BE6568"/>
    <w:rsid w:val="00BF7E77"/>
    <w:rsid w:val="00C07D50"/>
    <w:rsid w:val="00C07F91"/>
    <w:rsid w:val="00C207F7"/>
    <w:rsid w:val="00C3347E"/>
    <w:rsid w:val="00C44536"/>
    <w:rsid w:val="00C517F7"/>
    <w:rsid w:val="00C54BAE"/>
    <w:rsid w:val="00C64420"/>
    <w:rsid w:val="00C64487"/>
    <w:rsid w:val="00C72B4A"/>
    <w:rsid w:val="00C75F70"/>
    <w:rsid w:val="00C92EE2"/>
    <w:rsid w:val="00C978AE"/>
    <w:rsid w:val="00CA0CC6"/>
    <w:rsid w:val="00CA0DC2"/>
    <w:rsid w:val="00CA381B"/>
    <w:rsid w:val="00CB3DAB"/>
    <w:rsid w:val="00CD3A34"/>
    <w:rsid w:val="00CD53C6"/>
    <w:rsid w:val="00CE565D"/>
    <w:rsid w:val="00CF0B2A"/>
    <w:rsid w:val="00CF0C2D"/>
    <w:rsid w:val="00D07AE5"/>
    <w:rsid w:val="00D27E88"/>
    <w:rsid w:val="00D41DCB"/>
    <w:rsid w:val="00D46696"/>
    <w:rsid w:val="00D568FD"/>
    <w:rsid w:val="00D96517"/>
    <w:rsid w:val="00DA7E1E"/>
    <w:rsid w:val="00DB2364"/>
    <w:rsid w:val="00DE2DBB"/>
    <w:rsid w:val="00DE425A"/>
    <w:rsid w:val="00DE4496"/>
    <w:rsid w:val="00DF3CA3"/>
    <w:rsid w:val="00E02FAD"/>
    <w:rsid w:val="00E1483C"/>
    <w:rsid w:val="00E45AC6"/>
    <w:rsid w:val="00E56E58"/>
    <w:rsid w:val="00E646BB"/>
    <w:rsid w:val="00E70370"/>
    <w:rsid w:val="00E76E88"/>
    <w:rsid w:val="00E832F5"/>
    <w:rsid w:val="00EA0AEE"/>
    <w:rsid w:val="00EA38BE"/>
    <w:rsid w:val="00EB1278"/>
    <w:rsid w:val="00EC329C"/>
    <w:rsid w:val="00EE0523"/>
    <w:rsid w:val="00EE200F"/>
    <w:rsid w:val="00F01AF2"/>
    <w:rsid w:val="00F0309E"/>
    <w:rsid w:val="00F06A71"/>
    <w:rsid w:val="00F2051A"/>
    <w:rsid w:val="00F23874"/>
    <w:rsid w:val="00F2571E"/>
    <w:rsid w:val="00F262CF"/>
    <w:rsid w:val="00F44AF7"/>
    <w:rsid w:val="00F44B32"/>
    <w:rsid w:val="00F46E10"/>
    <w:rsid w:val="00F62B7E"/>
    <w:rsid w:val="00F632F2"/>
    <w:rsid w:val="00F6450F"/>
    <w:rsid w:val="00F96D77"/>
    <w:rsid w:val="00FB027F"/>
    <w:rsid w:val="00FB3797"/>
    <w:rsid w:val="00FC477B"/>
    <w:rsid w:val="00FD27A0"/>
    <w:rsid w:val="00FF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CA422"/>
  <w15:chartTrackingRefBased/>
  <w15:docId w15:val="{D0B98D60-EC6E-4DD3-B91E-9D4078CF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F70"/>
    <w:pPr>
      <w:spacing w:after="0" w:line="240" w:lineRule="auto"/>
      <w:jc w:val="both"/>
    </w:pPr>
    <w:rPr>
      <w:rFonts w:eastAsiaTheme="minorEastAsia"/>
      <w:sz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F91"/>
    <w:pPr>
      <w:keepNext/>
      <w:keepLines/>
      <w:spacing w:before="360" w:after="80"/>
      <w:outlineLvl w:val="0"/>
    </w:pPr>
    <w:rPr>
      <w:rFonts w:ascii="Merriweather Black 18pt" w:eastAsiaTheme="majorEastAsia" w:hAnsi="Merriweather Black 18pt" w:cstheme="majorBidi"/>
      <w:b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7F91"/>
    <w:pPr>
      <w:keepNext/>
      <w:keepLines/>
      <w:spacing w:before="160" w:after="80"/>
      <w:outlineLvl w:val="1"/>
    </w:pPr>
    <w:rPr>
      <w:rFonts w:ascii="Merriweather Black 18pt" w:eastAsiaTheme="majorEastAsia" w:hAnsi="Merriweather Black 18pt" w:cstheme="majorBidi"/>
      <w:b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8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8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8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8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8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8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F91"/>
    <w:rPr>
      <w:rFonts w:ascii="Merriweather Black 18pt" w:eastAsiaTheme="majorEastAsia" w:hAnsi="Merriweather Black 18pt" w:cstheme="majorBidi"/>
      <w:b/>
      <w:color w:val="000000" w:themeColor="text1"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07F91"/>
    <w:rPr>
      <w:rFonts w:ascii="Merriweather Black 18pt" w:eastAsiaTheme="majorEastAsia" w:hAnsi="Merriweather Black 18pt" w:cstheme="majorBidi"/>
      <w:b/>
      <w:color w:val="000000" w:themeColor="text1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8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8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8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8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8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8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F91"/>
    <w:rPr>
      <w:rFonts w:ascii="Merriweather Black 18pt" w:hAnsi="Merriweather Black 18pt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C07F91"/>
    <w:rPr>
      <w:rFonts w:ascii="Merriweather Black 18pt" w:eastAsiaTheme="minorEastAsia" w:hAnsi="Merriweather Black 18pt"/>
      <w:sz w:val="48"/>
      <w:szCs w:val="48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8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8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48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8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817"/>
    <w:rPr>
      <w:b/>
      <w:bCs/>
      <w:smallCaps/>
      <w:color w:val="0F4761" w:themeColor="accent1" w:themeShade="BF"/>
      <w:spacing w:val="5"/>
    </w:rPr>
  </w:style>
  <w:style w:type="paragraph" w:customStyle="1" w:styleId="Abstract">
    <w:name w:val="Abstract"/>
    <w:basedOn w:val="Normal"/>
    <w:link w:val="AbstractCar"/>
    <w:qFormat/>
    <w:rsid w:val="003861BC"/>
    <w:pPr>
      <w:ind w:left="1416"/>
    </w:pPr>
    <w:rPr>
      <w:sz w:val="24"/>
    </w:rPr>
  </w:style>
  <w:style w:type="character" w:customStyle="1" w:styleId="AbstractCar">
    <w:name w:val="Abstract Car"/>
    <w:basedOn w:val="DefaultParagraphFont"/>
    <w:link w:val="Abstract"/>
    <w:rsid w:val="003861BC"/>
    <w:rPr>
      <w:rFonts w:eastAsiaTheme="minorEastAsia"/>
      <w:lang w:val="en-US"/>
    </w:rPr>
  </w:style>
  <w:style w:type="paragraph" w:customStyle="1" w:styleId="Reference">
    <w:name w:val="Reference"/>
    <w:basedOn w:val="Normal"/>
    <w:link w:val="ReferenceCar"/>
    <w:qFormat/>
    <w:rsid w:val="008A7811"/>
    <w:pPr>
      <w:ind w:firstLine="708"/>
    </w:pPr>
    <w:rPr>
      <w:color w:val="4C94D8" w:themeColor="text2" w:themeTint="80"/>
      <w:vertAlign w:val="superscript"/>
    </w:rPr>
  </w:style>
  <w:style w:type="character" w:customStyle="1" w:styleId="ReferenceCar">
    <w:name w:val="Reference Car"/>
    <w:basedOn w:val="DefaultParagraphFont"/>
    <w:link w:val="Reference"/>
    <w:rsid w:val="008A7811"/>
    <w:rPr>
      <w:rFonts w:eastAsiaTheme="minorEastAsia"/>
      <w:color w:val="4C94D8" w:themeColor="text2" w:themeTint="80"/>
      <w:sz w:val="22"/>
      <w:vertAlign w:val="superscript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4F0220"/>
    <w:pPr>
      <w:tabs>
        <w:tab w:val="left" w:pos="264"/>
      </w:tabs>
      <w:spacing w:line="480" w:lineRule="auto"/>
      <w:ind w:left="264" w:hanging="264"/>
    </w:pPr>
  </w:style>
  <w:style w:type="paragraph" w:styleId="NoSpacing">
    <w:name w:val="No Spacing"/>
    <w:link w:val="NoSpacingChar"/>
    <w:uiPriority w:val="1"/>
    <w:qFormat/>
    <w:rsid w:val="0065409A"/>
    <w:pPr>
      <w:spacing w:after="0" w:line="240" w:lineRule="auto"/>
    </w:pPr>
    <w:rPr>
      <w:rFonts w:eastAsiaTheme="minorEastAsia"/>
      <w:sz w:val="22"/>
      <w:lang w:val="en-US"/>
    </w:rPr>
  </w:style>
  <w:style w:type="paragraph" w:customStyle="1" w:styleId="Legend">
    <w:name w:val="Legend"/>
    <w:basedOn w:val="NoSpacing"/>
    <w:link w:val="LegendCar"/>
    <w:qFormat/>
    <w:rsid w:val="001554D3"/>
    <w:pPr>
      <w:jc w:val="both"/>
    </w:pPr>
    <w:rPr>
      <w:b/>
      <w:bCs/>
      <w:i/>
      <w:iCs/>
      <w:sz w:val="18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1554D3"/>
    <w:rPr>
      <w:rFonts w:eastAsiaTheme="minorEastAsia"/>
      <w:sz w:val="22"/>
      <w:lang w:val="en-US"/>
    </w:rPr>
  </w:style>
  <w:style w:type="character" w:customStyle="1" w:styleId="LegendCar">
    <w:name w:val="Legend Car"/>
    <w:basedOn w:val="NoSpacingChar"/>
    <w:link w:val="Legend"/>
    <w:rsid w:val="001554D3"/>
    <w:rPr>
      <w:rFonts w:eastAsiaTheme="minorEastAsia"/>
      <w:b/>
      <w:bCs/>
      <w:i/>
      <w:iCs/>
      <w:sz w:val="18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EB1278"/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810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10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1039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10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1039"/>
    <w:rPr>
      <w:rFonts w:eastAsiaTheme="minorEastAsia"/>
      <w:b/>
      <w:bCs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216EA0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4219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19BA"/>
    <w:rPr>
      <w:color w:val="605E5C"/>
      <w:shd w:val="clear" w:color="auto" w:fill="E1DFDD"/>
    </w:rPr>
  </w:style>
  <w:style w:type="paragraph" w:customStyle="1" w:styleId="TableTitle">
    <w:name w:val="TableTitle"/>
    <w:basedOn w:val="Normal"/>
    <w:link w:val="TableTitleCar"/>
    <w:qFormat/>
    <w:rsid w:val="00620E56"/>
    <w:pPr>
      <w:spacing w:before="120" w:after="120"/>
    </w:pPr>
    <w:rPr>
      <w:b/>
      <w:bCs/>
    </w:rPr>
  </w:style>
  <w:style w:type="character" w:customStyle="1" w:styleId="TableTitleCar">
    <w:name w:val="TableTitle Car"/>
    <w:basedOn w:val="DefaultParagraphFont"/>
    <w:link w:val="TableTitle"/>
    <w:rsid w:val="00620E56"/>
    <w:rPr>
      <w:rFonts w:eastAsiaTheme="minorEastAsia"/>
      <w:b/>
      <w:bCs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20E5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E56"/>
    <w:rPr>
      <w:rFonts w:eastAsiaTheme="minorEastAsia"/>
      <w:sz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20E5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E56"/>
    <w:rPr>
      <w:rFonts w:eastAsiaTheme="minorEastAsia"/>
      <w:sz w:val="22"/>
      <w:lang w:val="en-US"/>
    </w:rPr>
  </w:style>
  <w:style w:type="table" w:styleId="TableGrid">
    <w:name w:val="Table Grid"/>
    <w:basedOn w:val="TableNormal"/>
    <w:uiPriority w:val="59"/>
    <w:rsid w:val="00CB3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de">
    <w:name w:val="Code"/>
    <w:basedOn w:val="Legend"/>
    <w:link w:val="CodeChar"/>
    <w:qFormat/>
    <w:rsid w:val="00CB3DAB"/>
    <w:rPr>
      <w:rFonts w:ascii="Courier New" w:hAnsi="Courier New"/>
      <w:b w:val="0"/>
      <w:i w:val="0"/>
    </w:rPr>
  </w:style>
  <w:style w:type="character" w:customStyle="1" w:styleId="CodeChar">
    <w:name w:val="Code Char"/>
    <w:basedOn w:val="LegendCar"/>
    <w:link w:val="Code"/>
    <w:rsid w:val="00CB3DAB"/>
    <w:rPr>
      <w:rFonts w:ascii="Courier New" w:eastAsiaTheme="minorEastAsia" w:hAnsi="Courier New"/>
      <w:b w:val="0"/>
      <w:bCs/>
      <w:i w:val="0"/>
      <w:iCs/>
      <w:sz w:val="18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A3404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A3404"/>
    <w:rPr>
      <w:rFonts w:ascii="Consolas" w:eastAsiaTheme="minorEastAsia" w:hAnsi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26" Type="http://schemas.openxmlformats.org/officeDocument/2006/relationships/image" Target="media/image20.svg"/><Relationship Id="rId21" Type="http://schemas.openxmlformats.org/officeDocument/2006/relationships/image" Target="media/image15.png"/><Relationship Id="rId34" Type="http://schemas.openxmlformats.org/officeDocument/2006/relationships/image" Target="media/image28.svg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0" Type="http://schemas.openxmlformats.org/officeDocument/2006/relationships/image" Target="media/image14.sv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svg"/><Relationship Id="rId32" Type="http://schemas.openxmlformats.org/officeDocument/2006/relationships/image" Target="media/image26.sv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svg"/><Relationship Id="rId36" Type="http://schemas.openxmlformats.org/officeDocument/2006/relationships/fontTable" Target="fontTable.xml"/><Relationship Id="rId10" Type="http://schemas.openxmlformats.org/officeDocument/2006/relationships/image" Target="media/image4.sv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image" Target="media/image16.svg"/><Relationship Id="rId27" Type="http://schemas.openxmlformats.org/officeDocument/2006/relationships/image" Target="media/image21.png"/><Relationship Id="rId30" Type="http://schemas.openxmlformats.org/officeDocument/2006/relationships/image" Target="media/image24.svg"/><Relationship Id="rId35" Type="http://schemas.openxmlformats.org/officeDocument/2006/relationships/footer" Target="footer1.xml"/><Relationship Id="rId8" Type="http://schemas.openxmlformats.org/officeDocument/2006/relationships/image" Target="media/image2.sv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76889-05C0-419B-A2F2-96559027C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14</Pages>
  <Words>1140</Words>
  <Characters>6499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Andre, Romain</dc:creator>
  <cp:keywords/>
  <dc:description/>
  <cp:lastModifiedBy>Andre, Romain</cp:lastModifiedBy>
  <cp:revision>11</cp:revision>
  <cp:lastPrinted>2026-09-30T13:48:00Z</cp:lastPrinted>
  <dcterms:created xsi:type="dcterms:W3CDTF">2026-09-30T13:42:00Z</dcterms:created>
  <dcterms:modified xsi:type="dcterms:W3CDTF">2026-10-01T01:48:00Z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zotero-version="10.0.3"&gt;&lt;session id="tFPSsmkH"/&gt;&lt;style id="http://www.zotero.org/styles/nature-medicine" hasBibliography="1" bibliographyStyleHasBeenSet="1"/&gt;&lt;prefs&gt;&lt;pref name="fieldType" value="Field"/&gt;&lt;/prefs&gt;&lt;/data&gt;</vt:lpwstr>
  </property>
</Properties>
</file>