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line="312" w:lineRule="auto"/>
        <w:jc w:val="center"/>
      </w:pPr>
      <w:r>
        <w:rPr>
          <w:rFonts w:ascii="Times New Roman" w:hAnsi="Times New Roman"/>
          <w:b/>
          <w:sz w:val="30"/>
        </w:rPr>
        <w:t>Supplementary Material</w:t>
      </w:r>
    </w:p>
    <w:p>
      <w:pPr>
        <w:spacing w:before="280" w:after="80" w:line="360" w:lineRule="auto"/>
      </w:pPr>
      <w:r>
        <w:rPr>
          <w:rFonts w:ascii="Times New Roman" w:hAnsi="Times New Roman"/>
          <w:b/>
          <w:sz w:val="28"/>
        </w:rPr>
        <w:t>Higher road-traffic mortality on warm days in Thailand: a nationwide time-stratified case-crossover study, 2011–2025</w:t>
      </w:r>
    </w:p>
    <w:p>
      <w:pPr>
        <w:spacing w:before="0" w:after="0"/>
        <w:jc w:val="both"/>
      </w:pPr>
      <w:r>
        <w:rPr>
          <w:rFonts w:ascii="Times New Roman" w:hAnsi="Times New Roman"/>
          <w:b w:val="0"/>
          <w:i w:val="0"/>
        </w:rPr>
        <w:t>Fábio Luiz Vieira</w:t>
      </w:r>
    </w:p>
    <w:p>
      <w:pPr>
        <w:spacing w:before="0" w:after="0"/>
        <w:jc w:val="both"/>
      </w:pPr>
      <w:r>
        <w:rPr>
          <w:rFonts w:ascii="Times New Roman" w:hAnsi="Times New Roman"/>
          <w:b w:val="0"/>
          <w:i w:val="0"/>
        </w:rPr>
        <w:t>All analyses use the dataset, design and adjustment set described in the main manuscript: 283,847 road-traffic deaths, 77 provinces, 1 January 2011 – 24 August 2025; time-stratified case-crossover fitted as conditional Poisson with stratum = province × year × month × day-of-week; cluster-robust variance on province; adjusted for the Songkran and New Year windows and for precipitation unless stated otherwise.</w:t>
      </w:r>
    </w:p>
    <w:p>
      <w:pPr>
        <w:spacing w:after="200" w:line="312" w:lineRule="auto"/>
        <w:jc w:val="center"/>
      </w:pPr>
      <w:r>
        <w:rPr>
          <w:rFonts w:ascii="Times New Roman" w:hAnsi="Times New Roman"/>
          <w:b/>
          <w:sz w:val="30"/>
        </w:rPr>
        <w:t>S1. Humid heat</w:t>
      </w:r>
    </w:p>
    <w:p>
      <w:pPr>
        <w:spacing w:before="0" w:after="0"/>
        <w:jc w:val="both"/>
      </w:pPr>
      <w:r>
        <w:rPr>
          <w:rFonts w:ascii="Times New Roman" w:hAnsi="Times New Roman"/>
          <w:b w:val="0"/>
          <w:i w:val="0"/>
        </w:rPr>
        <w:t>The per-degree association is about three times larger in the wet season than the dry season and survives rain adjustment, raising the possibility that the operative exposure is humid heat rather than dry-bulb maximum temperature. Three competing explanations were tested.</w:t>
      </w:r>
    </w:p>
    <w:p>
      <w:pPr>
        <w:spacing w:before="0" w:after="0"/>
        <w:jc w:val="both"/>
      </w:pPr>
      <w:r>
        <w:rPr>
          <w:rFonts w:ascii="Times New Roman" w:hAnsi="Times New Roman"/>
          <w:b w:val="0"/>
          <w:i w:val="0"/>
        </w:rPr>
        <w:t xml:space="preserve">Humidity source: GSOD daily mean dewpoint by province. Relative humidity at the hottest hour is estimated as </w:t>
      </w:r>
      <w:r>
        <w:rPr>
          <w:rFonts w:ascii="Courier New" w:hAnsi="Courier New"/>
          <w:b w:val="0"/>
          <w:i w:val="0"/>
          <w:sz w:val="20"/>
        </w:rPr>
        <w:t>e(Td_mean)/es(Tmax)</w:t>
      </w:r>
      <w:r>
        <w:rPr>
          <w:rFonts w:ascii="Times New Roman" w:hAnsi="Times New Roman"/>
          <w:b w:val="0"/>
          <w:i w:val="0"/>
        </w:rPr>
        <w:t xml:space="preserve"> — dewpoint, unlike relative humidity, is roughly conserved through the day, so pairing Tmax with daily-</w:t>
      </w:r>
      <w:r>
        <w:rPr>
          <w:rFonts w:ascii="Times New Roman" w:hAnsi="Times New Roman"/>
          <w:b w:val="0"/>
          <w:i/>
        </w:rPr>
        <w:t>mean</w:t>
      </w:r>
      <w:r>
        <w:rPr>
          <w:rFonts w:ascii="Times New Roman" w:hAnsi="Times New Roman"/>
          <w:b w:val="0"/>
          <w:i w:val="0"/>
        </w:rPr>
        <w:t xml:space="preserve"> RH would substantially overstate the heat index. Composite metrics: NWS Rothfusz heat index, Steadman apparent temperature, Stull wet-bulb temperature.</w:t>
      </w:r>
    </w:p>
    <w:p>
      <w:r>
        <w:br w:type="page"/>
      </w:r>
    </w:p>
    <w:p>
      <w:pPr>
        <w:spacing w:before="280" w:after="80" w:line="360" w:lineRule="auto"/>
      </w:pPr>
      <w:r>
        <w:rPr>
          <w:rFonts w:ascii="Times New Roman" w:hAnsi="Times New Roman"/>
          <w:b/>
          <w:sz w:val="28"/>
        </w:rPr>
        <w:t>S1.1 Part of the seasonal gap is a difference in scale</w:t>
      </w:r>
    </w:p>
    <w:p>
      <w:pPr>
        <w:spacing w:before="0" w:after="0"/>
        <w:jc w:val="both"/>
      </w:pPr>
      <w:r>
        <w:rPr>
          <w:rFonts w:ascii="Times New Roman" w:hAnsi="Times New Roman"/>
          <w:b w:val="0"/>
          <w:i w:val="0"/>
        </w:rPr>
        <w:t>The wet-season Tmax distribution is narrower (SD 2.39 °C versus 3.25 °C; P5–P95 range 7.9 versus 10.9 °C), so "per +1 °C" is not comparable across seasons. Standardising to one province-specific standard deviation:</w:t>
      </w:r>
    </w:p>
    <w:tbl>
      <w:tblPr>
        <w:tblStyle w:val="TableGrid"/>
        <w:tblW w:type="auto" w:w="0"/>
        <w:tblLayout w:type="autofit"/>
        <w:tblLook w:firstColumn="1" w:firstRow="1" w:lastColumn="0" w:lastRow="0" w:noHBand="0" w:noVBand="1" w:val="04A0"/>
      </w:tblPr>
      <w:tblGrid>
        <w:gridCol w:w="3120"/>
        <w:gridCol w:w="3120"/>
        <w:gridCol w:w="3120"/>
      </w:tblGrid>
      <w:tr>
        <w:tc>
          <w:tcPr>
            <w:tcW w:type="dxa" w:w="3120"/>
          </w:tcPr>
          <w:p>
            <w:pPr>
              <w:spacing w:line="240" w:lineRule="auto" w:after="40" w:before="40"/>
            </w:pPr>
            <w:r>
              <w:rPr>
                <w:b/>
                <w:sz w:val="19"/>
              </w:rPr>
            </w:r>
            <w:r>
              <w:rPr>
                <w:rFonts w:ascii="Times New Roman" w:hAnsi="Times New Roman"/>
                <w:b/>
                <w:i w:val="0"/>
                <w:sz w:val="19"/>
              </w:rPr>
              <w:t>Season</w:t>
            </w:r>
          </w:p>
        </w:tc>
        <w:tc>
          <w:tcPr>
            <w:tcW w:type="dxa" w:w="3120"/>
          </w:tcPr>
          <w:p>
            <w:pPr>
              <w:spacing w:line="240" w:lineRule="auto" w:after="40" w:before="40"/>
            </w:pPr>
            <w:r>
              <w:rPr>
                <w:b/>
                <w:sz w:val="19"/>
              </w:rPr>
            </w:r>
            <w:r>
              <w:rPr>
                <w:rFonts w:ascii="Times New Roman" w:hAnsi="Times New Roman"/>
                <w:b/>
                <w:i w:val="0"/>
                <w:sz w:val="19"/>
              </w:rPr>
              <w:t>per +1 °C</w:t>
            </w:r>
          </w:p>
        </w:tc>
        <w:tc>
          <w:tcPr>
            <w:tcW w:type="dxa" w:w="3120"/>
          </w:tcPr>
          <w:p>
            <w:pPr>
              <w:spacing w:line="240" w:lineRule="auto" w:after="40" w:before="40"/>
            </w:pPr>
            <w:r>
              <w:rPr>
                <w:b/>
                <w:sz w:val="19"/>
              </w:rPr>
            </w:r>
            <w:r>
              <w:rPr>
                <w:rFonts w:ascii="Times New Roman" w:hAnsi="Times New Roman"/>
                <w:b/>
                <w:i w:val="0"/>
                <w:sz w:val="19"/>
              </w:rPr>
              <w:t>per 1 SD (95% CI)</w:t>
            </w:r>
          </w:p>
        </w:tc>
      </w:tr>
      <w:tr>
        <w:tc>
          <w:tcPr>
            <w:tcW w:type="dxa" w:w="3120"/>
          </w:tcPr>
          <w:p>
            <w:pPr>
              <w:spacing w:line="240" w:lineRule="auto" w:after="40" w:before="40"/>
            </w:pPr>
            <w:r>
              <w:rPr>
                <w:sz w:val="19"/>
              </w:rPr>
            </w:r>
            <w:r>
              <w:rPr>
                <w:rFonts w:ascii="Times New Roman" w:hAnsi="Times New Roman"/>
                <w:b w:val="0"/>
                <w:i w:val="0"/>
                <w:sz w:val="19"/>
              </w:rPr>
              <w:t>Dry (Nov–Apr)</w:t>
            </w:r>
          </w:p>
        </w:tc>
        <w:tc>
          <w:tcPr>
            <w:tcW w:type="dxa" w:w="3120"/>
          </w:tcPr>
          <w:p>
            <w:pPr>
              <w:spacing w:line="240" w:lineRule="auto" w:after="40" w:before="40"/>
            </w:pPr>
            <w:r>
              <w:rPr>
                <w:sz w:val="19"/>
              </w:rPr>
            </w:r>
            <w:r>
              <w:rPr>
                <w:rFonts w:ascii="Times New Roman" w:hAnsi="Times New Roman"/>
                <w:b w:val="0"/>
                <w:i w:val="0"/>
                <w:sz w:val="19"/>
              </w:rPr>
              <w:t>1.0080</w:t>
            </w:r>
          </w:p>
        </w:tc>
        <w:tc>
          <w:tcPr>
            <w:tcW w:type="dxa" w:w="3120"/>
          </w:tcPr>
          <w:p>
            <w:pPr>
              <w:spacing w:line="240" w:lineRule="auto" w:after="40" w:before="40"/>
            </w:pPr>
            <w:r>
              <w:rPr>
                <w:sz w:val="19"/>
              </w:rPr>
            </w:r>
            <w:r>
              <w:rPr>
                <w:rFonts w:ascii="Times New Roman" w:hAnsi="Times New Roman"/>
                <w:b w:val="0"/>
                <w:i w:val="0"/>
                <w:sz w:val="19"/>
              </w:rPr>
              <w:t>1.0261 (1.0154–1.0369)</w:t>
            </w:r>
          </w:p>
        </w:tc>
      </w:tr>
      <w:tr>
        <w:tc>
          <w:tcPr>
            <w:tcW w:type="dxa" w:w="3120"/>
          </w:tcPr>
          <w:p>
            <w:pPr>
              <w:spacing w:line="240" w:lineRule="auto" w:after="40" w:before="40"/>
            </w:pPr>
            <w:r>
              <w:rPr>
                <w:sz w:val="19"/>
              </w:rPr>
            </w:r>
            <w:r>
              <w:rPr>
                <w:rFonts w:ascii="Times New Roman" w:hAnsi="Times New Roman"/>
                <w:b w:val="0"/>
                <w:i w:val="0"/>
                <w:sz w:val="19"/>
              </w:rPr>
              <w:t>Wet (May–Oct)</w:t>
            </w:r>
          </w:p>
        </w:tc>
        <w:tc>
          <w:tcPr>
            <w:tcW w:type="dxa" w:w="3120"/>
          </w:tcPr>
          <w:p>
            <w:pPr>
              <w:spacing w:line="240" w:lineRule="auto" w:after="40" w:before="40"/>
            </w:pPr>
            <w:r>
              <w:rPr>
                <w:sz w:val="19"/>
              </w:rPr>
            </w:r>
            <w:r>
              <w:rPr>
                <w:rFonts w:ascii="Times New Roman" w:hAnsi="Times New Roman"/>
                <w:b w:val="0"/>
                <w:i w:val="0"/>
                <w:sz w:val="19"/>
              </w:rPr>
              <w:t>1.0223</w:t>
            </w:r>
          </w:p>
        </w:tc>
        <w:tc>
          <w:tcPr>
            <w:tcW w:type="dxa" w:w="3120"/>
          </w:tcPr>
          <w:p>
            <w:pPr>
              <w:spacing w:line="240" w:lineRule="auto" w:after="40" w:before="40"/>
            </w:pPr>
            <w:r>
              <w:rPr>
                <w:sz w:val="19"/>
              </w:rPr>
            </w:r>
            <w:r>
              <w:rPr>
                <w:rFonts w:ascii="Times New Roman" w:hAnsi="Times New Roman"/>
                <w:b w:val="0"/>
                <w:i w:val="0"/>
                <w:sz w:val="19"/>
              </w:rPr>
              <w:t>1.0450 (1.0325–1.0577)</w:t>
            </w:r>
          </w:p>
        </w:tc>
      </w:tr>
      <w:tr>
        <w:tc>
          <w:tcPr>
            <w:tcW w:type="dxa" w:w="3120"/>
          </w:tcPr>
          <w:p>
            <w:pPr>
              <w:spacing w:line="240" w:lineRule="auto" w:after="40" w:before="40"/>
            </w:pPr>
            <w:r>
              <w:rPr>
                <w:sz w:val="19"/>
              </w:rPr>
            </w:r>
            <w:r>
              <w:rPr>
                <w:rFonts w:ascii="Times New Roman" w:hAnsi="Times New Roman"/>
                <w:b w:val="0"/>
                <w:i w:val="0"/>
                <w:sz w:val="19"/>
              </w:rPr>
              <w:t>Ratio of excess risk</w:t>
            </w:r>
          </w:p>
        </w:tc>
        <w:tc>
          <w:tcPr>
            <w:tcW w:type="dxa" w:w="3120"/>
          </w:tcPr>
          <w:p>
            <w:pPr>
              <w:spacing w:line="240" w:lineRule="auto" w:after="40" w:before="40"/>
            </w:pPr>
            <w:r>
              <w:rPr>
                <w:sz w:val="19"/>
              </w:rPr>
            </w:r>
            <w:r>
              <w:rPr>
                <w:rFonts w:ascii="Times New Roman" w:hAnsi="Times New Roman"/>
                <w:b w:val="0"/>
                <w:i w:val="0"/>
                <w:sz w:val="19"/>
              </w:rPr>
              <w:t>2.8×</w:t>
            </w:r>
          </w:p>
        </w:tc>
        <w:tc>
          <w:tcPr>
            <w:tcW w:type="dxa" w:w="3120"/>
          </w:tcPr>
          <w:p>
            <w:pPr>
              <w:spacing w:line="240" w:lineRule="auto" w:after="40" w:before="40"/>
            </w:pPr>
            <w:r>
              <w:rPr>
                <w:sz w:val="19"/>
              </w:rPr>
            </w:r>
            <w:r>
              <w:rPr>
                <w:rFonts w:ascii="Times New Roman" w:hAnsi="Times New Roman"/>
                <w:b w:val="0"/>
                <w:i w:val="0"/>
                <w:sz w:val="19"/>
              </w:rPr>
              <w:t>1.7× (z = 2.24, p = 0.025)</w:t>
            </w:r>
          </w:p>
        </w:tc>
      </w:tr>
    </w:tbl>
    <w:p>
      <w:pPr>
        <w:spacing w:after="120"/>
      </w:pPr>
    </w:p>
    <w:p>
      <w:r>
        <w:br w:type="page"/>
      </w:r>
    </w:p>
    <w:p>
      <w:pPr>
        <w:spacing w:before="280" w:after="80" w:line="360" w:lineRule="auto"/>
      </w:pPr>
      <w:r>
        <w:rPr>
          <w:rFonts w:ascii="Times New Roman" w:hAnsi="Times New Roman"/>
          <w:b/>
          <w:sz w:val="28"/>
        </w:rPr>
        <w:t>S1.2 Composite humid-heat metrics fit worse than dry-bulb Tmax</w:t>
      </w:r>
    </w:p>
    <w:p>
      <w:pPr>
        <w:spacing w:before="0" w:after="0"/>
        <w:jc w:val="both"/>
      </w:pPr>
      <w:r>
        <w:rPr>
          <w:rFonts w:ascii="Times New Roman" w:hAnsi="Times New Roman"/>
          <w:b w:val="0"/>
          <w:i w:val="0"/>
        </w:rPr>
        <w:t>Fitted on the same rows with the same strata, so the conditional log-likelihoods are directly comparable across these non-nested exposure definitions.</w:t>
      </w:r>
    </w:p>
    <w:tbl>
      <w:tblPr>
        <w:tblStyle w:val="TableGrid"/>
        <w:tblW w:type="auto" w:w="0"/>
        <w:tblLayout w:type="autofit"/>
        <w:tblLook w:firstColumn="1" w:firstRow="1" w:lastColumn="0" w:lastRow="0" w:noHBand="0" w:noVBand="1" w:val="04A0"/>
      </w:tblPr>
      <w:tblGrid>
        <w:gridCol w:w="2340"/>
        <w:gridCol w:w="2340"/>
        <w:gridCol w:w="2340"/>
        <w:gridCol w:w="2340"/>
      </w:tblGrid>
      <w:tr>
        <w:tc>
          <w:tcPr>
            <w:tcW w:type="dxa" w:w="2340"/>
          </w:tcPr>
          <w:p>
            <w:pPr>
              <w:spacing w:line="240" w:lineRule="auto" w:after="40" w:before="40"/>
            </w:pPr>
            <w:r>
              <w:rPr>
                <w:b/>
                <w:sz w:val="19"/>
              </w:rPr>
            </w:r>
            <w:r>
              <w:rPr>
                <w:rFonts w:ascii="Times New Roman" w:hAnsi="Times New Roman"/>
                <w:b/>
                <w:i w:val="0"/>
                <w:sz w:val="19"/>
              </w:rPr>
              <w:t>Metric</w:t>
            </w:r>
          </w:p>
        </w:tc>
        <w:tc>
          <w:tcPr>
            <w:tcW w:type="dxa" w:w="2340"/>
          </w:tcPr>
          <w:p>
            <w:pPr>
              <w:spacing w:line="240" w:lineRule="auto" w:after="40" w:before="40"/>
            </w:pPr>
            <w:r>
              <w:rPr>
                <w:b/>
                <w:sz w:val="19"/>
              </w:rPr>
            </w:r>
            <w:r>
              <w:rPr>
                <w:rFonts w:ascii="Times New Roman" w:hAnsi="Times New Roman"/>
                <w:b/>
                <w:i w:val="0"/>
                <w:sz w:val="19"/>
              </w:rPr>
              <w:t>RR per 1 SD (95% CI)</w:t>
            </w:r>
          </w:p>
        </w:tc>
        <w:tc>
          <w:tcPr>
            <w:tcW w:type="dxa" w:w="2340"/>
          </w:tcPr>
          <w:p>
            <w:pPr>
              <w:spacing w:line="240" w:lineRule="auto" w:after="40" w:before="40"/>
            </w:pPr>
            <w:r>
              <w:rPr>
                <w:b/>
                <w:sz w:val="19"/>
              </w:rPr>
            </w:r>
            <w:r>
              <w:rPr>
                <w:rFonts w:ascii="Times New Roman" w:hAnsi="Times New Roman"/>
                <w:b/>
                <w:i w:val="0"/>
                <w:sz w:val="19"/>
              </w:rPr>
              <w:t>Δ log-likelihood vs Tmax</w:t>
            </w:r>
          </w:p>
        </w:tc>
        <w:tc>
          <w:tcPr>
            <w:tcW w:type="dxa" w:w="2340"/>
          </w:tcPr>
          <w:p>
            <w:pPr>
              <w:spacing w:line="240" w:lineRule="auto" w:after="40" w:before="40"/>
            </w:pPr>
            <w:r>
              <w:rPr>
                <w:b/>
                <w:sz w:val="19"/>
              </w:rPr>
            </w:r>
            <w:r>
              <w:rPr>
                <w:rFonts w:ascii="Times New Roman" w:hAnsi="Times New Roman"/>
                <w:b/>
                <w:i w:val="0"/>
                <w:sz w:val="19"/>
              </w:rPr>
              <w:t>Wet-vs-dry gap</w:t>
            </w:r>
          </w:p>
        </w:tc>
      </w:tr>
      <w:tr>
        <w:tc>
          <w:tcPr>
            <w:tcW w:type="dxa" w:w="2340"/>
          </w:tcPr>
          <w:p>
            <w:pPr>
              <w:spacing w:line="240" w:lineRule="auto" w:after="40" w:before="40"/>
            </w:pPr>
            <w:r>
              <w:rPr>
                <w:sz w:val="19"/>
              </w:rPr>
            </w:r>
            <w:r>
              <w:rPr>
                <w:rFonts w:ascii="Times New Roman" w:hAnsi="Times New Roman"/>
                <w:b/>
                <w:i w:val="0"/>
                <w:sz w:val="19"/>
              </w:rPr>
              <w:t>Tmax (dry bulb)</w:t>
            </w:r>
          </w:p>
        </w:tc>
        <w:tc>
          <w:tcPr>
            <w:tcW w:type="dxa" w:w="2340"/>
          </w:tcPr>
          <w:p>
            <w:pPr>
              <w:spacing w:line="240" w:lineRule="auto" w:after="40" w:before="40"/>
            </w:pPr>
            <w:r>
              <w:rPr>
                <w:sz w:val="19"/>
              </w:rPr>
            </w:r>
            <w:r>
              <w:rPr>
                <w:rFonts w:ascii="Times New Roman" w:hAnsi="Times New Roman"/>
                <w:b w:val="0"/>
                <w:i w:val="0"/>
                <w:sz w:val="19"/>
              </w:rPr>
              <w:t>1.0339 (1.0247–1.0433)</w:t>
            </w:r>
          </w:p>
        </w:tc>
        <w:tc>
          <w:tcPr>
            <w:tcW w:type="dxa" w:w="2340"/>
          </w:tcPr>
          <w:p>
            <w:pPr>
              <w:spacing w:line="240" w:lineRule="auto" w:after="40" w:before="40"/>
            </w:pPr>
            <w:r>
              <w:rPr>
                <w:sz w:val="19"/>
              </w:rPr>
            </w:r>
            <w:r>
              <w:rPr>
                <w:rFonts w:ascii="Times New Roman" w:hAnsi="Times New Roman"/>
                <w:b/>
                <w:i w:val="0"/>
                <w:sz w:val="19"/>
              </w:rPr>
              <w:t>0 (best fit)</w:t>
            </w:r>
          </w:p>
        </w:tc>
        <w:tc>
          <w:tcPr>
            <w:tcW w:type="dxa" w:w="2340"/>
          </w:tcPr>
          <w:p>
            <w:pPr>
              <w:spacing w:line="240" w:lineRule="auto" w:after="40" w:before="40"/>
            </w:pPr>
            <w:r>
              <w:rPr>
                <w:sz w:val="19"/>
              </w:rPr>
            </w:r>
            <w:r>
              <w:rPr>
                <w:rFonts w:ascii="Times New Roman" w:hAnsi="Times New Roman"/>
                <w:b w:val="0"/>
                <w:i w:val="0"/>
                <w:sz w:val="19"/>
              </w:rPr>
              <w:t>p = 0.025</w:t>
            </w:r>
          </w:p>
        </w:tc>
      </w:tr>
      <w:tr>
        <w:tc>
          <w:tcPr>
            <w:tcW w:type="dxa" w:w="2340"/>
          </w:tcPr>
          <w:p>
            <w:pPr>
              <w:spacing w:line="240" w:lineRule="auto" w:after="40" w:before="40"/>
            </w:pPr>
            <w:r>
              <w:rPr>
                <w:sz w:val="19"/>
              </w:rPr>
            </w:r>
            <w:r>
              <w:rPr>
                <w:rFonts w:ascii="Times New Roman" w:hAnsi="Times New Roman"/>
                <w:b w:val="0"/>
                <w:i w:val="0"/>
                <w:sz w:val="19"/>
              </w:rPr>
              <w:t>Heat index</w:t>
            </w:r>
          </w:p>
        </w:tc>
        <w:tc>
          <w:tcPr>
            <w:tcW w:type="dxa" w:w="2340"/>
          </w:tcPr>
          <w:p>
            <w:pPr>
              <w:spacing w:line="240" w:lineRule="auto" w:after="40" w:before="40"/>
            </w:pPr>
            <w:r>
              <w:rPr>
                <w:sz w:val="19"/>
              </w:rPr>
            </w:r>
            <w:r>
              <w:rPr>
                <w:rFonts w:ascii="Times New Roman" w:hAnsi="Times New Roman"/>
                <w:b w:val="0"/>
                <w:i w:val="0"/>
                <w:sz w:val="19"/>
              </w:rPr>
              <w:t>1.0261 (1.0160–1.0363)</w:t>
            </w:r>
          </w:p>
        </w:tc>
        <w:tc>
          <w:tcPr>
            <w:tcW w:type="dxa" w:w="2340"/>
          </w:tcPr>
          <w:p>
            <w:pPr>
              <w:spacing w:line="240" w:lineRule="auto" w:after="40" w:before="40"/>
            </w:pPr>
            <w:r>
              <w:rPr>
                <w:sz w:val="19"/>
              </w:rPr>
            </w:r>
            <w:r>
              <w:rPr>
                <w:rFonts w:ascii="Times New Roman" w:hAnsi="Times New Roman"/>
                <w:b w:val="0"/>
                <w:i w:val="0"/>
                <w:sz w:val="19"/>
              </w:rPr>
              <w:t>−26.0</w:t>
            </w:r>
          </w:p>
        </w:tc>
        <w:tc>
          <w:tcPr>
            <w:tcW w:type="dxa" w:w="2340"/>
          </w:tcPr>
          <w:p>
            <w:pPr>
              <w:spacing w:line="240" w:lineRule="auto" w:after="40" w:before="40"/>
            </w:pPr>
            <w:r>
              <w:rPr>
                <w:sz w:val="19"/>
              </w:rPr>
            </w:r>
            <w:r>
              <w:rPr>
                <w:rFonts w:ascii="Times New Roman" w:hAnsi="Times New Roman"/>
                <w:b w:val="0"/>
                <w:i w:val="0"/>
                <w:sz w:val="19"/>
              </w:rPr>
              <w:t>p = 0.0047</w:t>
            </w:r>
          </w:p>
        </w:tc>
      </w:tr>
      <w:tr>
        <w:tc>
          <w:tcPr>
            <w:tcW w:type="dxa" w:w="2340"/>
          </w:tcPr>
          <w:p>
            <w:pPr>
              <w:spacing w:line="240" w:lineRule="auto" w:after="40" w:before="40"/>
            </w:pPr>
            <w:r>
              <w:rPr>
                <w:sz w:val="19"/>
              </w:rPr>
            </w:r>
            <w:r>
              <w:rPr>
                <w:rFonts w:ascii="Times New Roman" w:hAnsi="Times New Roman"/>
                <w:b w:val="0"/>
                <w:i w:val="0"/>
                <w:sz w:val="19"/>
              </w:rPr>
              <w:t>Apparent temperature</w:t>
            </w:r>
          </w:p>
        </w:tc>
        <w:tc>
          <w:tcPr>
            <w:tcW w:type="dxa" w:w="2340"/>
          </w:tcPr>
          <w:p>
            <w:pPr>
              <w:spacing w:line="240" w:lineRule="auto" w:after="40" w:before="40"/>
            </w:pPr>
            <w:r>
              <w:rPr>
                <w:sz w:val="19"/>
              </w:rPr>
            </w:r>
            <w:r>
              <w:rPr>
                <w:rFonts w:ascii="Times New Roman" w:hAnsi="Times New Roman"/>
                <w:b w:val="0"/>
                <w:i w:val="0"/>
                <w:sz w:val="19"/>
              </w:rPr>
              <w:t>1.0265 (1.0168–1.0362)</w:t>
            </w:r>
          </w:p>
        </w:tc>
        <w:tc>
          <w:tcPr>
            <w:tcW w:type="dxa" w:w="2340"/>
          </w:tcPr>
          <w:p>
            <w:pPr>
              <w:spacing w:line="240" w:lineRule="auto" w:after="40" w:before="40"/>
            </w:pPr>
            <w:r>
              <w:rPr>
                <w:sz w:val="19"/>
              </w:rPr>
            </w:r>
            <w:r>
              <w:rPr>
                <w:rFonts w:ascii="Times New Roman" w:hAnsi="Times New Roman"/>
                <w:b w:val="0"/>
                <w:i w:val="0"/>
                <w:sz w:val="19"/>
              </w:rPr>
              <w:t>−23.3</w:t>
            </w:r>
          </w:p>
        </w:tc>
        <w:tc>
          <w:tcPr>
            <w:tcW w:type="dxa" w:w="2340"/>
          </w:tcPr>
          <w:p>
            <w:pPr>
              <w:spacing w:line="240" w:lineRule="auto" w:after="40" w:before="40"/>
            </w:pPr>
            <w:r>
              <w:rPr>
                <w:sz w:val="19"/>
              </w:rPr>
            </w:r>
            <w:r>
              <w:rPr>
                <w:rFonts w:ascii="Times New Roman" w:hAnsi="Times New Roman"/>
                <w:b w:val="0"/>
                <w:i w:val="0"/>
                <w:sz w:val="19"/>
              </w:rPr>
              <w:t>p = 0.0058</w:t>
            </w:r>
          </w:p>
        </w:tc>
      </w:tr>
      <w:tr>
        <w:tc>
          <w:tcPr>
            <w:tcW w:type="dxa" w:w="2340"/>
          </w:tcPr>
          <w:p>
            <w:pPr>
              <w:spacing w:line="240" w:lineRule="auto" w:after="40" w:before="40"/>
            </w:pPr>
            <w:r>
              <w:rPr>
                <w:sz w:val="19"/>
              </w:rPr>
            </w:r>
            <w:r>
              <w:rPr>
                <w:rFonts w:ascii="Times New Roman" w:hAnsi="Times New Roman"/>
                <w:b w:val="0"/>
                <w:i w:val="0"/>
                <w:sz w:val="19"/>
              </w:rPr>
              <w:t>Wet-bulb temperature</w:t>
            </w:r>
          </w:p>
        </w:tc>
        <w:tc>
          <w:tcPr>
            <w:tcW w:type="dxa" w:w="2340"/>
          </w:tcPr>
          <w:p>
            <w:pPr>
              <w:spacing w:line="240" w:lineRule="auto" w:after="40" w:before="40"/>
            </w:pPr>
            <w:r>
              <w:rPr>
                <w:sz w:val="19"/>
              </w:rPr>
            </w:r>
            <w:r>
              <w:rPr>
                <w:rFonts w:ascii="Times New Roman" w:hAnsi="Times New Roman"/>
                <w:b w:val="0"/>
                <w:i w:val="0"/>
                <w:sz w:val="19"/>
              </w:rPr>
              <w:t>1.0130 (1.0033–1.0228)</w:t>
            </w:r>
          </w:p>
        </w:tc>
        <w:tc>
          <w:tcPr>
            <w:tcW w:type="dxa" w:w="2340"/>
          </w:tcPr>
          <w:p>
            <w:pPr>
              <w:spacing w:line="240" w:lineRule="auto" w:after="40" w:before="40"/>
            </w:pPr>
            <w:r>
              <w:rPr>
                <w:sz w:val="19"/>
              </w:rPr>
            </w:r>
            <w:r>
              <w:rPr>
                <w:rFonts w:ascii="Times New Roman" w:hAnsi="Times New Roman"/>
                <w:b w:val="0"/>
                <w:i w:val="0"/>
                <w:sz w:val="19"/>
              </w:rPr>
              <w:t>−47.6</w:t>
            </w:r>
          </w:p>
        </w:tc>
        <w:tc>
          <w:tcPr>
            <w:tcW w:type="dxa" w:w="2340"/>
          </w:tcPr>
          <w:p>
            <w:pPr>
              <w:spacing w:line="240" w:lineRule="auto" w:after="40" w:before="40"/>
            </w:pPr>
            <w:r>
              <w:rPr>
                <w:sz w:val="19"/>
              </w:rPr>
            </w:r>
            <w:r>
              <w:rPr>
                <w:rFonts w:ascii="Times New Roman" w:hAnsi="Times New Roman"/>
                <w:b w:val="0"/>
                <w:i w:val="0"/>
                <w:sz w:val="19"/>
              </w:rPr>
              <w:t>p = 0.0115</w:t>
            </w:r>
          </w:p>
        </w:tc>
      </w:tr>
    </w:tbl>
    <w:p>
      <w:pPr>
        <w:spacing w:after="120"/>
      </w:pPr>
    </w:p>
    <w:p>
      <w:pPr>
        <w:spacing w:before="0" w:after="0"/>
        <w:jc w:val="both"/>
      </w:pPr>
      <w:r>
        <w:rPr>
          <w:rFonts w:ascii="Times New Roman" w:hAnsi="Times New Roman"/>
          <w:b w:val="0"/>
          <w:i w:val="0"/>
        </w:rPr>
        <w:t>If humid heat were the operative exposure, these metrics should fit better and should narrow the seasonal gap. They do neither.</w:t>
      </w:r>
    </w:p>
    <w:p>
      <w:r>
        <w:br w:type="page"/>
      </w:r>
    </w:p>
    <w:p>
      <w:pPr>
        <w:spacing w:before="280" w:after="80" w:line="360" w:lineRule="auto"/>
      </w:pPr>
      <w:r>
        <w:rPr>
          <w:rFonts w:ascii="Times New Roman" w:hAnsi="Times New Roman"/>
          <w:b/>
          <w:sz w:val="28"/>
        </w:rPr>
        <w:t>S1.3 Humidity enters as an inverse independent association, not as an amplifier</w:t>
      </w:r>
    </w:p>
    <w:p>
      <w:pPr>
        <w:spacing w:before="0" w:after="0"/>
        <w:jc w:val="both"/>
      </w:pPr>
      <w:r>
        <w:rPr>
          <w:rFonts w:ascii="Times New Roman" w:hAnsi="Times New Roman"/>
          <w:b w:val="0"/>
          <w:i w:val="0"/>
        </w:rPr>
        <w:t>Nested likelihood-ratio tests (2 df) against a Tmax-only model:</w:t>
      </w:r>
    </w:p>
    <w:tbl>
      <w:tblPr>
        <w:tblStyle w:val="TableGrid"/>
        <w:tblW w:type="auto" w:w="0"/>
        <w:tblLayout w:type="autofit"/>
        <w:tblLook w:firstColumn="1" w:firstRow="1" w:lastColumn="0" w:lastRow="0" w:noHBand="0" w:noVBand="1" w:val="04A0"/>
      </w:tblPr>
      <w:tblGrid>
        <w:gridCol w:w="2340"/>
        <w:gridCol w:w="2340"/>
        <w:gridCol w:w="2340"/>
        <w:gridCol w:w="2340"/>
      </w:tblGrid>
      <w:tr>
        <w:tc>
          <w:tcPr>
            <w:tcW w:type="dxa" w:w="2340"/>
          </w:tcPr>
          <w:p>
            <w:pPr>
              <w:spacing w:line="240" w:lineRule="auto" w:after="40" w:before="40"/>
            </w:pPr>
            <w:r>
              <w:rPr>
                <w:b/>
                <w:sz w:val="19"/>
              </w:rPr>
            </w:r>
            <w:r>
              <w:rPr>
                <w:rFonts w:ascii="Times New Roman" w:hAnsi="Times New Roman"/>
                <w:b/>
                <w:i w:val="0"/>
                <w:sz w:val="19"/>
              </w:rPr>
              <w:t>Model</w:t>
            </w:r>
          </w:p>
        </w:tc>
        <w:tc>
          <w:tcPr>
            <w:tcW w:type="dxa" w:w="2340"/>
          </w:tcPr>
          <w:p>
            <w:pPr>
              <w:spacing w:line="240" w:lineRule="auto" w:after="40" w:before="40"/>
            </w:pPr>
            <w:r>
              <w:rPr>
                <w:b/>
                <w:sz w:val="19"/>
              </w:rPr>
            </w:r>
            <w:r>
              <w:rPr>
                <w:rFonts w:ascii="Times New Roman" w:hAnsi="Times New Roman"/>
                <w:b/>
                <w:i w:val="0"/>
                <w:sz w:val="19"/>
              </w:rPr>
              <w:t>Humidity main effect</w:t>
            </w:r>
          </w:p>
        </w:tc>
        <w:tc>
          <w:tcPr>
            <w:tcW w:type="dxa" w:w="2340"/>
          </w:tcPr>
          <w:p>
            <w:pPr>
              <w:spacing w:line="240" w:lineRule="auto" w:after="40" w:before="40"/>
            </w:pPr>
            <w:r>
              <w:rPr>
                <w:b/>
                <w:sz w:val="19"/>
              </w:rPr>
            </w:r>
            <w:r>
              <w:rPr>
                <w:rFonts w:ascii="Times New Roman" w:hAnsi="Times New Roman"/>
                <w:b/>
                <w:i w:val="0"/>
                <w:sz w:val="19"/>
              </w:rPr>
              <w:t>Tmax × humidity interaction</w:t>
            </w:r>
          </w:p>
        </w:tc>
        <w:tc>
          <w:tcPr>
            <w:tcW w:type="dxa" w:w="2340"/>
          </w:tcPr>
          <w:p>
            <w:pPr>
              <w:spacing w:line="240" w:lineRule="auto" w:after="40" w:before="40"/>
            </w:pPr>
            <w:r>
              <w:rPr>
                <w:b/>
                <w:sz w:val="19"/>
              </w:rPr>
            </w:r>
            <w:r>
              <w:rPr>
                <w:rFonts w:ascii="Times New Roman" w:hAnsi="Times New Roman"/>
                <w:b/>
                <w:i w:val="0"/>
                <w:sz w:val="19"/>
              </w:rPr>
              <w:t>LR χ²(2)</w:t>
            </w:r>
          </w:p>
        </w:tc>
      </w:tr>
      <w:tr>
        <w:tc>
          <w:tcPr>
            <w:tcW w:type="dxa" w:w="2340"/>
          </w:tcPr>
          <w:p>
            <w:pPr>
              <w:spacing w:line="240" w:lineRule="auto" w:after="40" w:before="40"/>
            </w:pPr>
            <w:r>
              <w:rPr>
                <w:sz w:val="19"/>
              </w:rPr>
            </w:r>
            <w:r>
              <w:rPr>
                <w:rFonts w:ascii="Times New Roman" w:hAnsi="Times New Roman"/>
                <w:b w:val="0"/>
                <w:i w:val="0"/>
                <w:sz w:val="19"/>
              </w:rPr>
              <w:t>+ dewpoint</w:t>
            </w:r>
          </w:p>
        </w:tc>
        <w:tc>
          <w:tcPr>
            <w:tcW w:type="dxa" w:w="2340"/>
          </w:tcPr>
          <w:p>
            <w:pPr>
              <w:spacing w:line="240" w:lineRule="auto" w:after="40" w:before="40"/>
            </w:pPr>
            <w:r>
              <w:rPr>
                <w:sz w:val="19"/>
              </w:rPr>
            </w:r>
            <w:r>
              <w:rPr>
                <w:rFonts w:ascii="Times New Roman" w:hAnsi="Times New Roman"/>
                <w:b w:val="0"/>
                <w:i w:val="0"/>
                <w:sz w:val="19"/>
              </w:rPr>
              <w:t>0.9760 (0.9678–0.9843)</w:t>
            </w:r>
          </w:p>
        </w:tc>
        <w:tc>
          <w:tcPr>
            <w:tcW w:type="dxa" w:w="2340"/>
          </w:tcPr>
          <w:p>
            <w:pPr>
              <w:spacing w:line="240" w:lineRule="auto" w:after="40" w:before="40"/>
            </w:pPr>
            <w:r>
              <w:rPr>
                <w:sz w:val="19"/>
              </w:rPr>
            </w:r>
            <w:r>
              <w:rPr>
                <w:rFonts w:ascii="Times New Roman" w:hAnsi="Times New Roman"/>
                <w:b w:val="0"/>
                <w:i w:val="0"/>
                <w:sz w:val="19"/>
              </w:rPr>
              <w:t>1.0012, p = 0.56</w:t>
            </w:r>
          </w:p>
        </w:tc>
        <w:tc>
          <w:tcPr>
            <w:tcW w:type="dxa" w:w="2340"/>
          </w:tcPr>
          <w:p>
            <w:pPr>
              <w:spacing w:line="240" w:lineRule="auto" w:after="40" w:before="40"/>
            </w:pPr>
            <w:r>
              <w:rPr>
                <w:sz w:val="19"/>
              </w:rPr>
            </w:r>
            <w:r>
              <w:rPr>
                <w:rFonts w:ascii="Times New Roman" w:hAnsi="Times New Roman"/>
                <w:b w:val="0"/>
                <w:i w:val="0"/>
                <w:sz w:val="19"/>
              </w:rPr>
              <w:t xml:space="preserve">40.1, p = </w:t>
            </w:r>
            <w:r>
              <w:rPr>
                <w:rFonts w:ascii="Times New Roman" w:hAnsi="Times New Roman"/>
                <w:b w:val="0"/>
                <w:i w:val="0"/>
                <w:sz w:val="19"/>
              </w:rPr>
              <w:t>8 × 10</w:t>
            </w:r>
            <w:r>
              <w:rPr>
                <w:rFonts w:ascii="Times New Roman" w:hAnsi="Times New Roman"/>
                <w:b w:val="0"/>
                <w:i w:val="0"/>
                <w:sz w:val="19"/>
                <w:vertAlign w:val="superscript"/>
              </w:rPr>
              <w:t>-6</w:t>
            </w:r>
          </w:p>
        </w:tc>
      </w:tr>
      <w:tr>
        <w:tc>
          <w:tcPr>
            <w:tcW w:type="dxa" w:w="2340"/>
          </w:tcPr>
          <w:p>
            <w:pPr>
              <w:spacing w:line="240" w:lineRule="auto" w:after="40" w:before="40"/>
            </w:pPr>
            <w:r>
              <w:rPr>
                <w:sz w:val="19"/>
              </w:rPr>
            </w:r>
            <w:r>
              <w:rPr>
                <w:rFonts w:ascii="Times New Roman" w:hAnsi="Times New Roman"/>
                <w:b w:val="0"/>
                <w:i w:val="0"/>
                <w:sz w:val="19"/>
              </w:rPr>
              <w:t>+ RH at Tmax</w:t>
            </w:r>
          </w:p>
        </w:tc>
        <w:tc>
          <w:tcPr>
            <w:tcW w:type="dxa" w:w="2340"/>
          </w:tcPr>
          <w:p>
            <w:pPr>
              <w:spacing w:line="240" w:lineRule="auto" w:after="40" w:before="40"/>
            </w:pPr>
            <w:r>
              <w:rPr>
                <w:sz w:val="19"/>
              </w:rPr>
            </w:r>
            <w:r>
              <w:rPr>
                <w:rFonts w:ascii="Times New Roman" w:hAnsi="Times New Roman"/>
                <w:b w:val="0"/>
                <w:i w:val="0"/>
                <w:sz w:val="19"/>
              </w:rPr>
              <w:t>0.9698 (0.9601–0.9797)</w:t>
            </w:r>
          </w:p>
        </w:tc>
        <w:tc>
          <w:tcPr>
            <w:tcW w:type="dxa" w:w="2340"/>
          </w:tcPr>
          <w:p>
            <w:pPr>
              <w:spacing w:line="240" w:lineRule="auto" w:after="40" w:before="40"/>
            </w:pPr>
            <w:r>
              <w:rPr>
                <w:sz w:val="19"/>
              </w:rPr>
            </w:r>
            <w:r>
              <w:rPr>
                <w:rFonts w:ascii="Times New Roman" w:hAnsi="Times New Roman"/>
                <w:b w:val="0"/>
                <w:i w:val="0"/>
                <w:sz w:val="19"/>
              </w:rPr>
              <w:t>1.0023, p = 0.28</w:t>
            </w:r>
          </w:p>
        </w:tc>
        <w:tc>
          <w:tcPr>
            <w:tcW w:type="dxa" w:w="2340"/>
          </w:tcPr>
          <w:p>
            <w:pPr>
              <w:spacing w:line="240" w:lineRule="auto" w:after="40" w:before="40"/>
            </w:pPr>
            <w:r>
              <w:rPr>
                <w:sz w:val="19"/>
              </w:rPr>
            </w:r>
            <w:r>
              <w:rPr>
                <w:rFonts w:ascii="Times New Roman" w:hAnsi="Times New Roman"/>
                <w:b w:val="0"/>
                <w:i w:val="0"/>
                <w:sz w:val="19"/>
              </w:rPr>
              <w:t xml:space="preserve">56.7, p = </w:t>
            </w:r>
            <w:r>
              <w:rPr>
                <w:rFonts w:ascii="Times New Roman" w:hAnsi="Times New Roman"/>
                <w:b w:val="0"/>
                <w:i w:val="0"/>
                <w:sz w:val="19"/>
              </w:rPr>
              <w:t>1 × 10</w:t>
            </w:r>
            <w:r>
              <w:rPr>
                <w:rFonts w:ascii="Times New Roman" w:hAnsi="Times New Roman"/>
                <w:b w:val="0"/>
                <w:i w:val="0"/>
                <w:sz w:val="19"/>
                <w:vertAlign w:val="superscript"/>
              </w:rPr>
              <w:t>-7</w:t>
            </w:r>
          </w:p>
        </w:tc>
      </w:tr>
      <w:tr>
        <w:tc>
          <w:tcPr>
            <w:tcW w:type="dxa" w:w="2340"/>
          </w:tcPr>
          <w:p>
            <w:pPr>
              <w:spacing w:line="240" w:lineRule="auto" w:after="40" w:before="40"/>
            </w:pPr>
            <w:r>
              <w:rPr>
                <w:sz w:val="19"/>
              </w:rPr>
            </w:r>
            <w:r>
              <w:rPr>
                <w:rFonts w:ascii="Times New Roman" w:hAnsi="Times New Roman"/>
                <w:b w:val="0"/>
                <w:i w:val="0"/>
                <w:sz w:val="19"/>
              </w:rPr>
              <w:t>+ vapour pressure</w:t>
            </w:r>
          </w:p>
        </w:tc>
        <w:tc>
          <w:tcPr>
            <w:tcW w:type="dxa" w:w="2340"/>
          </w:tcPr>
          <w:p>
            <w:pPr>
              <w:spacing w:line="240" w:lineRule="auto" w:after="40" w:before="40"/>
            </w:pPr>
            <w:r>
              <w:rPr>
                <w:sz w:val="19"/>
              </w:rPr>
            </w:r>
            <w:r>
              <w:rPr>
                <w:rFonts w:ascii="Times New Roman" w:hAnsi="Times New Roman"/>
                <w:b w:val="0"/>
                <w:i w:val="0"/>
                <w:sz w:val="19"/>
              </w:rPr>
              <w:t>0.9749 (0.9665–0.9834)</w:t>
            </w:r>
          </w:p>
        </w:tc>
        <w:tc>
          <w:tcPr>
            <w:tcW w:type="dxa" w:w="2340"/>
          </w:tcPr>
          <w:p>
            <w:pPr>
              <w:spacing w:line="240" w:lineRule="auto" w:after="40" w:before="40"/>
            </w:pPr>
            <w:r>
              <w:rPr>
                <w:sz w:val="19"/>
              </w:rPr>
            </w:r>
            <w:r>
              <w:rPr>
                <w:rFonts w:ascii="Times New Roman" w:hAnsi="Times New Roman"/>
                <w:b w:val="0"/>
                <w:i w:val="0"/>
                <w:sz w:val="19"/>
              </w:rPr>
              <w:t>1.0027, p = 0.23</w:t>
            </w:r>
          </w:p>
        </w:tc>
        <w:tc>
          <w:tcPr>
            <w:tcW w:type="dxa" w:w="2340"/>
          </w:tcPr>
          <w:p>
            <w:pPr>
              <w:spacing w:line="240" w:lineRule="auto" w:after="40" w:before="40"/>
            </w:pPr>
            <w:r>
              <w:rPr>
                <w:sz w:val="19"/>
              </w:rPr>
            </w:r>
            <w:r>
              <w:rPr>
                <w:rFonts w:ascii="Times New Roman" w:hAnsi="Times New Roman"/>
                <w:b w:val="0"/>
                <w:i w:val="0"/>
                <w:sz w:val="19"/>
              </w:rPr>
              <w:t xml:space="preserve">43.4, p = </w:t>
            </w:r>
            <w:r>
              <w:rPr>
                <w:rFonts w:ascii="Times New Roman" w:hAnsi="Times New Roman"/>
                <w:b w:val="0"/>
                <w:i w:val="0"/>
                <w:sz w:val="19"/>
              </w:rPr>
              <w:t>3 × 10</w:t>
            </w:r>
            <w:r>
              <w:rPr>
                <w:rFonts w:ascii="Times New Roman" w:hAnsi="Times New Roman"/>
                <w:b w:val="0"/>
                <w:i w:val="0"/>
                <w:sz w:val="19"/>
                <w:vertAlign w:val="superscript"/>
              </w:rPr>
              <w:t>-6</w:t>
            </w:r>
          </w:p>
        </w:tc>
      </w:tr>
    </w:tbl>
    <w:p>
      <w:pPr>
        <w:spacing w:after="120"/>
      </w:pPr>
    </w:p>
    <w:p>
      <w:pPr>
        <w:spacing w:before="0" w:after="0"/>
        <w:jc w:val="both"/>
      </w:pPr>
      <w:r>
        <w:rPr>
          <w:rFonts w:ascii="Times New Roman" w:hAnsi="Times New Roman"/>
          <w:b w:val="0"/>
          <w:i w:val="0"/>
        </w:rPr>
        <w:t xml:space="preserve">Humidity improves the model, but as an independent inverse association: more humid days have fewer road deaths, net of measured precipitation. </w:t>
      </w:r>
      <w:r>
        <w:rPr>
          <w:rFonts w:ascii="Times New Roman" w:hAnsi="Times New Roman"/>
          <w:b/>
          <w:i w:val="0"/>
        </w:rPr>
        <w:t>Every interaction term is null.</w:t>
      </w:r>
    </w:p>
    <w:p>
      <w:pPr>
        <w:spacing w:before="0" w:after="0"/>
        <w:jc w:val="both"/>
      </w:pPr>
      <w:r>
        <w:rPr>
          <w:rFonts w:ascii="Times New Roman" w:hAnsi="Times New Roman"/>
          <w:b w:val="0"/>
          <w:i w:val="0"/>
        </w:rPr>
        <w:t>Because humidity was negatively confounding the temperature association, adjusting for it makes the dry-bulb estimate larger (per 1 SD: 1.0339 → 1.0437) and closes roughly half the seasonal gap (excess-risk ratio 2.33× → 1.62×; p 0.0013 → 0.029). A residual seasonal difference remains and is unexplained by scale, rain or humidity.</w:t>
      </w:r>
    </w:p>
    <w:p>
      <w:r>
        <w:br w:type="page"/>
      </w:r>
    </w:p>
    <w:p>
      <w:pPr>
        <w:spacing w:before="280" w:after="80" w:line="360" w:lineRule="auto"/>
      </w:pPr>
      <w:r>
        <w:rPr>
          <w:rFonts w:ascii="Times New Roman" w:hAnsi="Times New Roman"/>
          <w:b/>
          <w:sz w:val="28"/>
        </w:rPr>
        <w:t>S1.4 The headline results are unchanged by humidity adjustment</w:t>
      </w:r>
    </w:p>
    <w:tbl>
      <w:tblPr>
        <w:tblStyle w:val="TableGrid"/>
        <w:tblW w:type="auto" w:w="0"/>
        <w:tblLayout w:type="autofit"/>
        <w:tblLook w:firstColumn="1" w:firstRow="1" w:lastColumn="0" w:lastRow="0" w:noHBand="0" w:noVBand="1" w:val="04A0"/>
      </w:tblPr>
      <w:tblGrid>
        <w:gridCol w:w="3120"/>
        <w:gridCol w:w="3120"/>
        <w:gridCol w:w="3120"/>
      </w:tblGrid>
      <w:tr>
        <w:tc>
          <w:tcPr>
            <w:tcW w:type="dxa" w:w="3120"/>
          </w:tcPr>
          <w:p>
            <w:pPr>
              <w:spacing w:line="240" w:lineRule="auto" w:after="40" w:before="40"/>
            </w:pPr>
            <w:r>
              <w:rPr>
                <w:b/>
                <w:sz w:val="19"/>
              </w:rPr>
            </w:r>
            <w:r>
              <w:rPr>
                <w:rFonts w:ascii="Times New Roman" w:hAnsi="Times New Roman"/>
                <w:b/>
                <w:i w:val="0"/>
                <w:sz w:val="19"/>
              </w:rPr>
              <w:t>Band</w:t>
            </w:r>
          </w:p>
        </w:tc>
        <w:tc>
          <w:tcPr>
            <w:tcW w:type="dxa" w:w="3120"/>
          </w:tcPr>
          <w:p>
            <w:pPr>
              <w:spacing w:line="240" w:lineRule="auto" w:after="40" w:before="40"/>
            </w:pPr>
            <w:r>
              <w:rPr>
                <w:b/>
                <w:sz w:val="19"/>
              </w:rPr>
            </w:r>
            <w:r>
              <w:rPr>
                <w:rFonts w:ascii="Times New Roman" w:hAnsi="Times New Roman"/>
                <w:b/>
                <w:i w:val="0"/>
                <w:sz w:val="19"/>
              </w:rPr>
              <w:t>Without humidity</w:t>
            </w:r>
          </w:p>
        </w:tc>
        <w:tc>
          <w:tcPr>
            <w:tcW w:type="dxa" w:w="3120"/>
          </w:tcPr>
          <w:p>
            <w:pPr>
              <w:spacing w:line="240" w:lineRule="auto" w:after="40" w:before="40"/>
            </w:pPr>
            <w:r>
              <w:rPr>
                <w:b/>
                <w:sz w:val="19"/>
              </w:rPr>
            </w:r>
            <w:r>
              <w:rPr>
                <w:rFonts w:ascii="Times New Roman" w:hAnsi="Times New Roman"/>
                <w:b/>
                <w:i w:val="0"/>
                <w:sz w:val="19"/>
              </w:rPr>
              <w:t>With dewpoint</w:t>
            </w:r>
          </w:p>
        </w:tc>
      </w:tr>
      <w:tr>
        <w:tc>
          <w:tcPr>
            <w:tcW w:type="dxa" w:w="3120"/>
          </w:tcPr>
          <w:p>
            <w:pPr>
              <w:spacing w:line="240" w:lineRule="auto" w:after="40" w:before="40"/>
            </w:pPr>
            <w:r>
              <w:rPr>
                <w:sz w:val="19"/>
              </w:rPr>
            </w:r>
            <w:r>
              <w:rPr>
                <w:rFonts w:ascii="Times New Roman" w:hAnsi="Times New Roman"/>
                <w:b w:val="0"/>
                <w:i w:val="0"/>
                <w:sz w:val="19"/>
              </w:rPr>
              <w:t>P60–75</w:t>
            </w:r>
          </w:p>
        </w:tc>
        <w:tc>
          <w:tcPr>
            <w:tcW w:type="dxa" w:w="3120"/>
          </w:tcPr>
          <w:p>
            <w:pPr>
              <w:spacing w:line="240" w:lineRule="auto" w:after="40" w:before="40"/>
            </w:pPr>
            <w:r>
              <w:rPr>
                <w:sz w:val="19"/>
              </w:rPr>
            </w:r>
            <w:r>
              <w:rPr>
                <w:rFonts w:ascii="Times New Roman" w:hAnsi="Times New Roman"/>
                <w:b w:val="0"/>
                <w:i w:val="0"/>
                <w:sz w:val="19"/>
              </w:rPr>
              <w:t>1.0293</w:t>
            </w:r>
          </w:p>
        </w:tc>
        <w:tc>
          <w:tcPr>
            <w:tcW w:type="dxa" w:w="3120"/>
          </w:tcPr>
          <w:p>
            <w:pPr>
              <w:spacing w:line="240" w:lineRule="auto" w:after="40" w:before="40"/>
            </w:pPr>
            <w:r>
              <w:rPr>
                <w:sz w:val="19"/>
              </w:rPr>
            </w:r>
            <w:r>
              <w:rPr>
                <w:rFonts w:ascii="Times New Roman" w:hAnsi="Times New Roman"/>
                <w:b w:val="0"/>
                <w:i w:val="0"/>
                <w:sz w:val="19"/>
              </w:rPr>
              <w:t>1.0314</w:t>
            </w:r>
          </w:p>
        </w:tc>
      </w:tr>
      <w:tr>
        <w:tc>
          <w:tcPr>
            <w:tcW w:type="dxa" w:w="3120"/>
          </w:tcPr>
          <w:p>
            <w:pPr>
              <w:spacing w:line="240" w:lineRule="auto" w:after="40" w:before="40"/>
            </w:pPr>
            <w:r>
              <w:rPr>
                <w:sz w:val="19"/>
              </w:rPr>
            </w:r>
            <w:r>
              <w:rPr>
                <w:rFonts w:ascii="Times New Roman" w:hAnsi="Times New Roman"/>
                <w:b w:val="0"/>
                <w:i w:val="0"/>
                <w:sz w:val="19"/>
              </w:rPr>
              <w:t>P75–90</w:t>
            </w:r>
          </w:p>
        </w:tc>
        <w:tc>
          <w:tcPr>
            <w:tcW w:type="dxa" w:w="3120"/>
          </w:tcPr>
          <w:p>
            <w:pPr>
              <w:spacing w:line="240" w:lineRule="auto" w:after="40" w:before="40"/>
            </w:pPr>
            <w:r>
              <w:rPr>
                <w:sz w:val="19"/>
              </w:rPr>
            </w:r>
            <w:r>
              <w:rPr>
                <w:rFonts w:ascii="Times New Roman" w:hAnsi="Times New Roman"/>
                <w:b w:val="0"/>
                <w:i w:val="0"/>
                <w:sz w:val="19"/>
              </w:rPr>
              <w:t>1.0441</w:t>
            </w:r>
          </w:p>
        </w:tc>
        <w:tc>
          <w:tcPr>
            <w:tcW w:type="dxa" w:w="3120"/>
          </w:tcPr>
          <w:p>
            <w:pPr>
              <w:spacing w:line="240" w:lineRule="auto" w:after="40" w:before="40"/>
            </w:pPr>
            <w:r>
              <w:rPr>
                <w:sz w:val="19"/>
              </w:rPr>
            </w:r>
            <w:r>
              <w:rPr>
                <w:rFonts w:ascii="Times New Roman" w:hAnsi="Times New Roman"/>
                <w:b w:val="0"/>
                <w:i w:val="0"/>
                <w:sz w:val="19"/>
              </w:rPr>
              <w:t>1.0473</w:t>
            </w:r>
          </w:p>
        </w:tc>
      </w:tr>
      <w:tr>
        <w:tc>
          <w:tcPr>
            <w:tcW w:type="dxa" w:w="3120"/>
          </w:tcPr>
          <w:p>
            <w:pPr>
              <w:spacing w:line="240" w:lineRule="auto" w:after="40" w:before="40"/>
            </w:pPr>
            <w:r>
              <w:rPr>
                <w:sz w:val="19"/>
              </w:rPr>
            </w:r>
            <w:r>
              <w:rPr>
                <w:rFonts w:ascii="Times New Roman" w:hAnsi="Times New Roman"/>
                <w:b w:val="0"/>
                <w:i w:val="0"/>
                <w:sz w:val="19"/>
              </w:rPr>
              <w:t>P90–95</w:t>
            </w:r>
          </w:p>
        </w:tc>
        <w:tc>
          <w:tcPr>
            <w:tcW w:type="dxa" w:w="3120"/>
          </w:tcPr>
          <w:p>
            <w:pPr>
              <w:spacing w:line="240" w:lineRule="auto" w:after="40" w:before="40"/>
            </w:pPr>
            <w:r>
              <w:rPr>
                <w:sz w:val="19"/>
              </w:rPr>
            </w:r>
            <w:r>
              <w:rPr>
                <w:rFonts w:ascii="Times New Roman" w:hAnsi="Times New Roman"/>
                <w:b w:val="0"/>
                <w:i w:val="0"/>
                <w:sz w:val="19"/>
              </w:rPr>
              <w:t>1.0430</w:t>
            </w:r>
          </w:p>
        </w:tc>
        <w:tc>
          <w:tcPr>
            <w:tcW w:type="dxa" w:w="3120"/>
          </w:tcPr>
          <w:p>
            <w:pPr>
              <w:spacing w:line="240" w:lineRule="auto" w:after="40" w:before="40"/>
            </w:pPr>
            <w:r>
              <w:rPr>
                <w:sz w:val="19"/>
              </w:rPr>
            </w:r>
            <w:r>
              <w:rPr>
                <w:rFonts w:ascii="Times New Roman" w:hAnsi="Times New Roman"/>
                <w:b w:val="0"/>
                <w:i w:val="0"/>
                <w:sz w:val="19"/>
              </w:rPr>
              <w:t>1.0469</w:t>
            </w:r>
          </w:p>
        </w:tc>
      </w:tr>
      <w:tr>
        <w:tc>
          <w:tcPr>
            <w:tcW w:type="dxa" w:w="3120"/>
          </w:tcPr>
          <w:p>
            <w:pPr>
              <w:spacing w:line="240" w:lineRule="auto" w:after="40" w:before="40"/>
            </w:pPr>
            <w:r>
              <w:rPr>
                <w:sz w:val="19"/>
              </w:rPr>
            </w:r>
            <w:r>
              <w:rPr>
                <w:rFonts w:ascii="Times New Roman" w:hAnsi="Times New Roman"/>
                <w:b w:val="0"/>
                <w:i w:val="0"/>
                <w:sz w:val="19"/>
              </w:rPr>
              <w:t>P95–99</w:t>
            </w:r>
          </w:p>
        </w:tc>
        <w:tc>
          <w:tcPr>
            <w:tcW w:type="dxa" w:w="3120"/>
          </w:tcPr>
          <w:p>
            <w:pPr>
              <w:spacing w:line="240" w:lineRule="auto" w:after="40" w:before="40"/>
            </w:pPr>
            <w:r>
              <w:rPr>
                <w:sz w:val="19"/>
              </w:rPr>
            </w:r>
            <w:r>
              <w:rPr>
                <w:rFonts w:ascii="Times New Roman" w:hAnsi="Times New Roman"/>
                <w:b w:val="0"/>
                <w:i w:val="0"/>
                <w:sz w:val="19"/>
              </w:rPr>
              <w:t>1.0498</w:t>
            </w:r>
          </w:p>
        </w:tc>
        <w:tc>
          <w:tcPr>
            <w:tcW w:type="dxa" w:w="3120"/>
          </w:tcPr>
          <w:p>
            <w:pPr>
              <w:spacing w:line="240" w:lineRule="auto" w:after="40" w:before="40"/>
            </w:pPr>
            <w:r>
              <w:rPr>
                <w:sz w:val="19"/>
              </w:rPr>
            </w:r>
            <w:r>
              <w:rPr>
                <w:rFonts w:ascii="Times New Roman" w:hAnsi="Times New Roman"/>
                <w:b w:val="0"/>
                <w:i w:val="0"/>
                <w:sz w:val="19"/>
              </w:rPr>
              <w:t>1.0529</w:t>
            </w:r>
          </w:p>
        </w:tc>
      </w:tr>
      <w:tr>
        <w:tc>
          <w:tcPr>
            <w:tcW w:type="dxa" w:w="3120"/>
          </w:tcPr>
          <w:p>
            <w:pPr>
              <w:spacing w:line="240" w:lineRule="auto" w:after="40" w:before="40"/>
            </w:pPr>
            <w:r>
              <w:rPr>
                <w:sz w:val="19"/>
              </w:rPr>
            </w:r>
            <w:r>
              <w:rPr>
                <w:rFonts w:ascii="Times New Roman" w:hAnsi="Times New Roman"/>
                <w:b w:val="0"/>
                <w:i w:val="0"/>
                <w:sz w:val="19"/>
              </w:rPr>
              <w:t>≥P99</w:t>
            </w:r>
          </w:p>
        </w:tc>
        <w:tc>
          <w:tcPr>
            <w:tcW w:type="dxa" w:w="3120"/>
          </w:tcPr>
          <w:p>
            <w:pPr>
              <w:spacing w:line="240" w:lineRule="auto" w:after="40" w:before="40"/>
            </w:pPr>
            <w:r>
              <w:rPr>
                <w:sz w:val="19"/>
              </w:rPr>
            </w:r>
            <w:r>
              <w:rPr>
                <w:rFonts w:ascii="Times New Roman" w:hAnsi="Times New Roman"/>
                <w:b w:val="0"/>
                <w:i w:val="0"/>
                <w:sz w:val="19"/>
              </w:rPr>
              <w:t>1.0463</w:t>
            </w:r>
          </w:p>
        </w:tc>
        <w:tc>
          <w:tcPr>
            <w:tcW w:type="dxa" w:w="3120"/>
          </w:tcPr>
          <w:p>
            <w:pPr>
              <w:spacing w:line="240" w:lineRule="auto" w:after="40" w:before="40"/>
            </w:pPr>
            <w:r>
              <w:rPr>
                <w:sz w:val="19"/>
              </w:rPr>
            </w:r>
            <w:r>
              <w:rPr>
                <w:rFonts w:ascii="Times New Roman" w:hAnsi="Times New Roman"/>
                <w:b w:val="0"/>
                <w:i w:val="0"/>
                <w:sz w:val="19"/>
              </w:rPr>
              <w:t>1.0472</w:t>
            </w:r>
          </w:p>
        </w:tc>
      </w:tr>
    </w:tbl>
    <w:p>
      <w:pPr>
        <w:spacing w:after="120"/>
      </w:pPr>
    </w:p>
    <w:p>
      <w:pPr>
        <w:spacing w:before="0" w:after="0"/>
        <w:jc w:val="both"/>
      </w:pPr>
      <w:r>
        <w:rPr>
          <w:rFonts w:ascii="Times New Roman" w:hAnsi="Times New Roman"/>
          <w:b w:val="0"/>
          <w:i w:val="0"/>
        </w:rPr>
        <w:t xml:space="preserve">Excess mortality with humidity adjustment: </w:t>
      </w:r>
      <w:r>
        <w:rPr>
          <w:rFonts w:ascii="Times New Roman" w:hAnsi="Times New Roman"/>
          <w:b/>
          <w:i w:val="0"/>
        </w:rPr>
        <w:t>4,175 deaths (95% CI 2,971–5,388) = 1.62%</w:t>
      </w:r>
      <w:r>
        <w:rPr>
          <w:rFonts w:ascii="Times New Roman" w:hAnsi="Times New Roman"/>
          <w:b w:val="0"/>
          <w:i w:val="0"/>
        </w:rPr>
        <w:t xml:space="preserve">, 285 per year, against 4,509 / 1.59% / 308 without. </w:t>
      </w:r>
      <w:r>
        <w:rPr>
          <w:rFonts w:ascii="Times New Roman" w:hAnsi="Times New Roman"/>
          <w:b/>
          <w:i w:val="0"/>
        </w:rPr>
        <w:t>15% still falls in the P95+ bands and 71% in the P60–90 bands.</w:t>
      </w:r>
    </w:p>
    <w:p>
      <w:pPr>
        <w:spacing w:before="0" w:after="0"/>
        <w:jc w:val="both"/>
      </w:pPr>
      <w:r>
        <w:rPr>
          <w:rFonts w:ascii="Times New Roman" w:hAnsi="Times New Roman"/>
          <w:b w:val="0"/>
          <w:i w:val="0"/>
        </w:rPr>
        <w:t>Humidity is province-mean dewpoint derived from GSOD daily means. Measurement error in humidity biases against the composite metrics and in favour of Tmax, so S1.2 is not decisive on its own. S1.3 is the stronger evidence, because a null interaction alongside a clearly non-null main effect is not the pattern that humidity measurement error alone would be expected to produce.</w:t>
      </w:r>
    </w:p>
    <w:p>
      <w:pPr>
        <w:spacing w:after="200" w:line="312" w:lineRule="auto"/>
        <w:jc w:val="center"/>
      </w:pPr>
      <w:r>
        <w:rPr>
          <w:rFonts w:ascii="Times New Roman" w:hAnsi="Times New Roman"/>
          <w:b/>
          <w:sz w:val="30"/>
        </w:rPr>
        <w:t>S2. Heatwave (consecutive-day) exposure</w:t>
      </w:r>
    </w:p>
    <w:p>
      <w:pPr>
        <w:spacing w:before="0" w:after="0"/>
        <w:jc w:val="both"/>
      </w:pPr>
      <w:r>
        <w:rPr>
          <w:rFonts w:ascii="Times New Roman" w:hAnsi="Times New Roman"/>
          <w:b w:val="0"/>
          <w:i w:val="0"/>
        </w:rPr>
        <w:t xml:space="preserve">Added for comparability with Hu </w:t>
      </w:r>
      <w:r>
        <w:rPr>
          <w:rFonts w:ascii="Times New Roman" w:hAnsi="Times New Roman"/>
          <w:b w:val="0"/>
          <w:i/>
        </w:rPr>
        <w:t>et al.</w:t>
      </w:r>
      <w:r>
        <w:rPr>
          <w:rFonts w:ascii="Times New Roman" w:hAnsi="Times New Roman"/>
          <w:b w:val="0"/>
          <w:i w:val="0"/>
        </w:rPr>
        <w:t xml:space="preserve"> (2025), who define a heatwave as ≥2 consecutive days with daily maximum temperature above the 92.5th percentile and report +12% injury mortality on heatwave days in China.</w:t>
      </w:r>
    </w:p>
    <w:p>
      <w:pPr>
        <w:spacing w:before="0" w:after="0"/>
        <w:jc w:val="both"/>
      </w:pPr>
      <w:r>
        <w:rPr>
          <w:rFonts w:ascii="Times New Roman" w:hAnsi="Times New Roman"/>
          <w:b w:val="0"/>
          <w:i w:val="0"/>
        </w:rPr>
        <w:t xml:space="preserve">Two quantities are distinguished (Gasparrini &amp; Armstrong 2011). The </w:t>
      </w:r>
      <w:r>
        <w:rPr>
          <w:rFonts w:ascii="Times New Roman" w:hAnsi="Times New Roman"/>
          <w:b/>
          <w:i w:val="0"/>
        </w:rPr>
        <w:t>total effect</w:t>
      </w:r>
      <w:r>
        <w:rPr>
          <w:rFonts w:ascii="Times New Roman" w:hAnsi="Times New Roman"/>
          <w:b w:val="0"/>
          <w:i w:val="0"/>
        </w:rPr>
        <w:t xml:space="preserve"> is the heatwave indicator alone, which mixes the ordinary temperature association with any effect of persistence; this is what Hu </w:t>
      </w:r>
      <w:r>
        <w:rPr>
          <w:rFonts w:ascii="Times New Roman" w:hAnsi="Times New Roman"/>
          <w:b w:val="0"/>
          <w:i/>
        </w:rPr>
        <w:t>et al.</w:t>
      </w:r>
      <w:r>
        <w:rPr>
          <w:rFonts w:ascii="Times New Roman" w:hAnsi="Times New Roman"/>
          <w:b w:val="0"/>
          <w:i w:val="0"/>
        </w:rPr>
        <w:t xml:space="preserve"> report. The </w:t>
      </w:r>
      <w:r>
        <w:rPr>
          <w:rFonts w:ascii="Times New Roman" w:hAnsi="Times New Roman"/>
          <w:b/>
          <w:i w:val="0"/>
        </w:rPr>
        <w:t>added effect</w:t>
      </w:r>
      <w:r>
        <w:rPr>
          <w:rFonts w:ascii="Times New Roman" w:hAnsi="Times New Roman"/>
          <w:b w:val="0"/>
          <w:i w:val="0"/>
        </w:rPr>
        <w:t xml:space="preserve"> enters the heatwave indicator together with a flexible term for the day's own temperature, isolating whether consecutive hot days carry risk beyond what that day's temperature already explains.</w:t>
      </w:r>
    </w:p>
    <w:p>
      <w:r>
        <w:br w:type="page"/>
      </w:r>
    </w:p>
    <w:p>
      <w:pPr>
        <w:spacing w:before="280" w:after="80" w:line="360" w:lineRule="auto"/>
      </w:pPr>
      <w:r>
        <w:rPr>
          <w:rFonts w:ascii="Times New Roman" w:hAnsi="Times New Roman"/>
          <w:b/>
          <w:sz w:val="28"/>
        </w:rPr>
        <w:t>S2.1 Grid of 15 definitions</w:t>
      </w:r>
    </w:p>
    <w:p>
      <w:pPr>
        <w:spacing w:before="0" w:after="0"/>
        <w:jc w:val="both"/>
      </w:pPr>
      <w:r>
        <w:rPr>
          <w:rFonts w:ascii="Times New Roman" w:hAnsi="Times New Roman"/>
          <w:b w:val="0"/>
          <w:i w:val="0"/>
        </w:rPr>
        <w:t>Percentiles are province-specific, as elsewhere.</w:t>
      </w:r>
    </w:p>
    <w:tbl>
      <w:tblPr>
        <w:tblStyle w:val="TableGrid"/>
        <w:tblW w:type="auto" w:w="0"/>
        <w:tblLayout w:type="autofit"/>
        <w:tblLook w:firstColumn="1" w:firstRow="1" w:lastColumn="0" w:lastRow="0" w:noHBand="0" w:noVBand="1" w:val="04A0"/>
      </w:tblPr>
      <w:tblGrid>
        <w:gridCol w:w="1560"/>
        <w:gridCol w:w="1560"/>
        <w:gridCol w:w="1560"/>
        <w:gridCol w:w="1560"/>
        <w:gridCol w:w="1560"/>
        <w:gridCol w:w="1560"/>
      </w:tblGrid>
      <w:tr>
        <w:tc>
          <w:tcPr>
            <w:tcW w:type="dxa" w:w="1560"/>
          </w:tcPr>
          <w:p>
            <w:pPr>
              <w:spacing w:line="240" w:lineRule="auto" w:after="40" w:before="40"/>
            </w:pPr>
            <w:r>
              <w:rPr>
                <w:b/>
                <w:sz w:val="19"/>
              </w:rPr>
            </w:r>
            <w:r>
              <w:rPr>
                <w:rFonts w:ascii="Times New Roman" w:hAnsi="Times New Roman"/>
                <w:b/>
                <w:i w:val="0"/>
                <w:sz w:val="19"/>
              </w:rPr>
              <w:t>Threshold</w:t>
            </w:r>
          </w:p>
        </w:tc>
        <w:tc>
          <w:tcPr>
            <w:tcW w:type="dxa" w:w="1560"/>
          </w:tcPr>
          <w:p>
            <w:pPr>
              <w:spacing w:line="240" w:lineRule="auto" w:after="40" w:before="40"/>
            </w:pPr>
            <w:r>
              <w:rPr>
                <w:b/>
                <w:sz w:val="19"/>
              </w:rPr>
            </w:r>
            <w:r>
              <w:rPr>
                <w:rFonts w:ascii="Times New Roman" w:hAnsi="Times New Roman"/>
                <w:b/>
                <w:i w:val="0"/>
                <w:sz w:val="19"/>
              </w:rPr>
              <w:t>Min. days</w:t>
            </w:r>
          </w:p>
        </w:tc>
        <w:tc>
          <w:tcPr>
            <w:tcW w:type="dxa" w:w="1560"/>
          </w:tcPr>
          <w:p>
            <w:pPr>
              <w:spacing w:line="240" w:lineRule="auto" w:after="40" w:before="40"/>
            </w:pPr>
            <w:r>
              <w:rPr>
                <w:b/>
                <w:sz w:val="19"/>
              </w:rPr>
            </w:r>
            <w:r>
              <w:rPr>
                <w:rFonts w:ascii="Times New Roman" w:hAnsi="Times New Roman"/>
                <w:b/>
                <w:i w:val="0"/>
                <w:sz w:val="19"/>
              </w:rPr>
              <w:t>% of days</w:t>
            </w:r>
          </w:p>
        </w:tc>
        <w:tc>
          <w:tcPr>
            <w:tcW w:type="dxa" w:w="1560"/>
          </w:tcPr>
          <w:p>
            <w:pPr>
              <w:spacing w:line="240" w:lineRule="auto" w:after="40" w:before="40"/>
            </w:pPr>
            <w:r>
              <w:rPr>
                <w:b/>
                <w:sz w:val="19"/>
              </w:rPr>
            </w:r>
            <w:r>
              <w:rPr>
                <w:rFonts w:ascii="Times New Roman" w:hAnsi="Times New Roman"/>
                <w:b/>
                <w:i w:val="0"/>
                <w:sz w:val="19"/>
              </w:rPr>
              <w:t>Deaths</w:t>
            </w:r>
          </w:p>
        </w:tc>
        <w:tc>
          <w:tcPr>
            <w:tcW w:type="dxa" w:w="1560"/>
          </w:tcPr>
          <w:p>
            <w:pPr>
              <w:spacing w:line="240" w:lineRule="auto" w:after="40" w:before="40"/>
            </w:pPr>
            <w:r>
              <w:rPr>
                <w:b/>
                <w:sz w:val="19"/>
              </w:rPr>
            </w:r>
            <w:r>
              <w:rPr>
                <w:rFonts w:ascii="Times New Roman" w:hAnsi="Times New Roman"/>
                <w:b/>
                <w:i w:val="0"/>
                <w:sz w:val="19"/>
              </w:rPr>
              <w:t>RR total (95% CI)</w:t>
            </w:r>
          </w:p>
        </w:tc>
        <w:tc>
          <w:tcPr>
            <w:tcW w:type="dxa" w:w="1560"/>
          </w:tcPr>
          <w:p>
            <w:pPr>
              <w:spacing w:line="240" w:lineRule="auto" w:after="40" w:before="40"/>
            </w:pPr>
            <w:r>
              <w:rPr>
                <w:b/>
                <w:sz w:val="19"/>
              </w:rPr>
            </w:r>
            <w:r>
              <w:rPr>
                <w:rFonts w:ascii="Times New Roman" w:hAnsi="Times New Roman"/>
                <w:b/>
                <w:i w:val="0"/>
                <w:sz w:val="19"/>
              </w:rPr>
              <w:t>RR added (95% CI)</w:t>
            </w:r>
          </w:p>
        </w:tc>
      </w:tr>
      <w:tr>
        <w:tc>
          <w:tcPr>
            <w:tcW w:type="dxa" w:w="1560"/>
          </w:tcPr>
          <w:p>
            <w:pPr>
              <w:spacing w:line="240" w:lineRule="auto" w:after="40" w:before="40"/>
            </w:pPr>
            <w:r>
              <w:rPr>
                <w:sz w:val="19"/>
              </w:rPr>
            </w:r>
            <w:r>
              <w:rPr>
                <w:rFonts w:ascii="Times New Roman" w:hAnsi="Times New Roman"/>
                <w:b w:val="0"/>
                <w:i w:val="0"/>
                <w:sz w:val="19"/>
              </w:rPr>
              <w:t>P90</w:t>
            </w:r>
          </w:p>
        </w:tc>
        <w:tc>
          <w:tcPr>
            <w:tcW w:type="dxa" w:w="1560"/>
          </w:tcPr>
          <w:p>
            <w:pPr>
              <w:spacing w:line="240" w:lineRule="auto" w:after="40" w:before="40"/>
            </w:pPr>
            <w:r>
              <w:rPr>
                <w:sz w:val="19"/>
              </w:rPr>
            </w:r>
            <w:r>
              <w:rPr>
                <w:rFonts w:ascii="Times New Roman" w:hAnsi="Times New Roman"/>
                <w:b w:val="0"/>
                <w:i w:val="0"/>
                <w:sz w:val="19"/>
              </w:rPr>
              <w:t>≥2</w:t>
            </w:r>
          </w:p>
        </w:tc>
        <w:tc>
          <w:tcPr>
            <w:tcW w:type="dxa" w:w="1560"/>
          </w:tcPr>
          <w:p>
            <w:pPr>
              <w:spacing w:line="240" w:lineRule="auto" w:after="40" w:before="40"/>
            </w:pPr>
            <w:r>
              <w:rPr>
                <w:sz w:val="19"/>
              </w:rPr>
            </w:r>
            <w:r>
              <w:rPr>
                <w:rFonts w:ascii="Times New Roman" w:hAnsi="Times New Roman"/>
                <w:b w:val="0"/>
                <w:i w:val="0"/>
                <w:sz w:val="19"/>
              </w:rPr>
              <w:t>8.88</w:t>
            </w:r>
          </w:p>
        </w:tc>
        <w:tc>
          <w:tcPr>
            <w:tcW w:type="dxa" w:w="1560"/>
          </w:tcPr>
          <w:p>
            <w:pPr>
              <w:spacing w:line="240" w:lineRule="auto" w:after="40" w:before="40"/>
            </w:pPr>
            <w:r>
              <w:rPr>
                <w:sz w:val="19"/>
              </w:rPr>
            </w:r>
            <w:r>
              <w:rPr>
                <w:rFonts w:ascii="Times New Roman" w:hAnsi="Times New Roman"/>
                <w:b w:val="0"/>
                <w:i w:val="0"/>
                <w:sz w:val="19"/>
              </w:rPr>
              <w:t>25,367</w:t>
            </w:r>
          </w:p>
        </w:tc>
        <w:tc>
          <w:tcPr>
            <w:tcW w:type="dxa" w:w="1560"/>
          </w:tcPr>
          <w:p>
            <w:pPr>
              <w:spacing w:line="240" w:lineRule="auto" w:after="40" w:before="40"/>
            </w:pPr>
            <w:r>
              <w:rPr>
                <w:sz w:val="19"/>
              </w:rPr>
            </w:r>
            <w:r>
              <w:rPr>
                <w:rFonts w:ascii="Times New Roman" w:hAnsi="Times New Roman"/>
                <w:b w:val="0"/>
                <w:i w:val="0"/>
                <w:sz w:val="19"/>
              </w:rPr>
              <w:t>1.011 (0.988–1.035)</w:t>
            </w:r>
          </w:p>
        </w:tc>
        <w:tc>
          <w:tcPr>
            <w:tcW w:type="dxa" w:w="1560"/>
          </w:tcPr>
          <w:p>
            <w:pPr>
              <w:spacing w:line="240" w:lineRule="auto" w:after="40" w:before="40"/>
            </w:pPr>
            <w:r>
              <w:rPr>
                <w:sz w:val="19"/>
              </w:rPr>
            </w:r>
            <w:r>
              <w:rPr>
                <w:rFonts w:ascii="Times New Roman" w:hAnsi="Times New Roman"/>
                <w:b w:val="0"/>
                <w:i w:val="0"/>
                <w:sz w:val="19"/>
              </w:rPr>
              <w:t>0.970 (0.944–0.997)</w:t>
            </w:r>
          </w:p>
        </w:tc>
      </w:tr>
      <w:tr>
        <w:tc>
          <w:tcPr>
            <w:tcW w:type="dxa" w:w="1560"/>
          </w:tcPr>
          <w:p>
            <w:pPr>
              <w:spacing w:line="240" w:lineRule="auto" w:after="40" w:before="40"/>
            </w:pPr>
            <w:r>
              <w:rPr>
                <w:sz w:val="19"/>
              </w:rPr>
            </w:r>
            <w:r>
              <w:rPr>
                <w:rFonts w:ascii="Times New Roman" w:hAnsi="Times New Roman"/>
                <w:b w:val="0"/>
                <w:i w:val="0"/>
                <w:sz w:val="19"/>
              </w:rPr>
              <w:t>P90</w:t>
            </w:r>
          </w:p>
        </w:tc>
        <w:tc>
          <w:tcPr>
            <w:tcW w:type="dxa" w:w="1560"/>
          </w:tcPr>
          <w:p>
            <w:pPr>
              <w:spacing w:line="240" w:lineRule="auto" w:after="40" w:before="40"/>
            </w:pPr>
            <w:r>
              <w:rPr>
                <w:sz w:val="19"/>
              </w:rPr>
            </w:r>
            <w:r>
              <w:rPr>
                <w:rFonts w:ascii="Times New Roman" w:hAnsi="Times New Roman"/>
                <w:b w:val="0"/>
                <w:i w:val="0"/>
                <w:sz w:val="19"/>
              </w:rPr>
              <w:t>≥3</w:t>
            </w:r>
          </w:p>
        </w:tc>
        <w:tc>
          <w:tcPr>
            <w:tcW w:type="dxa" w:w="1560"/>
          </w:tcPr>
          <w:p>
            <w:pPr>
              <w:spacing w:line="240" w:lineRule="auto" w:after="40" w:before="40"/>
            </w:pPr>
            <w:r>
              <w:rPr>
                <w:sz w:val="19"/>
              </w:rPr>
            </w:r>
            <w:r>
              <w:rPr>
                <w:rFonts w:ascii="Times New Roman" w:hAnsi="Times New Roman"/>
                <w:b w:val="0"/>
                <w:i w:val="0"/>
                <w:sz w:val="19"/>
              </w:rPr>
              <w:t>7.66</w:t>
            </w:r>
          </w:p>
        </w:tc>
        <w:tc>
          <w:tcPr>
            <w:tcW w:type="dxa" w:w="1560"/>
          </w:tcPr>
          <w:p>
            <w:pPr>
              <w:spacing w:line="240" w:lineRule="auto" w:after="40" w:before="40"/>
            </w:pPr>
            <w:r>
              <w:rPr>
                <w:sz w:val="19"/>
              </w:rPr>
            </w:r>
            <w:r>
              <w:rPr>
                <w:rFonts w:ascii="Times New Roman" w:hAnsi="Times New Roman"/>
                <w:b w:val="0"/>
                <w:i w:val="0"/>
                <w:sz w:val="19"/>
              </w:rPr>
              <w:t>21,904</w:t>
            </w:r>
          </w:p>
        </w:tc>
        <w:tc>
          <w:tcPr>
            <w:tcW w:type="dxa" w:w="1560"/>
          </w:tcPr>
          <w:p>
            <w:pPr>
              <w:spacing w:line="240" w:lineRule="auto" w:after="40" w:before="40"/>
            </w:pPr>
            <w:r>
              <w:rPr>
                <w:sz w:val="19"/>
              </w:rPr>
            </w:r>
            <w:r>
              <w:rPr>
                <w:rFonts w:ascii="Times New Roman" w:hAnsi="Times New Roman"/>
                <w:b w:val="0"/>
                <w:i w:val="0"/>
                <w:sz w:val="19"/>
              </w:rPr>
              <w:t>1.009 (0.984–1.034)</w:t>
            </w:r>
          </w:p>
        </w:tc>
        <w:tc>
          <w:tcPr>
            <w:tcW w:type="dxa" w:w="1560"/>
          </w:tcPr>
          <w:p>
            <w:pPr>
              <w:spacing w:line="240" w:lineRule="auto" w:after="40" w:before="40"/>
            </w:pPr>
            <w:r>
              <w:rPr>
                <w:sz w:val="19"/>
              </w:rPr>
            </w:r>
            <w:r>
              <w:rPr>
                <w:rFonts w:ascii="Times New Roman" w:hAnsi="Times New Roman"/>
                <w:b w:val="0"/>
                <w:i w:val="0"/>
                <w:sz w:val="19"/>
              </w:rPr>
              <w:t>0.970 (0.938–1.003)</w:t>
            </w:r>
          </w:p>
        </w:tc>
      </w:tr>
      <w:tr>
        <w:tc>
          <w:tcPr>
            <w:tcW w:type="dxa" w:w="1560"/>
          </w:tcPr>
          <w:p>
            <w:pPr>
              <w:spacing w:line="240" w:lineRule="auto" w:after="40" w:before="40"/>
            </w:pPr>
            <w:r>
              <w:rPr>
                <w:sz w:val="19"/>
              </w:rPr>
            </w:r>
            <w:r>
              <w:rPr>
                <w:rFonts w:ascii="Times New Roman" w:hAnsi="Times New Roman"/>
                <w:b w:val="0"/>
                <w:i w:val="0"/>
                <w:sz w:val="19"/>
              </w:rPr>
              <w:t>P90</w:t>
            </w:r>
          </w:p>
        </w:tc>
        <w:tc>
          <w:tcPr>
            <w:tcW w:type="dxa" w:w="1560"/>
          </w:tcPr>
          <w:p>
            <w:pPr>
              <w:spacing w:line="240" w:lineRule="auto" w:after="40" w:before="40"/>
            </w:pPr>
            <w:r>
              <w:rPr>
                <w:sz w:val="19"/>
              </w:rPr>
            </w:r>
            <w:r>
              <w:rPr>
                <w:rFonts w:ascii="Times New Roman" w:hAnsi="Times New Roman"/>
                <w:b w:val="0"/>
                <w:i w:val="0"/>
                <w:sz w:val="19"/>
              </w:rPr>
              <w:t>≥4</w:t>
            </w:r>
          </w:p>
        </w:tc>
        <w:tc>
          <w:tcPr>
            <w:tcW w:type="dxa" w:w="1560"/>
          </w:tcPr>
          <w:p>
            <w:pPr>
              <w:spacing w:line="240" w:lineRule="auto" w:after="40" w:before="40"/>
            </w:pPr>
            <w:r>
              <w:rPr>
                <w:sz w:val="19"/>
              </w:rPr>
            </w:r>
            <w:r>
              <w:rPr>
                <w:rFonts w:ascii="Times New Roman" w:hAnsi="Times New Roman"/>
                <w:b w:val="0"/>
                <w:i w:val="0"/>
                <w:sz w:val="19"/>
              </w:rPr>
              <w:t>6.62</w:t>
            </w:r>
          </w:p>
        </w:tc>
        <w:tc>
          <w:tcPr>
            <w:tcW w:type="dxa" w:w="1560"/>
          </w:tcPr>
          <w:p>
            <w:pPr>
              <w:spacing w:line="240" w:lineRule="auto" w:after="40" w:before="40"/>
            </w:pPr>
            <w:r>
              <w:rPr>
                <w:sz w:val="19"/>
              </w:rPr>
            </w:r>
            <w:r>
              <w:rPr>
                <w:rFonts w:ascii="Times New Roman" w:hAnsi="Times New Roman"/>
                <w:b w:val="0"/>
                <w:i w:val="0"/>
                <w:sz w:val="19"/>
              </w:rPr>
              <w:t>18,970</w:t>
            </w:r>
          </w:p>
        </w:tc>
        <w:tc>
          <w:tcPr>
            <w:tcW w:type="dxa" w:w="1560"/>
          </w:tcPr>
          <w:p>
            <w:pPr>
              <w:spacing w:line="240" w:lineRule="auto" w:after="40" w:before="40"/>
            </w:pPr>
            <w:r>
              <w:rPr>
                <w:sz w:val="19"/>
              </w:rPr>
            </w:r>
            <w:r>
              <w:rPr>
                <w:rFonts w:ascii="Times New Roman" w:hAnsi="Times New Roman"/>
                <w:b w:val="0"/>
                <w:i w:val="0"/>
                <w:sz w:val="19"/>
              </w:rPr>
              <w:t>1.010 (0.985–1.035)</w:t>
            </w:r>
          </w:p>
        </w:tc>
        <w:tc>
          <w:tcPr>
            <w:tcW w:type="dxa" w:w="1560"/>
          </w:tcPr>
          <w:p>
            <w:pPr>
              <w:spacing w:line="240" w:lineRule="auto" w:after="40" w:before="40"/>
            </w:pPr>
            <w:r>
              <w:rPr>
                <w:sz w:val="19"/>
              </w:rPr>
            </w:r>
            <w:r>
              <w:rPr>
                <w:rFonts w:ascii="Times New Roman" w:hAnsi="Times New Roman"/>
                <w:b w:val="0"/>
                <w:i w:val="0"/>
                <w:sz w:val="19"/>
              </w:rPr>
              <w:t>0.975 (0.945–1.006)</w:t>
            </w:r>
          </w:p>
        </w:tc>
      </w:tr>
      <w:tr>
        <w:tc>
          <w:tcPr>
            <w:tcW w:type="dxa" w:w="1560"/>
          </w:tcPr>
          <w:p>
            <w:pPr>
              <w:spacing w:line="240" w:lineRule="auto" w:after="40" w:before="40"/>
            </w:pPr>
            <w:r>
              <w:rPr>
                <w:sz w:val="19"/>
              </w:rPr>
            </w:r>
            <w:r>
              <w:rPr>
                <w:rFonts w:ascii="Times New Roman" w:hAnsi="Times New Roman"/>
                <w:b/>
                <w:i w:val="0"/>
                <w:sz w:val="19"/>
              </w:rPr>
              <w:t>P92.5\</w:t>
            </w:r>
            <w:r>
              <w:rPr>
                <w:rFonts w:ascii="Times New Roman" w:hAnsi="Times New Roman"/>
                <w:b w:val="0"/>
                <w:i/>
                <w:sz w:val="19"/>
              </w:rPr>
            </w:r>
          </w:p>
        </w:tc>
        <w:tc>
          <w:tcPr>
            <w:tcW w:type="dxa" w:w="1560"/>
          </w:tcPr>
          <w:p>
            <w:pPr>
              <w:spacing w:line="240" w:lineRule="auto" w:after="40" w:before="40"/>
            </w:pPr>
            <w:r>
              <w:rPr>
                <w:sz w:val="19"/>
              </w:rPr>
            </w:r>
            <w:r>
              <w:rPr>
                <w:rFonts w:ascii="Times New Roman" w:hAnsi="Times New Roman"/>
                <w:b/>
                <w:i w:val="0"/>
                <w:sz w:val="19"/>
              </w:rPr>
              <w:t>≥2</w:t>
            </w:r>
          </w:p>
        </w:tc>
        <w:tc>
          <w:tcPr>
            <w:tcW w:type="dxa" w:w="1560"/>
          </w:tcPr>
          <w:p>
            <w:pPr>
              <w:spacing w:line="240" w:lineRule="auto" w:after="40" w:before="40"/>
            </w:pPr>
            <w:r>
              <w:rPr>
                <w:sz w:val="19"/>
              </w:rPr>
            </w:r>
            <w:r>
              <w:rPr>
                <w:rFonts w:ascii="Times New Roman" w:hAnsi="Times New Roman"/>
                <w:b/>
                <w:i w:val="0"/>
                <w:sz w:val="19"/>
              </w:rPr>
              <w:t>6.63</w:t>
            </w:r>
          </w:p>
        </w:tc>
        <w:tc>
          <w:tcPr>
            <w:tcW w:type="dxa" w:w="1560"/>
          </w:tcPr>
          <w:p>
            <w:pPr>
              <w:spacing w:line="240" w:lineRule="auto" w:after="40" w:before="40"/>
            </w:pPr>
            <w:r>
              <w:rPr>
                <w:sz w:val="19"/>
              </w:rPr>
            </w:r>
            <w:r>
              <w:rPr>
                <w:rFonts w:ascii="Times New Roman" w:hAnsi="Times New Roman"/>
                <w:b/>
                <w:i w:val="0"/>
                <w:sz w:val="19"/>
              </w:rPr>
              <w:t>18,869</w:t>
            </w:r>
          </w:p>
        </w:tc>
        <w:tc>
          <w:tcPr>
            <w:tcW w:type="dxa" w:w="1560"/>
          </w:tcPr>
          <w:p>
            <w:pPr>
              <w:spacing w:line="240" w:lineRule="auto" w:after="40" w:before="40"/>
            </w:pPr>
            <w:r>
              <w:rPr>
                <w:sz w:val="19"/>
              </w:rPr>
            </w:r>
            <w:r>
              <w:rPr>
                <w:rFonts w:ascii="Times New Roman" w:hAnsi="Times New Roman"/>
                <w:b/>
                <w:i w:val="0"/>
                <w:sz w:val="19"/>
              </w:rPr>
              <w:t>1.003 (0.980–1.028)</w:t>
            </w:r>
          </w:p>
        </w:tc>
        <w:tc>
          <w:tcPr>
            <w:tcW w:type="dxa" w:w="1560"/>
          </w:tcPr>
          <w:p>
            <w:pPr>
              <w:spacing w:line="240" w:lineRule="auto" w:after="40" w:before="40"/>
            </w:pPr>
            <w:r>
              <w:rPr>
                <w:sz w:val="19"/>
              </w:rPr>
            </w:r>
            <w:r>
              <w:rPr>
                <w:rFonts w:ascii="Times New Roman" w:hAnsi="Times New Roman"/>
                <w:b/>
                <w:i w:val="0"/>
                <w:sz w:val="19"/>
              </w:rPr>
              <w:t>0.960 (0.931–0.991)</w:t>
            </w:r>
          </w:p>
        </w:tc>
      </w:tr>
      <w:tr>
        <w:tc>
          <w:tcPr>
            <w:tcW w:type="dxa" w:w="1560"/>
          </w:tcPr>
          <w:p>
            <w:pPr>
              <w:spacing w:line="240" w:lineRule="auto" w:after="40" w:before="40"/>
            </w:pPr>
            <w:r>
              <w:rPr>
                <w:sz w:val="19"/>
              </w:rPr>
            </w:r>
            <w:r>
              <w:rPr>
                <w:rFonts w:ascii="Times New Roman" w:hAnsi="Times New Roman"/>
                <w:b w:val="0"/>
                <w:i w:val="0"/>
                <w:sz w:val="19"/>
              </w:rPr>
              <w:t>P92.5</w:t>
            </w:r>
          </w:p>
        </w:tc>
        <w:tc>
          <w:tcPr>
            <w:tcW w:type="dxa" w:w="1560"/>
          </w:tcPr>
          <w:p>
            <w:pPr>
              <w:spacing w:line="240" w:lineRule="auto" w:after="40" w:before="40"/>
            </w:pPr>
            <w:r>
              <w:rPr>
                <w:sz w:val="19"/>
              </w:rPr>
            </w:r>
            <w:r>
              <w:rPr>
                <w:rFonts w:ascii="Times New Roman" w:hAnsi="Times New Roman"/>
                <w:b w:val="0"/>
                <w:i w:val="0"/>
                <w:sz w:val="19"/>
              </w:rPr>
              <w:t>≥3</w:t>
            </w:r>
          </w:p>
        </w:tc>
        <w:tc>
          <w:tcPr>
            <w:tcW w:type="dxa" w:w="1560"/>
          </w:tcPr>
          <w:p>
            <w:pPr>
              <w:spacing w:line="240" w:lineRule="auto" w:after="40" w:before="40"/>
            </w:pPr>
            <w:r>
              <w:rPr>
                <w:sz w:val="19"/>
              </w:rPr>
            </w:r>
            <w:r>
              <w:rPr>
                <w:rFonts w:ascii="Times New Roman" w:hAnsi="Times New Roman"/>
                <w:b w:val="0"/>
                <w:i w:val="0"/>
                <w:sz w:val="19"/>
              </w:rPr>
              <w:t>5.64</w:t>
            </w:r>
          </w:p>
        </w:tc>
        <w:tc>
          <w:tcPr>
            <w:tcW w:type="dxa" w:w="1560"/>
          </w:tcPr>
          <w:p>
            <w:pPr>
              <w:spacing w:line="240" w:lineRule="auto" w:after="40" w:before="40"/>
            </w:pPr>
            <w:r>
              <w:rPr>
                <w:sz w:val="19"/>
              </w:rPr>
            </w:r>
            <w:r>
              <w:rPr>
                <w:rFonts w:ascii="Times New Roman" w:hAnsi="Times New Roman"/>
                <w:b w:val="0"/>
                <w:i w:val="0"/>
                <w:sz w:val="19"/>
              </w:rPr>
              <w:t>16,115</w:t>
            </w:r>
          </w:p>
        </w:tc>
        <w:tc>
          <w:tcPr>
            <w:tcW w:type="dxa" w:w="1560"/>
          </w:tcPr>
          <w:p>
            <w:pPr>
              <w:spacing w:line="240" w:lineRule="auto" w:after="40" w:before="40"/>
            </w:pPr>
            <w:r>
              <w:rPr>
                <w:sz w:val="19"/>
              </w:rPr>
            </w:r>
            <w:r>
              <w:rPr>
                <w:rFonts w:ascii="Times New Roman" w:hAnsi="Times New Roman"/>
                <w:b w:val="0"/>
                <w:i w:val="0"/>
                <w:sz w:val="19"/>
              </w:rPr>
              <w:t>1.001 (0.978–1.026)</w:t>
            </w:r>
          </w:p>
        </w:tc>
        <w:tc>
          <w:tcPr>
            <w:tcW w:type="dxa" w:w="1560"/>
          </w:tcPr>
          <w:p>
            <w:pPr>
              <w:spacing w:line="240" w:lineRule="auto" w:after="40" w:before="40"/>
            </w:pPr>
            <w:r>
              <w:rPr>
                <w:sz w:val="19"/>
              </w:rPr>
            </w:r>
            <w:r>
              <w:rPr>
                <w:rFonts w:ascii="Times New Roman" w:hAnsi="Times New Roman"/>
                <w:b w:val="0"/>
                <w:i w:val="0"/>
                <w:sz w:val="19"/>
              </w:rPr>
              <w:t>0.961 (0.932–0.991)</w:t>
            </w:r>
          </w:p>
        </w:tc>
      </w:tr>
      <w:tr>
        <w:tc>
          <w:tcPr>
            <w:tcW w:type="dxa" w:w="1560"/>
          </w:tcPr>
          <w:p>
            <w:pPr>
              <w:spacing w:line="240" w:lineRule="auto" w:after="40" w:before="40"/>
            </w:pPr>
            <w:r>
              <w:rPr>
                <w:sz w:val="19"/>
              </w:rPr>
            </w:r>
            <w:r>
              <w:rPr>
                <w:rFonts w:ascii="Times New Roman" w:hAnsi="Times New Roman"/>
                <w:b w:val="0"/>
                <w:i w:val="0"/>
                <w:sz w:val="19"/>
              </w:rPr>
              <w:t>P92.5</w:t>
            </w:r>
          </w:p>
        </w:tc>
        <w:tc>
          <w:tcPr>
            <w:tcW w:type="dxa" w:w="1560"/>
          </w:tcPr>
          <w:p>
            <w:pPr>
              <w:spacing w:line="240" w:lineRule="auto" w:after="40" w:before="40"/>
            </w:pPr>
            <w:r>
              <w:rPr>
                <w:sz w:val="19"/>
              </w:rPr>
            </w:r>
            <w:r>
              <w:rPr>
                <w:rFonts w:ascii="Times New Roman" w:hAnsi="Times New Roman"/>
                <w:b w:val="0"/>
                <w:i w:val="0"/>
                <w:sz w:val="19"/>
              </w:rPr>
              <w:t>≥4</w:t>
            </w:r>
          </w:p>
        </w:tc>
        <w:tc>
          <w:tcPr>
            <w:tcW w:type="dxa" w:w="1560"/>
          </w:tcPr>
          <w:p>
            <w:pPr>
              <w:spacing w:line="240" w:lineRule="auto" w:after="40" w:before="40"/>
            </w:pPr>
            <w:r>
              <w:rPr>
                <w:sz w:val="19"/>
              </w:rPr>
            </w:r>
            <w:r>
              <w:rPr>
                <w:rFonts w:ascii="Times New Roman" w:hAnsi="Times New Roman"/>
                <w:b w:val="0"/>
                <w:i w:val="0"/>
                <w:sz w:val="19"/>
              </w:rPr>
              <w:t>4.84</w:t>
            </w:r>
          </w:p>
        </w:tc>
        <w:tc>
          <w:tcPr>
            <w:tcW w:type="dxa" w:w="1560"/>
          </w:tcPr>
          <w:p>
            <w:pPr>
              <w:spacing w:line="240" w:lineRule="auto" w:after="40" w:before="40"/>
            </w:pPr>
            <w:r>
              <w:rPr>
                <w:sz w:val="19"/>
              </w:rPr>
            </w:r>
            <w:r>
              <w:rPr>
                <w:rFonts w:ascii="Times New Roman" w:hAnsi="Times New Roman"/>
                <w:b w:val="0"/>
                <w:i w:val="0"/>
                <w:sz w:val="19"/>
              </w:rPr>
              <w:t>13,864</w:t>
            </w:r>
          </w:p>
        </w:tc>
        <w:tc>
          <w:tcPr>
            <w:tcW w:type="dxa" w:w="1560"/>
          </w:tcPr>
          <w:p>
            <w:pPr>
              <w:spacing w:line="240" w:lineRule="auto" w:after="40" w:before="40"/>
            </w:pPr>
            <w:r>
              <w:rPr>
                <w:sz w:val="19"/>
              </w:rPr>
            </w:r>
            <w:r>
              <w:rPr>
                <w:rFonts w:ascii="Times New Roman" w:hAnsi="Times New Roman"/>
                <w:b w:val="0"/>
                <w:i w:val="0"/>
                <w:sz w:val="19"/>
              </w:rPr>
              <w:t>1.001 (0.975–1.028)</w:t>
            </w:r>
          </w:p>
        </w:tc>
        <w:tc>
          <w:tcPr>
            <w:tcW w:type="dxa" w:w="1560"/>
          </w:tcPr>
          <w:p>
            <w:pPr>
              <w:spacing w:line="240" w:lineRule="auto" w:after="40" w:before="40"/>
            </w:pPr>
            <w:r>
              <w:rPr>
                <w:sz w:val="19"/>
              </w:rPr>
            </w:r>
            <w:r>
              <w:rPr>
                <w:rFonts w:ascii="Times New Roman" w:hAnsi="Times New Roman"/>
                <w:b w:val="0"/>
                <w:i w:val="0"/>
                <w:sz w:val="19"/>
              </w:rPr>
              <w:t>0.964 (0.935–0.995)</w:t>
            </w:r>
          </w:p>
        </w:tc>
      </w:tr>
      <w:tr>
        <w:tc>
          <w:tcPr>
            <w:tcW w:type="dxa" w:w="1560"/>
          </w:tcPr>
          <w:p>
            <w:pPr>
              <w:spacing w:line="240" w:lineRule="auto" w:after="40" w:before="40"/>
            </w:pPr>
            <w:r>
              <w:rPr>
                <w:sz w:val="19"/>
              </w:rPr>
            </w:r>
            <w:r>
              <w:rPr>
                <w:rFonts w:ascii="Times New Roman" w:hAnsi="Times New Roman"/>
                <w:b w:val="0"/>
                <w:i w:val="0"/>
                <w:sz w:val="19"/>
              </w:rPr>
              <w:t>P95</w:t>
            </w:r>
          </w:p>
        </w:tc>
        <w:tc>
          <w:tcPr>
            <w:tcW w:type="dxa" w:w="1560"/>
          </w:tcPr>
          <w:p>
            <w:pPr>
              <w:spacing w:line="240" w:lineRule="auto" w:after="40" w:before="40"/>
            </w:pPr>
            <w:r>
              <w:rPr>
                <w:sz w:val="19"/>
              </w:rPr>
            </w:r>
            <w:r>
              <w:rPr>
                <w:rFonts w:ascii="Times New Roman" w:hAnsi="Times New Roman"/>
                <w:b w:val="0"/>
                <w:i w:val="0"/>
                <w:sz w:val="19"/>
              </w:rPr>
              <w:t>≥2</w:t>
            </w:r>
          </w:p>
        </w:tc>
        <w:tc>
          <w:tcPr>
            <w:tcW w:type="dxa" w:w="1560"/>
          </w:tcPr>
          <w:p>
            <w:pPr>
              <w:spacing w:line="240" w:lineRule="auto" w:after="40" w:before="40"/>
            </w:pPr>
            <w:r>
              <w:rPr>
                <w:sz w:val="19"/>
              </w:rPr>
            </w:r>
            <w:r>
              <w:rPr>
                <w:rFonts w:ascii="Times New Roman" w:hAnsi="Times New Roman"/>
                <w:b w:val="0"/>
                <w:i w:val="0"/>
                <w:sz w:val="19"/>
              </w:rPr>
              <w:t>4.29</w:t>
            </w:r>
          </w:p>
        </w:tc>
        <w:tc>
          <w:tcPr>
            <w:tcW w:type="dxa" w:w="1560"/>
          </w:tcPr>
          <w:p>
            <w:pPr>
              <w:spacing w:line="240" w:lineRule="auto" w:after="40" w:before="40"/>
            </w:pPr>
            <w:r>
              <w:rPr>
                <w:sz w:val="19"/>
              </w:rPr>
            </w:r>
            <w:r>
              <w:rPr>
                <w:rFonts w:ascii="Times New Roman" w:hAnsi="Times New Roman"/>
                <w:b w:val="0"/>
                <w:i w:val="0"/>
                <w:sz w:val="19"/>
              </w:rPr>
              <w:t>12,432</w:t>
            </w:r>
          </w:p>
        </w:tc>
        <w:tc>
          <w:tcPr>
            <w:tcW w:type="dxa" w:w="1560"/>
          </w:tcPr>
          <w:p>
            <w:pPr>
              <w:spacing w:line="240" w:lineRule="auto" w:after="40" w:before="40"/>
            </w:pPr>
            <w:r>
              <w:rPr>
                <w:sz w:val="19"/>
              </w:rPr>
            </w:r>
            <w:r>
              <w:rPr>
                <w:rFonts w:ascii="Times New Roman" w:hAnsi="Times New Roman"/>
                <w:b w:val="0"/>
                <w:i w:val="0"/>
                <w:sz w:val="19"/>
              </w:rPr>
              <w:t>1.018 (0.993–1.043)</w:t>
            </w:r>
          </w:p>
        </w:tc>
        <w:tc>
          <w:tcPr>
            <w:tcW w:type="dxa" w:w="1560"/>
          </w:tcPr>
          <w:p>
            <w:pPr>
              <w:spacing w:line="240" w:lineRule="auto" w:after="40" w:before="40"/>
            </w:pPr>
            <w:r>
              <w:rPr>
                <w:sz w:val="19"/>
              </w:rPr>
            </w:r>
            <w:r>
              <w:rPr>
                <w:rFonts w:ascii="Times New Roman" w:hAnsi="Times New Roman"/>
                <w:b w:val="0"/>
                <w:i w:val="0"/>
                <w:sz w:val="19"/>
              </w:rPr>
              <w:t>0.984 (0.952–1.018)</w:t>
            </w:r>
          </w:p>
        </w:tc>
      </w:tr>
      <w:tr>
        <w:tc>
          <w:tcPr>
            <w:tcW w:type="dxa" w:w="1560"/>
          </w:tcPr>
          <w:p>
            <w:pPr>
              <w:spacing w:line="240" w:lineRule="auto" w:after="40" w:before="40"/>
            </w:pPr>
            <w:r>
              <w:rPr>
                <w:sz w:val="19"/>
              </w:rPr>
            </w:r>
            <w:r>
              <w:rPr>
                <w:rFonts w:ascii="Times New Roman" w:hAnsi="Times New Roman"/>
                <w:b w:val="0"/>
                <w:i w:val="0"/>
                <w:sz w:val="19"/>
              </w:rPr>
              <w:t>P95</w:t>
            </w:r>
          </w:p>
        </w:tc>
        <w:tc>
          <w:tcPr>
            <w:tcW w:type="dxa" w:w="1560"/>
          </w:tcPr>
          <w:p>
            <w:pPr>
              <w:spacing w:line="240" w:lineRule="auto" w:after="40" w:before="40"/>
            </w:pPr>
            <w:r>
              <w:rPr>
                <w:sz w:val="19"/>
              </w:rPr>
            </w:r>
            <w:r>
              <w:rPr>
                <w:rFonts w:ascii="Times New Roman" w:hAnsi="Times New Roman"/>
                <w:b w:val="0"/>
                <w:i w:val="0"/>
                <w:sz w:val="19"/>
              </w:rPr>
              <w:t>≥3</w:t>
            </w:r>
          </w:p>
        </w:tc>
        <w:tc>
          <w:tcPr>
            <w:tcW w:type="dxa" w:w="1560"/>
          </w:tcPr>
          <w:p>
            <w:pPr>
              <w:spacing w:line="240" w:lineRule="auto" w:after="40" w:before="40"/>
            </w:pPr>
            <w:r>
              <w:rPr>
                <w:sz w:val="19"/>
              </w:rPr>
            </w:r>
            <w:r>
              <w:rPr>
                <w:rFonts w:ascii="Times New Roman" w:hAnsi="Times New Roman"/>
                <w:b w:val="0"/>
                <w:i w:val="0"/>
                <w:sz w:val="19"/>
              </w:rPr>
              <w:t>3.58</w:t>
            </w:r>
          </w:p>
        </w:tc>
        <w:tc>
          <w:tcPr>
            <w:tcW w:type="dxa" w:w="1560"/>
          </w:tcPr>
          <w:p>
            <w:pPr>
              <w:spacing w:line="240" w:lineRule="auto" w:after="40" w:before="40"/>
            </w:pPr>
            <w:r>
              <w:rPr>
                <w:sz w:val="19"/>
              </w:rPr>
            </w:r>
            <w:r>
              <w:rPr>
                <w:rFonts w:ascii="Times New Roman" w:hAnsi="Times New Roman"/>
                <w:b w:val="0"/>
                <w:i w:val="0"/>
                <w:sz w:val="19"/>
              </w:rPr>
              <w:t>10,484</w:t>
            </w:r>
          </w:p>
        </w:tc>
        <w:tc>
          <w:tcPr>
            <w:tcW w:type="dxa" w:w="1560"/>
          </w:tcPr>
          <w:p>
            <w:pPr>
              <w:spacing w:line="240" w:lineRule="auto" w:after="40" w:before="40"/>
            </w:pPr>
            <w:r>
              <w:rPr>
                <w:sz w:val="19"/>
              </w:rPr>
            </w:r>
            <w:r>
              <w:rPr>
                <w:rFonts w:ascii="Times New Roman" w:hAnsi="Times New Roman"/>
                <w:b w:val="0"/>
                <w:i w:val="0"/>
                <w:sz w:val="19"/>
              </w:rPr>
              <w:t>1.018 (0.991–1.046)</w:t>
            </w:r>
          </w:p>
        </w:tc>
        <w:tc>
          <w:tcPr>
            <w:tcW w:type="dxa" w:w="1560"/>
          </w:tcPr>
          <w:p>
            <w:pPr>
              <w:spacing w:line="240" w:lineRule="auto" w:after="40" w:before="40"/>
            </w:pPr>
            <w:r>
              <w:rPr>
                <w:sz w:val="19"/>
              </w:rPr>
            </w:r>
            <w:r>
              <w:rPr>
                <w:rFonts w:ascii="Times New Roman" w:hAnsi="Times New Roman"/>
                <w:b w:val="0"/>
                <w:i w:val="0"/>
                <w:sz w:val="19"/>
              </w:rPr>
              <w:t>0.987 (0.953–1.023)</w:t>
            </w:r>
          </w:p>
        </w:tc>
      </w:tr>
      <w:tr>
        <w:tc>
          <w:tcPr>
            <w:tcW w:type="dxa" w:w="1560"/>
          </w:tcPr>
          <w:p>
            <w:pPr>
              <w:spacing w:line="240" w:lineRule="auto" w:after="40" w:before="40"/>
            </w:pPr>
            <w:r>
              <w:rPr>
                <w:sz w:val="19"/>
              </w:rPr>
            </w:r>
            <w:r>
              <w:rPr>
                <w:rFonts w:ascii="Times New Roman" w:hAnsi="Times New Roman"/>
                <w:b w:val="0"/>
                <w:i w:val="0"/>
                <w:sz w:val="19"/>
              </w:rPr>
              <w:t>P95</w:t>
            </w:r>
          </w:p>
        </w:tc>
        <w:tc>
          <w:tcPr>
            <w:tcW w:type="dxa" w:w="1560"/>
          </w:tcPr>
          <w:p>
            <w:pPr>
              <w:spacing w:line="240" w:lineRule="auto" w:after="40" w:before="40"/>
            </w:pPr>
            <w:r>
              <w:rPr>
                <w:sz w:val="19"/>
              </w:rPr>
            </w:r>
            <w:r>
              <w:rPr>
                <w:rFonts w:ascii="Times New Roman" w:hAnsi="Times New Roman"/>
                <w:b w:val="0"/>
                <w:i w:val="0"/>
                <w:sz w:val="19"/>
              </w:rPr>
              <w:t>≥4</w:t>
            </w:r>
          </w:p>
        </w:tc>
        <w:tc>
          <w:tcPr>
            <w:tcW w:type="dxa" w:w="1560"/>
          </w:tcPr>
          <w:p>
            <w:pPr>
              <w:spacing w:line="240" w:lineRule="auto" w:after="40" w:before="40"/>
            </w:pPr>
            <w:r>
              <w:rPr>
                <w:sz w:val="19"/>
              </w:rPr>
            </w:r>
            <w:r>
              <w:rPr>
                <w:rFonts w:ascii="Times New Roman" w:hAnsi="Times New Roman"/>
                <w:b w:val="0"/>
                <w:i w:val="0"/>
                <w:sz w:val="19"/>
              </w:rPr>
              <w:t>2.98</w:t>
            </w:r>
          </w:p>
        </w:tc>
        <w:tc>
          <w:tcPr>
            <w:tcW w:type="dxa" w:w="1560"/>
          </w:tcPr>
          <w:p>
            <w:pPr>
              <w:spacing w:line="240" w:lineRule="auto" w:after="40" w:before="40"/>
            </w:pPr>
            <w:r>
              <w:rPr>
                <w:sz w:val="19"/>
              </w:rPr>
            </w:r>
            <w:r>
              <w:rPr>
                <w:rFonts w:ascii="Times New Roman" w:hAnsi="Times New Roman"/>
                <w:b w:val="0"/>
                <w:i w:val="0"/>
                <w:sz w:val="19"/>
              </w:rPr>
              <w:t>8,801</w:t>
            </w:r>
          </w:p>
        </w:tc>
        <w:tc>
          <w:tcPr>
            <w:tcW w:type="dxa" w:w="1560"/>
          </w:tcPr>
          <w:p>
            <w:pPr>
              <w:spacing w:line="240" w:lineRule="auto" w:after="40" w:before="40"/>
            </w:pPr>
            <w:r>
              <w:rPr>
                <w:sz w:val="19"/>
              </w:rPr>
            </w:r>
            <w:r>
              <w:rPr>
                <w:rFonts w:ascii="Times New Roman" w:hAnsi="Times New Roman"/>
                <w:b w:val="0"/>
                <w:i w:val="0"/>
                <w:sz w:val="19"/>
              </w:rPr>
              <w:t>1.011 (0.978–1.045)</w:t>
            </w:r>
          </w:p>
        </w:tc>
        <w:tc>
          <w:tcPr>
            <w:tcW w:type="dxa" w:w="1560"/>
          </w:tcPr>
          <w:p>
            <w:pPr>
              <w:spacing w:line="240" w:lineRule="auto" w:after="40" w:before="40"/>
            </w:pPr>
            <w:r>
              <w:rPr>
                <w:sz w:val="19"/>
              </w:rPr>
            </w:r>
            <w:r>
              <w:rPr>
                <w:rFonts w:ascii="Times New Roman" w:hAnsi="Times New Roman"/>
                <w:b w:val="0"/>
                <w:i w:val="0"/>
                <w:sz w:val="19"/>
              </w:rPr>
              <w:t>0.980 (0.944–1.019)</w:t>
            </w:r>
          </w:p>
        </w:tc>
      </w:tr>
      <w:tr>
        <w:tc>
          <w:tcPr>
            <w:tcW w:type="dxa" w:w="1560"/>
          </w:tcPr>
          <w:p>
            <w:pPr>
              <w:spacing w:line="240" w:lineRule="auto" w:after="40" w:before="40"/>
            </w:pPr>
            <w:r>
              <w:rPr>
                <w:sz w:val="19"/>
              </w:rPr>
            </w:r>
            <w:r>
              <w:rPr>
                <w:rFonts w:ascii="Times New Roman" w:hAnsi="Times New Roman"/>
                <w:b w:val="0"/>
                <w:i w:val="0"/>
                <w:sz w:val="19"/>
              </w:rPr>
              <w:t>P97.5</w:t>
            </w:r>
          </w:p>
        </w:tc>
        <w:tc>
          <w:tcPr>
            <w:tcW w:type="dxa" w:w="1560"/>
          </w:tcPr>
          <w:p>
            <w:pPr>
              <w:spacing w:line="240" w:lineRule="auto" w:after="40" w:before="40"/>
            </w:pPr>
            <w:r>
              <w:rPr>
                <w:sz w:val="19"/>
              </w:rPr>
            </w:r>
            <w:r>
              <w:rPr>
                <w:rFonts w:ascii="Times New Roman" w:hAnsi="Times New Roman"/>
                <w:b w:val="0"/>
                <w:i w:val="0"/>
                <w:sz w:val="19"/>
              </w:rPr>
              <w:t>≥2</w:t>
            </w:r>
          </w:p>
        </w:tc>
        <w:tc>
          <w:tcPr>
            <w:tcW w:type="dxa" w:w="1560"/>
          </w:tcPr>
          <w:p>
            <w:pPr>
              <w:spacing w:line="240" w:lineRule="auto" w:after="40" w:before="40"/>
            </w:pPr>
            <w:r>
              <w:rPr>
                <w:sz w:val="19"/>
              </w:rPr>
            </w:r>
            <w:r>
              <w:rPr>
                <w:rFonts w:ascii="Times New Roman" w:hAnsi="Times New Roman"/>
                <w:b w:val="0"/>
                <w:i w:val="0"/>
                <w:sz w:val="19"/>
              </w:rPr>
              <w:t>2.08</w:t>
            </w:r>
          </w:p>
        </w:tc>
        <w:tc>
          <w:tcPr>
            <w:tcW w:type="dxa" w:w="1560"/>
          </w:tcPr>
          <w:p>
            <w:pPr>
              <w:spacing w:line="240" w:lineRule="auto" w:after="40" w:before="40"/>
            </w:pPr>
            <w:r>
              <w:rPr>
                <w:sz w:val="19"/>
              </w:rPr>
            </w:r>
            <w:r>
              <w:rPr>
                <w:rFonts w:ascii="Times New Roman" w:hAnsi="Times New Roman"/>
                <w:b w:val="0"/>
                <w:i w:val="0"/>
                <w:sz w:val="19"/>
              </w:rPr>
              <w:t>6,289</w:t>
            </w:r>
          </w:p>
        </w:tc>
        <w:tc>
          <w:tcPr>
            <w:tcW w:type="dxa" w:w="1560"/>
          </w:tcPr>
          <w:p>
            <w:pPr>
              <w:spacing w:line="240" w:lineRule="auto" w:after="40" w:before="40"/>
            </w:pPr>
            <w:r>
              <w:rPr>
                <w:sz w:val="19"/>
              </w:rPr>
            </w:r>
            <w:r>
              <w:rPr>
                <w:rFonts w:ascii="Times New Roman" w:hAnsi="Times New Roman"/>
                <w:b w:val="0"/>
                <w:i w:val="0"/>
                <w:sz w:val="19"/>
              </w:rPr>
              <w:t>1.028 (0.987–1.071)</w:t>
            </w:r>
          </w:p>
        </w:tc>
        <w:tc>
          <w:tcPr>
            <w:tcW w:type="dxa" w:w="1560"/>
          </w:tcPr>
          <w:p>
            <w:pPr>
              <w:spacing w:line="240" w:lineRule="auto" w:after="40" w:before="40"/>
            </w:pPr>
            <w:r>
              <w:rPr>
                <w:sz w:val="19"/>
              </w:rPr>
            </w:r>
            <w:r>
              <w:rPr>
                <w:rFonts w:ascii="Times New Roman" w:hAnsi="Times New Roman"/>
                <w:b w:val="0"/>
                <w:i w:val="0"/>
                <w:sz w:val="19"/>
              </w:rPr>
              <w:t>1.002 (0.959–1.048)</w:t>
            </w:r>
          </w:p>
        </w:tc>
      </w:tr>
      <w:tr>
        <w:tc>
          <w:tcPr>
            <w:tcW w:type="dxa" w:w="1560"/>
          </w:tcPr>
          <w:p>
            <w:pPr>
              <w:spacing w:line="240" w:lineRule="auto" w:after="40" w:before="40"/>
            </w:pPr>
            <w:r>
              <w:rPr>
                <w:sz w:val="19"/>
              </w:rPr>
            </w:r>
            <w:r>
              <w:rPr>
                <w:rFonts w:ascii="Times New Roman" w:hAnsi="Times New Roman"/>
                <w:b w:val="0"/>
                <w:i w:val="0"/>
                <w:sz w:val="19"/>
              </w:rPr>
              <w:t>P97.5</w:t>
            </w:r>
          </w:p>
        </w:tc>
        <w:tc>
          <w:tcPr>
            <w:tcW w:type="dxa" w:w="1560"/>
          </w:tcPr>
          <w:p>
            <w:pPr>
              <w:spacing w:line="240" w:lineRule="auto" w:after="40" w:before="40"/>
            </w:pPr>
            <w:r>
              <w:rPr>
                <w:sz w:val="19"/>
              </w:rPr>
            </w:r>
            <w:r>
              <w:rPr>
                <w:rFonts w:ascii="Times New Roman" w:hAnsi="Times New Roman"/>
                <w:b w:val="0"/>
                <w:i w:val="0"/>
                <w:sz w:val="19"/>
              </w:rPr>
              <w:t>≥3</w:t>
            </w:r>
          </w:p>
        </w:tc>
        <w:tc>
          <w:tcPr>
            <w:tcW w:type="dxa" w:w="1560"/>
          </w:tcPr>
          <w:p>
            <w:pPr>
              <w:spacing w:line="240" w:lineRule="auto" w:after="40" w:before="40"/>
            </w:pPr>
            <w:r>
              <w:rPr>
                <w:sz w:val="19"/>
              </w:rPr>
            </w:r>
            <w:r>
              <w:rPr>
                <w:rFonts w:ascii="Times New Roman" w:hAnsi="Times New Roman"/>
                <w:b w:val="0"/>
                <w:i w:val="0"/>
                <w:sz w:val="19"/>
              </w:rPr>
              <w:t>1.66</w:t>
            </w:r>
          </w:p>
        </w:tc>
        <w:tc>
          <w:tcPr>
            <w:tcW w:type="dxa" w:w="1560"/>
          </w:tcPr>
          <w:p>
            <w:pPr>
              <w:spacing w:line="240" w:lineRule="auto" w:after="40" w:before="40"/>
            </w:pPr>
            <w:r>
              <w:rPr>
                <w:sz w:val="19"/>
              </w:rPr>
            </w:r>
            <w:r>
              <w:rPr>
                <w:rFonts w:ascii="Times New Roman" w:hAnsi="Times New Roman"/>
                <w:b w:val="0"/>
                <w:i w:val="0"/>
                <w:sz w:val="19"/>
              </w:rPr>
              <w:t>5,110</w:t>
            </w:r>
          </w:p>
        </w:tc>
        <w:tc>
          <w:tcPr>
            <w:tcW w:type="dxa" w:w="1560"/>
          </w:tcPr>
          <w:p>
            <w:pPr>
              <w:spacing w:line="240" w:lineRule="auto" w:after="40" w:before="40"/>
            </w:pPr>
            <w:r>
              <w:rPr>
                <w:sz w:val="19"/>
              </w:rPr>
            </w:r>
            <w:r>
              <w:rPr>
                <w:rFonts w:ascii="Times New Roman" w:hAnsi="Times New Roman"/>
                <w:b w:val="0"/>
                <w:i w:val="0"/>
                <w:sz w:val="19"/>
              </w:rPr>
              <w:t>1.030 (0.982–1.080)</w:t>
            </w:r>
          </w:p>
        </w:tc>
        <w:tc>
          <w:tcPr>
            <w:tcW w:type="dxa" w:w="1560"/>
          </w:tcPr>
          <w:p>
            <w:pPr>
              <w:spacing w:line="240" w:lineRule="auto" w:after="40" w:before="40"/>
            </w:pPr>
            <w:r>
              <w:rPr>
                <w:sz w:val="19"/>
              </w:rPr>
            </w:r>
            <w:r>
              <w:rPr>
                <w:rFonts w:ascii="Times New Roman" w:hAnsi="Times New Roman"/>
                <w:b w:val="0"/>
                <w:i w:val="0"/>
                <w:sz w:val="19"/>
              </w:rPr>
              <w:t>1.006 (0.956–1.059)</w:t>
            </w:r>
          </w:p>
        </w:tc>
      </w:tr>
      <w:tr>
        <w:tc>
          <w:tcPr>
            <w:tcW w:type="dxa" w:w="1560"/>
          </w:tcPr>
          <w:p>
            <w:pPr>
              <w:spacing w:line="240" w:lineRule="auto" w:after="40" w:before="40"/>
            </w:pPr>
            <w:r>
              <w:rPr>
                <w:sz w:val="19"/>
              </w:rPr>
            </w:r>
            <w:r>
              <w:rPr>
                <w:rFonts w:ascii="Times New Roman" w:hAnsi="Times New Roman"/>
                <w:b w:val="0"/>
                <w:i w:val="0"/>
                <w:sz w:val="19"/>
              </w:rPr>
              <w:t>P97.5</w:t>
            </w:r>
          </w:p>
        </w:tc>
        <w:tc>
          <w:tcPr>
            <w:tcW w:type="dxa" w:w="1560"/>
          </w:tcPr>
          <w:p>
            <w:pPr>
              <w:spacing w:line="240" w:lineRule="auto" w:after="40" w:before="40"/>
            </w:pPr>
            <w:r>
              <w:rPr>
                <w:sz w:val="19"/>
              </w:rPr>
            </w:r>
            <w:r>
              <w:rPr>
                <w:rFonts w:ascii="Times New Roman" w:hAnsi="Times New Roman"/>
                <w:b w:val="0"/>
                <w:i w:val="0"/>
                <w:sz w:val="19"/>
              </w:rPr>
              <w:t>≥4</w:t>
            </w:r>
          </w:p>
        </w:tc>
        <w:tc>
          <w:tcPr>
            <w:tcW w:type="dxa" w:w="1560"/>
          </w:tcPr>
          <w:p>
            <w:pPr>
              <w:spacing w:line="240" w:lineRule="auto" w:after="40" w:before="40"/>
            </w:pPr>
            <w:r>
              <w:rPr>
                <w:sz w:val="19"/>
              </w:rPr>
            </w:r>
            <w:r>
              <w:rPr>
                <w:rFonts w:ascii="Times New Roman" w:hAnsi="Times New Roman"/>
                <w:b w:val="0"/>
                <w:i w:val="0"/>
                <w:sz w:val="19"/>
              </w:rPr>
              <w:t>1.35</w:t>
            </w:r>
          </w:p>
        </w:tc>
        <w:tc>
          <w:tcPr>
            <w:tcW w:type="dxa" w:w="1560"/>
          </w:tcPr>
          <w:p>
            <w:pPr>
              <w:spacing w:line="240" w:lineRule="auto" w:after="40" w:before="40"/>
            </w:pPr>
            <w:r>
              <w:rPr>
                <w:sz w:val="19"/>
              </w:rPr>
            </w:r>
            <w:r>
              <w:rPr>
                <w:rFonts w:ascii="Times New Roman" w:hAnsi="Times New Roman"/>
                <w:b w:val="0"/>
                <w:i w:val="0"/>
                <w:sz w:val="19"/>
              </w:rPr>
              <w:t>4,199</w:t>
            </w:r>
          </w:p>
        </w:tc>
        <w:tc>
          <w:tcPr>
            <w:tcW w:type="dxa" w:w="1560"/>
          </w:tcPr>
          <w:p>
            <w:pPr>
              <w:spacing w:line="240" w:lineRule="auto" w:after="40" w:before="40"/>
            </w:pPr>
            <w:r>
              <w:rPr>
                <w:sz w:val="19"/>
              </w:rPr>
            </w:r>
            <w:r>
              <w:rPr>
                <w:rFonts w:ascii="Times New Roman" w:hAnsi="Times New Roman"/>
                <w:b w:val="0"/>
                <w:i w:val="0"/>
                <w:sz w:val="19"/>
              </w:rPr>
              <w:t>1.015 (0.962–1.071)</w:t>
            </w:r>
          </w:p>
        </w:tc>
        <w:tc>
          <w:tcPr>
            <w:tcW w:type="dxa" w:w="1560"/>
          </w:tcPr>
          <w:p>
            <w:pPr>
              <w:spacing w:line="240" w:lineRule="auto" w:after="40" w:before="40"/>
            </w:pPr>
            <w:r>
              <w:rPr>
                <w:sz w:val="19"/>
              </w:rPr>
            </w:r>
            <w:r>
              <w:rPr>
                <w:rFonts w:ascii="Times New Roman" w:hAnsi="Times New Roman"/>
                <w:b w:val="0"/>
                <w:i w:val="0"/>
                <w:sz w:val="19"/>
              </w:rPr>
              <w:t>0.990 (0.935–1.048)</w:t>
            </w:r>
          </w:p>
        </w:tc>
      </w:tr>
      <w:tr>
        <w:tc>
          <w:tcPr>
            <w:tcW w:type="dxa" w:w="1560"/>
          </w:tcPr>
          <w:p>
            <w:pPr>
              <w:spacing w:line="240" w:lineRule="auto" w:after="40" w:before="40"/>
            </w:pPr>
            <w:r>
              <w:rPr>
                <w:sz w:val="19"/>
              </w:rPr>
            </w:r>
            <w:r>
              <w:rPr>
                <w:rFonts w:ascii="Times New Roman" w:hAnsi="Times New Roman"/>
                <w:b w:val="0"/>
                <w:i w:val="0"/>
                <w:sz w:val="19"/>
              </w:rPr>
              <w:t>P99</w:t>
            </w:r>
          </w:p>
        </w:tc>
        <w:tc>
          <w:tcPr>
            <w:tcW w:type="dxa" w:w="1560"/>
          </w:tcPr>
          <w:p>
            <w:pPr>
              <w:spacing w:line="240" w:lineRule="auto" w:after="40" w:before="40"/>
            </w:pPr>
            <w:r>
              <w:rPr>
                <w:sz w:val="19"/>
              </w:rPr>
            </w:r>
            <w:r>
              <w:rPr>
                <w:rFonts w:ascii="Times New Roman" w:hAnsi="Times New Roman"/>
                <w:b w:val="0"/>
                <w:i w:val="0"/>
                <w:sz w:val="19"/>
              </w:rPr>
              <w:t>≥2</w:t>
            </w:r>
          </w:p>
        </w:tc>
        <w:tc>
          <w:tcPr>
            <w:tcW w:type="dxa" w:w="1560"/>
          </w:tcPr>
          <w:p>
            <w:pPr>
              <w:spacing w:line="240" w:lineRule="auto" w:after="40" w:before="40"/>
            </w:pPr>
            <w:r>
              <w:rPr>
                <w:sz w:val="19"/>
              </w:rPr>
            </w:r>
            <w:r>
              <w:rPr>
                <w:rFonts w:ascii="Times New Roman" w:hAnsi="Times New Roman"/>
                <w:b w:val="0"/>
                <w:i w:val="0"/>
                <w:sz w:val="19"/>
              </w:rPr>
              <w:t>0.78</w:t>
            </w:r>
          </w:p>
        </w:tc>
        <w:tc>
          <w:tcPr>
            <w:tcW w:type="dxa" w:w="1560"/>
          </w:tcPr>
          <w:p>
            <w:pPr>
              <w:spacing w:line="240" w:lineRule="auto" w:after="40" w:before="40"/>
            </w:pPr>
            <w:r>
              <w:rPr>
                <w:sz w:val="19"/>
              </w:rPr>
            </w:r>
            <w:r>
              <w:rPr>
                <w:rFonts w:ascii="Times New Roman" w:hAnsi="Times New Roman"/>
                <w:b w:val="0"/>
                <w:i w:val="0"/>
                <w:sz w:val="19"/>
              </w:rPr>
              <w:t>2,373</w:t>
            </w:r>
          </w:p>
        </w:tc>
        <w:tc>
          <w:tcPr>
            <w:tcW w:type="dxa" w:w="1560"/>
          </w:tcPr>
          <w:p>
            <w:pPr>
              <w:spacing w:line="240" w:lineRule="auto" w:after="40" w:before="40"/>
            </w:pPr>
            <w:r>
              <w:rPr>
                <w:sz w:val="19"/>
              </w:rPr>
            </w:r>
            <w:r>
              <w:rPr>
                <w:rFonts w:ascii="Times New Roman" w:hAnsi="Times New Roman"/>
                <w:b w:val="0"/>
                <w:i w:val="0"/>
                <w:sz w:val="19"/>
              </w:rPr>
              <w:t>1.004 (0.945–1.067)</w:t>
            </w:r>
          </w:p>
        </w:tc>
        <w:tc>
          <w:tcPr>
            <w:tcW w:type="dxa" w:w="1560"/>
          </w:tcPr>
          <w:p>
            <w:pPr>
              <w:spacing w:line="240" w:lineRule="auto" w:after="40" w:before="40"/>
            </w:pPr>
            <w:r>
              <w:rPr>
                <w:sz w:val="19"/>
              </w:rPr>
            </w:r>
            <w:r>
              <w:rPr>
                <w:rFonts w:ascii="Times New Roman" w:hAnsi="Times New Roman"/>
                <w:b w:val="0"/>
                <w:i w:val="0"/>
                <w:sz w:val="19"/>
              </w:rPr>
              <w:t>0.979 (0.915–1.048)</w:t>
            </w:r>
          </w:p>
        </w:tc>
      </w:tr>
      <w:tr>
        <w:tc>
          <w:tcPr>
            <w:tcW w:type="dxa" w:w="1560"/>
          </w:tcPr>
          <w:p>
            <w:pPr>
              <w:spacing w:line="240" w:lineRule="auto" w:after="40" w:before="40"/>
            </w:pPr>
            <w:r>
              <w:rPr>
                <w:sz w:val="19"/>
              </w:rPr>
            </w:r>
            <w:r>
              <w:rPr>
                <w:rFonts w:ascii="Times New Roman" w:hAnsi="Times New Roman"/>
                <w:b w:val="0"/>
                <w:i w:val="0"/>
                <w:sz w:val="19"/>
              </w:rPr>
              <w:t>P99</w:t>
            </w:r>
          </w:p>
        </w:tc>
        <w:tc>
          <w:tcPr>
            <w:tcW w:type="dxa" w:w="1560"/>
          </w:tcPr>
          <w:p>
            <w:pPr>
              <w:spacing w:line="240" w:lineRule="auto" w:after="40" w:before="40"/>
            </w:pPr>
            <w:r>
              <w:rPr>
                <w:sz w:val="19"/>
              </w:rPr>
            </w:r>
            <w:r>
              <w:rPr>
                <w:rFonts w:ascii="Times New Roman" w:hAnsi="Times New Roman"/>
                <w:b w:val="0"/>
                <w:i w:val="0"/>
                <w:sz w:val="19"/>
              </w:rPr>
              <w:t>≥3</w:t>
            </w:r>
          </w:p>
        </w:tc>
        <w:tc>
          <w:tcPr>
            <w:tcW w:type="dxa" w:w="1560"/>
          </w:tcPr>
          <w:p>
            <w:pPr>
              <w:spacing w:line="240" w:lineRule="auto" w:after="40" w:before="40"/>
            </w:pPr>
            <w:r>
              <w:rPr>
                <w:sz w:val="19"/>
              </w:rPr>
            </w:r>
            <w:r>
              <w:rPr>
                <w:rFonts w:ascii="Times New Roman" w:hAnsi="Times New Roman"/>
                <w:b w:val="0"/>
                <w:i w:val="0"/>
                <w:sz w:val="19"/>
              </w:rPr>
              <w:t>0.59</w:t>
            </w:r>
          </w:p>
        </w:tc>
        <w:tc>
          <w:tcPr>
            <w:tcW w:type="dxa" w:w="1560"/>
          </w:tcPr>
          <w:p>
            <w:pPr>
              <w:spacing w:line="240" w:lineRule="auto" w:after="40" w:before="40"/>
            </w:pPr>
            <w:r>
              <w:rPr>
                <w:sz w:val="19"/>
              </w:rPr>
            </w:r>
            <w:r>
              <w:rPr>
                <w:rFonts w:ascii="Times New Roman" w:hAnsi="Times New Roman"/>
                <w:b w:val="0"/>
                <w:i w:val="0"/>
                <w:sz w:val="19"/>
              </w:rPr>
              <w:t>1,838</w:t>
            </w:r>
          </w:p>
        </w:tc>
        <w:tc>
          <w:tcPr>
            <w:tcW w:type="dxa" w:w="1560"/>
          </w:tcPr>
          <w:p>
            <w:pPr>
              <w:spacing w:line="240" w:lineRule="auto" w:after="40" w:before="40"/>
            </w:pPr>
            <w:r>
              <w:rPr>
                <w:sz w:val="19"/>
              </w:rPr>
            </w:r>
            <w:r>
              <w:rPr>
                <w:rFonts w:ascii="Times New Roman" w:hAnsi="Times New Roman"/>
                <w:b w:val="0"/>
                <w:i w:val="0"/>
                <w:sz w:val="19"/>
              </w:rPr>
              <w:t>0.996 (0.931–1.066)</w:t>
            </w:r>
          </w:p>
        </w:tc>
        <w:tc>
          <w:tcPr>
            <w:tcW w:type="dxa" w:w="1560"/>
          </w:tcPr>
          <w:p>
            <w:pPr>
              <w:spacing w:line="240" w:lineRule="auto" w:after="40" w:before="40"/>
            </w:pPr>
            <w:r>
              <w:rPr>
                <w:sz w:val="19"/>
              </w:rPr>
            </w:r>
            <w:r>
              <w:rPr>
                <w:rFonts w:ascii="Times New Roman" w:hAnsi="Times New Roman"/>
                <w:b w:val="0"/>
                <w:i w:val="0"/>
                <w:sz w:val="19"/>
              </w:rPr>
              <w:t>0.973 (0.903–1.048)</w:t>
            </w:r>
          </w:p>
        </w:tc>
      </w:tr>
      <w:tr>
        <w:tc>
          <w:tcPr>
            <w:tcW w:type="dxa" w:w="1560"/>
          </w:tcPr>
          <w:p>
            <w:pPr>
              <w:spacing w:line="240" w:lineRule="auto" w:after="40" w:before="40"/>
            </w:pPr>
            <w:r>
              <w:rPr>
                <w:sz w:val="19"/>
              </w:rPr>
            </w:r>
            <w:r>
              <w:rPr>
                <w:rFonts w:ascii="Times New Roman" w:hAnsi="Times New Roman"/>
                <w:b w:val="0"/>
                <w:i w:val="0"/>
                <w:sz w:val="19"/>
              </w:rPr>
              <w:t>P99</w:t>
            </w:r>
          </w:p>
        </w:tc>
        <w:tc>
          <w:tcPr>
            <w:tcW w:type="dxa" w:w="1560"/>
          </w:tcPr>
          <w:p>
            <w:pPr>
              <w:spacing w:line="240" w:lineRule="auto" w:after="40" w:before="40"/>
            </w:pPr>
            <w:r>
              <w:rPr>
                <w:sz w:val="19"/>
              </w:rPr>
            </w:r>
            <w:r>
              <w:rPr>
                <w:rFonts w:ascii="Times New Roman" w:hAnsi="Times New Roman"/>
                <w:b w:val="0"/>
                <w:i w:val="0"/>
                <w:sz w:val="19"/>
              </w:rPr>
              <w:t>≥4</w:t>
            </w:r>
          </w:p>
        </w:tc>
        <w:tc>
          <w:tcPr>
            <w:tcW w:type="dxa" w:w="1560"/>
          </w:tcPr>
          <w:p>
            <w:pPr>
              <w:spacing w:line="240" w:lineRule="auto" w:after="40" w:before="40"/>
            </w:pPr>
            <w:r>
              <w:rPr>
                <w:sz w:val="19"/>
              </w:rPr>
            </w:r>
            <w:r>
              <w:rPr>
                <w:rFonts w:ascii="Times New Roman" w:hAnsi="Times New Roman"/>
                <w:b w:val="0"/>
                <w:i w:val="0"/>
                <w:sz w:val="19"/>
              </w:rPr>
              <w:t>0.45</w:t>
            </w:r>
          </w:p>
        </w:tc>
        <w:tc>
          <w:tcPr>
            <w:tcW w:type="dxa" w:w="1560"/>
          </w:tcPr>
          <w:p>
            <w:pPr>
              <w:spacing w:line="240" w:lineRule="auto" w:after="40" w:before="40"/>
            </w:pPr>
            <w:r>
              <w:rPr>
                <w:sz w:val="19"/>
              </w:rPr>
            </w:r>
            <w:r>
              <w:rPr>
                <w:rFonts w:ascii="Times New Roman" w:hAnsi="Times New Roman"/>
                <w:b w:val="0"/>
                <w:i w:val="0"/>
                <w:sz w:val="19"/>
              </w:rPr>
              <w:t>1,410</w:t>
            </w:r>
          </w:p>
        </w:tc>
        <w:tc>
          <w:tcPr>
            <w:tcW w:type="dxa" w:w="1560"/>
          </w:tcPr>
          <w:p>
            <w:pPr>
              <w:spacing w:line="240" w:lineRule="auto" w:after="40" w:before="40"/>
            </w:pPr>
            <w:r>
              <w:rPr>
                <w:sz w:val="19"/>
              </w:rPr>
            </w:r>
            <w:r>
              <w:rPr>
                <w:rFonts w:ascii="Times New Roman" w:hAnsi="Times New Roman"/>
                <w:b w:val="0"/>
                <w:i w:val="0"/>
                <w:sz w:val="19"/>
              </w:rPr>
              <w:t>0.980 (0.898–1.069)</w:t>
            </w:r>
          </w:p>
        </w:tc>
        <w:tc>
          <w:tcPr>
            <w:tcW w:type="dxa" w:w="1560"/>
          </w:tcPr>
          <w:p>
            <w:pPr>
              <w:spacing w:line="240" w:lineRule="auto" w:after="40" w:before="40"/>
            </w:pPr>
            <w:r>
              <w:rPr>
                <w:sz w:val="19"/>
              </w:rPr>
            </w:r>
            <w:r>
              <w:rPr>
                <w:rFonts w:ascii="Times New Roman" w:hAnsi="Times New Roman"/>
                <w:b w:val="0"/>
                <w:i w:val="0"/>
                <w:sz w:val="19"/>
              </w:rPr>
              <w:t>0.958 (0.872–1.053)</w:t>
            </w:r>
          </w:p>
        </w:tc>
      </w:tr>
    </w:tbl>
    <w:p>
      <w:pPr>
        <w:spacing w:after="120"/>
      </w:pPr>
    </w:p>
    <w:p>
      <w:pPr>
        <w:spacing w:before="0" w:after="0"/>
        <w:jc w:val="both"/>
      </w:pPr>
      <w:r>
        <w:rPr>
          <w:rFonts w:ascii="Times New Roman" w:hAnsi="Times New Roman"/>
          <w:b w:val="0"/>
          <w:i w:val="0"/>
        </w:rPr>
        <w:t>\</w:t>
      </w:r>
      <w:r>
        <w:rPr>
          <w:rFonts w:ascii="Times New Roman" w:hAnsi="Times New Roman"/>
          <w:b w:val="0"/>
          <w:i/>
        </w:rPr>
        <w:t xml:space="preserve"> Hu </w:t>
      </w:r>
      <w:r>
        <w:rPr>
          <w:rFonts w:ascii="Times New Roman" w:hAnsi="Times New Roman"/>
          <w:b w:val="0"/>
          <w:i w:val="0"/>
        </w:rPr>
        <w:t>et al.* (2025) definition.</w:t>
      </w:r>
    </w:p>
    <w:p>
      <w:pPr>
        <w:spacing w:before="0" w:after="0"/>
        <w:jc w:val="both"/>
      </w:pPr>
      <w:r>
        <w:rPr>
          <w:rFonts w:ascii="Times New Roman" w:hAnsi="Times New Roman"/>
          <w:b/>
          <w:i w:val="0"/>
        </w:rPr>
        <w:t>All 15 total-effect estimates are null.</w:t>
      </w:r>
      <w:r>
        <w:rPr>
          <w:rFonts w:ascii="Times New Roman" w:hAnsi="Times New Roman"/>
          <w:b w:val="0"/>
          <w:i w:val="0"/>
        </w:rPr>
        <w:t xml:space="preserve"> The largest is P97.5 / ≥3 days at 1.030 (0.982–1.080).</w:t>
      </w:r>
    </w:p>
    <w:p>
      <w:r>
        <w:br w:type="page"/>
      </w:r>
    </w:p>
    <w:p>
      <w:pPr>
        <w:spacing w:before="280" w:after="80" w:line="360" w:lineRule="auto"/>
      </w:pPr>
      <w:r>
        <w:rPr>
          <w:rFonts w:ascii="Times New Roman" w:hAnsi="Times New Roman"/>
          <w:b/>
          <w:sz w:val="28"/>
        </w:rPr>
        <w:t>S2.2 The added effect of persistence is at or below unity</w:t>
      </w:r>
    </w:p>
    <w:p>
      <w:pPr>
        <w:spacing w:before="0" w:after="0"/>
        <w:jc w:val="both"/>
      </w:pPr>
      <w:r>
        <w:rPr>
          <w:rFonts w:ascii="Times New Roman" w:hAnsi="Times New Roman"/>
          <w:b w:val="0"/>
          <w:i w:val="0"/>
        </w:rPr>
        <w:t xml:space="preserve">Under the Hu </w:t>
      </w:r>
      <w:r>
        <w:rPr>
          <w:rFonts w:ascii="Times New Roman" w:hAnsi="Times New Roman"/>
          <w:b w:val="0"/>
          <w:i/>
        </w:rPr>
        <w:t>et al.</w:t>
      </w:r>
      <w:r>
        <w:rPr>
          <w:rFonts w:ascii="Times New Roman" w:hAnsi="Times New Roman"/>
          <w:b w:val="0"/>
          <w:i w:val="0"/>
        </w:rPr>
        <w:t xml:space="preserve"> definition, robust to how same-day temperature is adjusted:</w:t>
      </w:r>
    </w:p>
    <w:tbl>
      <w:tblPr>
        <w:tblStyle w:val="TableGrid"/>
        <w:tblW w:type="auto" w:w="0"/>
        <w:tblLayout w:type="autofit"/>
        <w:tblLook w:firstColumn="1" w:firstRow="1" w:lastColumn="0" w:lastRow="0" w:noHBand="0" w:noVBand="1" w:val="04A0"/>
      </w:tblPr>
      <w:tblGrid>
        <w:gridCol w:w="4680"/>
        <w:gridCol w:w="4680"/>
      </w:tblGrid>
      <w:tr>
        <w:tc>
          <w:tcPr>
            <w:tcW w:type="dxa" w:w="4680"/>
          </w:tcPr>
          <w:p>
            <w:pPr>
              <w:spacing w:line="240" w:lineRule="auto" w:after="40" w:before="40"/>
            </w:pPr>
            <w:r>
              <w:rPr>
                <w:b/>
                <w:sz w:val="19"/>
              </w:rPr>
            </w:r>
            <w:r>
              <w:rPr>
                <w:rFonts w:ascii="Times New Roman" w:hAnsi="Times New Roman"/>
                <w:b/>
                <w:i w:val="0"/>
                <w:sz w:val="19"/>
              </w:rPr>
              <w:t>Adjustment for the day's own temperature</w:t>
            </w:r>
          </w:p>
        </w:tc>
        <w:tc>
          <w:tcPr>
            <w:tcW w:type="dxa" w:w="4680"/>
          </w:tcPr>
          <w:p>
            <w:pPr>
              <w:spacing w:line="240" w:lineRule="auto" w:after="40" w:before="40"/>
            </w:pPr>
            <w:r>
              <w:rPr>
                <w:b/>
                <w:sz w:val="19"/>
              </w:rPr>
            </w:r>
            <w:r>
              <w:rPr>
                <w:rFonts w:ascii="Times New Roman" w:hAnsi="Times New Roman"/>
                <w:b/>
                <w:i w:val="0"/>
                <w:sz w:val="19"/>
              </w:rPr>
              <w:t>RR added (95% CI)</w:t>
            </w:r>
          </w:p>
        </w:tc>
      </w:tr>
      <w:tr>
        <w:tc>
          <w:tcPr>
            <w:tcW w:type="dxa" w:w="4680"/>
          </w:tcPr>
          <w:p>
            <w:pPr>
              <w:spacing w:line="240" w:lineRule="auto" w:after="40" w:before="40"/>
            </w:pPr>
            <w:r>
              <w:rPr>
                <w:sz w:val="19"/>
              </w:rPr>
            </w:r>
            <w:r>
              <w:rPr>
                <w:rFonts w:ascii="Times New Roman" w:hAnsi="Times New Roman"/>
                <w:b w:val="0"/>
                <w:i w:val="0"/>
                <w:sz w:val="19"/>
              </w:rPr>
              <w:t>None (= total effect)</w:t>
            </w:r>
          </w:p>
        </w:tc>
        <w:tc>
          <w:tcPr>
            <w:tcW w:type="dxa" w:w="4680"/>
          </w:tcPr>
          <w:p>
            <w:pPr>
              <w:spacing w:line="240" w:lineRule="auto" w:after="40" w:before="40"/>
            </w:pPr>
            <w:r>
              <w:rPr>
                <w:sz w:val="19"/>
              </w:rPr>
            </w:r>
            <w:r>
              <w:rPr>
                <w:rFonts w:ascii="Times New Roman" w:hAnsi="Times New Roman"/>
                <w:b w:val="0"/>
                <w:i w:val="0"/>
                <w:sz w:val="19"/>
              </w:rPr>
              <w:t>1.0033 (0.9796–1.0275)</w:t>
            </w:r>
          </w:p>
        </w:tc>
      </w:tr>
      <w:tr>
        <w:tc>
          <w:tcPr>
            <w:tcW w:type="dxa" w:w="4680"/>
          </w:tcPr>
          <w:p>
            <w:pPr>
              <w:spacing w:line="240" w:lineRule="auto" w:after="40" w:before="40"/>
            </w:pPr>
            <w:r>
              <w:rPr>
                <w:sz w:val="19"/>
              </w:rPr>
            </w:r>
            <w:r>
              <w:rPr>
                <w:rFonts w:ascii="Times New Roman" w:hAnsi="Times New Roman"/>
                <w:b w:val="0"/>
                <w:i w:val="0"/>
                <w:sz w:val="19"/>
              </w:rPr>
              <w:t>Percentile-bin dummies</w:t>
            </w:r>
          </w:p>
        </w:tc>
        <w:tc>
          <w:tcPr>
            <w:tcW w:type="dxa" w:w="4680"/>
          </w:tcPr>
          <w:p>
            <w:pPr>
              <w:spacing w:line="240" w:lineRule="auto" w:after="40" w:before="40"/>
            </w:pPr>
            <w:r>
              <w:rPr>
                <w:sz w:val="19"/>
              </w:rPr>
            </w:r>
            <w:r>
              <w:rPr>
                <w:rFonts w:ascii="Times New Roman" w:hAnsi="Times New Roman"/>
                <w:b w:val="0"/>
                <w:i w:val="0"/>
                <w:sz w:val="19"/>
              </w:rPr>
              <w:t>0.9703 (0.9375–1.0044)</w:t>
            </w:r>
          </w:p>
        </w:tc>
      </w:tr>
      <w:tr>
        <w:tc>
          <w:tcPr>
            <w:tcW w:type="dxa" w:w="4680"/>
          </w:tcPr>
          <w:p>
            <w:pPr>
              <w:spacing w:line="240" w:lineRule="auto" w:after="40" w:before="40"/>
            </w:pPr>
            <w:r>
              <w:rPr>
                <w:sz w:val="19"/>
              </w:rPr>
            </w:r>
            <w:r>
              <w:rPr>
                <w:rFonts w:ascii="Times New Roman" w:hAnsi="Times New Roman"/>
                <w:b w:val="0"/>
                <w:i w:val="0"/>
                <w:sz w:val="19"/>
              </w:rPr>
              <w:t>Linear + quadratic Tmax</w:t>
            </w:r>
          </w:p>
        </w:tc>
        <w:tc>
          <w:tcPr>
            <w:tcW w:type="dxa" w:w="4680"/>
          </w:tcPr>
          <w:p>
            <w:pPr>
              <w:spacing w:line="240" w:lineRule="auto" w:after="40" w:before="40"/>
            </w:pPr>
            <w:r>
              <w:rPr>
                <w:sz w:val="19"/>
              </w:rPr>
            </w:r>
            <w:r>
              <w:rPr>
                <w:rFonts w:ascii="Times New Roman" w:hAnsi="Times New Roman"/>
                <w:b w:val="0"/>
                <w:i w:val="0"/>
                <w:sz w:val="19"/>
              </w:rPr>
              <w:t>0.9593 (0.9325–0.9869)</w:t>
            </w:r>
          </w:p>
        </w:tc>
      </w:tr>
      <w:tr>
        <w:tc>
          <w:tcPr>
            <w:tcW w:type="dxa" w:w="4680"/>
          </w:tcPr>
          <w:p>
            <w:pPr>
              <w:spacing w:line="240" w:lineRule="auto" w:after="40" w:before="40"/>
            </w:pPr>
            <w:r>
              <w:rPr>
                <w:sz w:val="19"/>
              </w:rPr>
            </w:r>
            <w:r>
              <w:rPr>
                <w:rFonts w:ascii="Times New Roman" w:hAnsi="Times New Roman"/>
                <w:b w:val="0"/>
                <w:i w:val="0"/>
                <w:sz w:val="19"/>
              </w:rPr>
              <w:t>Natural spline, cr(df = 4)</w:t>
            </w:r>
          </w:p>
        </w:tc>
        <w:tc>
          <w:tcPr>
            <w:tcW w:type="dxa" w:w="4680"/>
          </w:tcPr>
          <w:p>
            <w:pPr>
              <w:spacing w:line="240" w:lineRule="auto" w:after="40" w:before="40"/>
            </w:pPr>
            <w:r>
              <w:rPr>
                <w:sz w:val="19"/>
              </w:rPr>
            </w:r>
            <w:r>
              <w:rPr>
                <w:rFonts w:ascii="Times New Roman" w:hAnsi="Times New Roman"/>
                <w:b w:val="0"/>
                <w:i w:val="0"/>
                <w:sz w:val="19"/>
              </w:rPr>
              <w:t>0.9604 (0.9310–0.9906)</w:t>
            </w:r>
          </w:p>
        </w:tc>
      </w:tr>
    </w:tbl>
    <w:p>
      <w:pPr>
        <w:spacing w:after="120"/>
      </w:pPr>
    </w:p>
    <w:p>
      <w:pPr>
        <w:spacing w:before="0" w:after="0"/>
        <w:jc w:val="both"/>
      </w:pPr>
      <w:r>
        <w:rPr>
          <w:rFonts w:ascii="Times New Roman" w:hAnsi="Times New Roman"/>
          <w:b w:val="0"/>
          <w:i w:val="0"/>
        </w:rPr>
        <w:t xml:space="preserve">The spline model produced four non-finite standard errors among the </w:t>
      </w:r>
      <w:r>
        <w:rPr>
          <w:rFonts w:ascii="Times New Roman" w:hAnsi="Times New Roman"/>
          <w:b w:val="0"/>
          <w:i/>
        </w:rPr>
        <w:t>spline</w:t>
      </w:r>
      <w:r>
        <w:rPr>
          <w:rFonts w:ascii="Times New Roman" w:hAnsi="Times New Roman"/>
          <w:b w:val="0"/>
          <w:i w:val="0"/>
        </w:rPr>
        <w:t xml:space="preserve"> coefficients, from near-collinearity of the basis within strata. The heatwave estimate itself is unaffected and agrees with the two well-conditioned specifications, which is why all three are reported.</w:t>
      </w:r>
    </w:p>
    <w:p>
      <w:pPr>
        <w:spacing w:before="0" w:after="0"/>
        <w:jc w:val="both"/>
      </w:pPr>
      <w:r>
        <w:rPr>
          <w:rFonts w:ascii="Times New Roman" w:hAnsi="Times New Roman"/>
          <w:b w:val="0"/>
          <w:i w:val="0"/>
        </w:rPr>
        <w:t xml:space="preserve">Once the day's own temperature is accounted for, being inside a sustained hot spell carries no extra risk, and if anything slightly less. The estimate is below unity in two of three specifications and borderline in the third, so the reading we adopt is </w:t>
      </w:r>
      <w:r>
        <w:rPr>
          <w:rFonts w:ascii="Times New Roman" w:hAnsi="Times New Roman"/>
          <w:b w:val="0"/>
          <w:i/>
        </w:rPr>
        <w:t>no added effect</w:t>
      </w:r>
      <w:r>
        <w:rPr>
          <w:rFonts w:ascii="Times New Roman" w:hAnsi="Times New Roman"/>
          <w:b w:val="0"/>
          <w:i w:val="0"/>
        </w:rPr>
        <w:t xml:space="preserve"> rather than </w:t>
      </w:r>
      <w:r>
        <w:rPr>
          <w:rFonts w:ascii="Times New Roman" w:hAnsi="Times New Roman"/>
          <w:b w:val="0"/>
          <w:i/>
        </w:rPr>
        <w:t>protection</w:t>
      </w:r>
      <w:r>
        <w:rPr>
          <w:rFonts w:ascii="Times New Roman" w:hAnsi="Times New Roman"/>
          <w:b w:val="0"/>
          <w:i w:val="0"/>
        </w:rPr>
        <w:t>.</w:t>
      </w:r>
    </w:p>
    <w:p>
      <w:r>
        <w:br w:type="page"/>
      </w:r>
    </w:p>
    <w:p>
      <w:pPr>
        <w:spacing w:before="280" w:after="80" w:line="360" w:lineRule="auto"/>
      </w:pPr>
      <w:r>
        <w:rPr>
          <w:rFonts w:ascii="Times New Roman" w:hAnsi="Times New Roman"/>
          <w:b/>
          <w:sz w:val="28"/>
        </w:rPr>
        <w:t>S2.3 No duration–response</w:t>
      </w:r>
    </w:p>
    <w:p>
      <w:pPr>
        <w:spacing w:before="0" w:after="0"/>
        <w:jc w:val="both"/>
      </w:pPr>
      <w:r>
        <w:rPr>
          <w:rFonts w:ascii="Times New Roman" w:hAnsi="Times New Roman"/>
          <w:b w:val="0"/>
          <w:i w:val="0"/>
        </w:rPr>
        <w:t xml:space="preserve">Day within the spell, under the Hu </w:t>
      </w:r>
      <w:r>
        <w:rPr>
          <w:rFonts w:ascii="Times New Roman" w:hAnsi="Times New Roman"/>
          <w:b w:val="0"/>
          <w:i/>
        </w:rPr>
        <w:t>et al.</w:t>
      </w:r>
      <w:r>
        <w:rPr>
          <w:rFonts w:ascii="Times New Roman" w:hAnsi="Times New Roman"/>
          <w:b w:val="0"/>
          <w:i w:val="0"/>
        </w:rPr>
        <w:t xml:space="preserve"> definition:</w:t>
      </w:r>
    </w:p>
    <w:tbl>
      <w:tblPr>
        <w:tblStyle w:val="TableGrid"/>
        <w:tblW w:type="auto" w:w="0"/>
        <w:tblLayout w:type="autofit"/>
        <w:tblLook w:firstColumn="1" w:firstRow="1" w:lastColumn="0" w:lastRow="0" w:noHBand="0" w:noVBand="1" w:val="04A0"/>
      </w:tblPr>
      <w:tblGrid>
        <w:gridCol w:w="3120"/>
        <w:gridCol w:w="3120"/>
        <w:gridCol w:w="3120"/>
      </w:tblGrid>
      <w:tr>
        <w:tc>
          <w:tcPr>
            <w:tcW w:type="dxa" w:w="3120"/>
          </w:tcPr>
          <w:p>
            <w:pPr>
              <w:spacing w:line="240" w:lineRule="auto" w:after="40" w:before="40"/>
            </w:pPr>
            <w:r>
              <w:rPr>
                <w:b/>
                <w:sz w:val="19"/>
              </w:rPr>
            </w:r>
            <w:r>
              <w:rPr>
                <w:rFonts w:ascii="Times New Roman" w:hAnsi="Times New Roman"/>
                <w:b/>
                <w:i w:val="0"/>
                <w:sz w:val="19"/>
              </w:rPr>
              <w:t>Position in spell</w:t>
            </w:r>
          </w:p>
        </w:tc>
        <w:tc>
          <w:tcPr>
            <w:tcW w:type="dxa" w:w="3120"/>
          </w:tcPr>
          <w:p>
            <w:pPr>
              <w:spacing w:line="240" w:lineRule="auto" w:after="40" w:before="40"/>
            </w:pPr>
            <w:r>
              <w:rPr>
                <w:b/>
                <w:sz w:val="19"/>
              </w:rPr>
            </w:r>
            <w:r>
              <w:rPr>
                <w:rFonts w:ascii="Times New Roman" w:hAnsi="Times New Roman"/>
                <w:b/>
                <w:i w:val="0"/>
                <w:sz w:val="19"/>
              </w:rPr>
              <w:t>RR (95% CI)</w:t>
            </w:r>
          </w:p>
        </w:tc>
        <w:tc>
          <w:tcPr>
            <w:tcW w:type="dxa" w:w="3120"/>
          </w:tcPr>
          <w:p>
            <w:pPr>
              <w:spacing w:line="240" w:lineRule="auto" w:after="40" w:before="40"/>
            </w:pPr>
            <w:r>
              <w:rPr>
                <w:b/>
                <w:sz w:val="19"/>
              </w:rPr>
            </w:r>
            <w:r>
              <w:rPr>
                <w:rFonts w:ascii="Times New Roman" w:hAnsi="Times New Roman"/>
                <w:b/>
                <w:i w:val="0"/>
                <w:sz w:val="19"/>
              </w:rPr>
              <w:t>Days</w:t>
            </w:r>
          </w:p>
        </w:tc>
      </w:tr>
      <w:tr>
        <w:tc>
          <w:tcPr>
            <w:tcW w:type="dxa" w:w="3120"/>
          </w:tcPr>
          <w:p>
            <w:pPr>
              <w:spacing w:line="240" w:lineRule="auto" w:after="40" w:before="40"/>
            </w:pPr>
            <w:r>
              <w:rPr>
                <w:sz w:val="19"/>
              </w:rPr>
            </w:r>
            <w:r>
              <w:rPr>
                <w:rFonts w:ascii="Times New Roman" w:hAnsi="Times New Roman"/>
                <w:b w:val="0"/>
                <w:i w:val="0"/>
                <w:sz w:val="19"/>
              </w:rPr>
              <w:t>Day 1</w:t>
            </w:r>
          </w:p>
        </w:tc>
        <w:tc>
          <w:tcPr>
            <w:tcW w:type="dxa" w:w="3120"/>
          </w:tcPr>
          <w:p>
            <w:pPr>
              <w:spacing w:line="240" w:lineRule="auto" w:after="40" w:before="40"/>
            </w:pPr>
            <w:r>
              <w:rPr>
                <w:sz w:val="19"/>
              </w:rPr>
            </w:r>
            <w:r>
              <w:rPr>
                <w:rFonts w:ascii="Times New Roman" w:hAnsi="Times New Roman"/>
                <w:b w:val="0"/>
                <w:i w:val="0"/>
                <w:sz w:val="19"/>
              </w:rPr>
              <w:t>0.998 (0.959–1.039)</w:t>
            </w:r>
          </w:p>
        </w:tc>
        <w:tc>
          <w:tcPr>
            <w:tcW w:type="dxa" w:w="3120"/>
          </w:tcPr>
          <w:p>
            <w:pPr>
              <w:spacing w:line="240" w:lineRule="auto" w:after="40" w:before="40"/>
            </w:pPr>
            <w:r>
              <w:rPr>
                <w:sz w:val="19"/>
              </w:rPr>
            </w:r>
            <w:r>
              <w:rPr>
                <w:rFonts w:ascii="Times New Roman" w:hAnsi="Times New Roman"/>
                <w:b w:val="0"/>
                <w:i w:val="0"/>
                <w:sz w:val="19"/>
              </w:rPr>
              <w:t>5,559</w:t>
            </w:r>
          </w:p>
        </w:tc>
      </w:tr>
      <w:tr>
        <w:tc>
          <w:tcPr>
            <w:tcW w:type="dxa" w:w="3120"/>
          </w:tcPr>
          <w:p>
            <w:pPr>
              <w:spacing w:line="240" w:lineRule="auto" w:after="40" w:before="40"/>
            </w:pPr>
            <w:r>
              <w:rPr>
                <w:sz w:val="19"/>
              </w:rPr>
            </w:r>
            <w:r>
              <w:rPr>
                <w:rFonts w:ascii="Times New Roman" w:hAnsi="Times New Roman"/>
                <w:b w:val="0"/>
                <w:i w:val="0"/>
                <w:sz w:val="19"/>
              </w:rPr>
              <w:t>Day 2</w:t>
            </w:r>
          </w:p>
        </w:tc>
        <w:tc>
          <w:tcPr>
            <w:tcW w:type="dxa" w:w="3120"/>
          </w:tcPr>
          <w:p>
            <w:pPr>
              <w:spacing w:line="240" w:lineRule="auto" w:after="40" w:before="40"/>
            </w:pPr>
            <w:r>
              <w:rPr>
                <w:sz w:val="19"/>
              </w:rPr>
            </w:r>
            <w:r>
              <w:rPr>
                <w:rFonts w:ascii="Times New Roman" w:hAnsi="Times New Roman"/>
                <w:b w:val="0"/>
                <w:i w:val="0"/>
                <w:sz w:val="19"/>
              </w:rPr>
              <w:t>1.012 (0.964–1.063)</w:t>
            </w:r>
          </w:p>
        </w:tc>
        <w:tc>
          <w:tcPr>
            <w:tcW w:type="dxa" w:w="3120"/>
          </w:tcPr>
          <w:p>
            <w:pPr>
              <w:spacing w:line="240" w:lineRule="auto" w:after="40" w:before="40"/>
            </w:pPr>
            <w:r>
              <w:rPr>
                <w:sz w:val="19"/>
              </w:rPr>
            </w:r>
            <w:r>
              <w:rPr>
                <w:rFonts w:ascii="Times New Roman" w:hAnsi="Times New Roman"/>
                <w:b w:val="0"/>
                <w:i w:val="0"/>
                <w:sz w:val="19"/>
              </w:rPr>
              <w:t>5,559</w:t>
            </w:r>
          </w:p>
        </w:tc>
      </w:tr>
      <w:tr>
        <w:tc>
          <w:tcPr>
            <w:tcW w:type="dxa" w:w="3120"/>
          </w:tcPr>
          <w:p>
            <w:pPr>
              <w:spacing w:line="240" w:lineRule="auto" w:after="40" w:before="40"/>
            </w:pPr>
            <w:r>
              <w:rPr>
                <w:sz w:val="19"/>
              </w:rPr>
            </w:r>
            <w:r>
              <w:rPr>
                <w:rFonts w:ascii="Times New Roman" w:hAnsi="Times New Roman"/>
                <w:b w:val="0"/>
                <w:i w:val="0"/>
                <w:sz w:val="19"/>
              </w:rPr>
              <w:t>Day 3</w:t>
            </w:r>
          </w:p>
        </w:tc>
        <w:tc>
          <w:tcPr>
            <w:tcW w:type="dxa" w:w="3120"/>
          </w:tcPr>
          <w:p>
            <w:pPr>
              <w:spacing w:line="240" w:lineRule="auto" w:after="40" w:before="40"/>
            </w:pPr>
            <w:r>
              <w:rPr>
                <w:sz w:val="19"/>
              </w:rPr>
            </w:r>
            <w:r>
              <w:rPr>
                <w:rFonts w:ascii="Times New Roman" w:hAnsi="Times New Roman"/>
                <w:b w:val="0"/>
                <w:i w:val="0"/>
                <w:sz w:val="19"/>
              </w:rPr>
              <w:t>0.992 (0.938–1.048)</w:t>
            </w:r>
          </w:p>
        </w:tc>
        <w:tc>
          <w:tcPr>
            <w:tcW w:type="dxa" w:w="3120"/>
          </w:tcPr>
          <w:p>
            <w:pPr>
              <w:spacing w:line="240" w:lineRule="auto" w:after="40" w:before="40"/>
            </w:pPr>
            <w:r>
              <w:rPr>
                <w:sz w:val="19"/>
              </w:rPr>
            </w:r>
            <w:r>
              <w:rPr>
                <w:rFonts w:ascii="Times New Roman" w:hAnsi="Times New Roman"/>
                <w:b w:val="0"/>
                <w:i w:val="0"/>
                <w:sz w:val="19"/>
              </w:rPr>
              <w:t>3,559</w:t>
            </w:r>
          </w:p>
        </w:tc>
      </w:tr>
      <w:tr>
        <w:tc>
          <w:tcPr>
            <w:tcW w:type="dxa" w:w="3120"/>
          </w:tcPr>
          <w:p>
            <w:pPr>
              <w:spacing w:line="240" w:lineRule="auto" w:after="40" w:before="40"/>
            </w:pPr>
            <w:r>
              <w:rPr>
                <w:sz w:val="19"/>
              </w:rPr>
            </w:r>
            <w:r>
              <w:rPr>
                <w:rFonts w:ascii="Times New Roman" w:hAnsi="Times New Roman"/>
                <w:b w:val="0"/>
                <w:i w:val="0"/>
                <w:sz w:val="19"/>
              </w:rPr>
              <w:t>Day 4+</w:t>
            </w:r>
          </w:p>
        </w:tc>
        <w:tc>
          <w:tcPr>
            <w:tcW w:type="dxa" w:w="3120"/>
          </w:tcPr>
          <w:p>
            <w:pPr>
              <w:spacing w:line="240" w:lineRule="auto" w:after="40" w:before="40"/>
            </w:pPr>
            <w:r>
              <w:rPr>
                <w:sz w:val="19"/>
              </w:rPr>
            </w:r>
            <w:r>
              <w:rPr>
                <w:rFonts w:ascii="Times New Roman" w:hAnsi="Times New Roman"/>
                <w:b w:val="0"/>
                <w:i w:val="0"/>
                <w:sz w:val="19"/>
              </w:rPr>
              <w:t>1.005 (0.975–1.037)</w:t>
            </w:r>
          </w:p>
        </w:tc>
        <w:tc>
          <w:tcPr>
            <w:tcW w:type="dxa" w:w="3120"/>
          </w:tcPr>
          <w:p>
            <w:pPr>
              <w:spacing w:line="240" w:lineRule="auto" w:after="40" w:before="40"/>
            </w:pPr>
            <w:r>
              <w:rPr>
                <w:sz w:val="19"/>
              </w:rPr>
            </w:r>
            <w:r>
              <w:rPr>
                <w:rFonts w:ascii="Times New Roman" w:hAnsi="Times New Roman"/>
                <w:b w:val="0"/>
                <w:i w:val="0"/>
                <w:sz w:val="19"/>
              </w:rPr>
              <w:t>12,320</w:t>
            </w:r>
          </w:p>
        </w:tc>
      </w:tr>
    </w:tbl>
    <w:p>
      <w:pPr>
        <w:spacing w:after="120"/>
      </w:pPr>
    </w:p>
    <w:p>
      <w:r>
        <w:br w:type="page"/>
      </w:r>
    </w:p>
    <w:p>
      <w:pPr>
        <w:spacing w:before="280" w:after="80" w:line="360" w:lineRule="auto"/>
      </w:pPr>
      <w:r>
        <w:rPr>
          <w:rFonts w:ascii="Times New Roman" w:hAnsi="Times New Roman"/>
          <w:b/>
          <w:sz w:val="28"/>
        </w:rPr>
        <w:t>S2.4 Attributable burden</w:t>
      </w:r>
    </w:p>
    <w:tbl>
      <w:tblPr>
        <w:tblStyle w:val="TableGrid"/>
        <w:tblW w:type="auto" w:w="0"/>
        <w:tblLayout w:type="autofit"/>
        <w:tblLook w:firstColumn="1" w:firstRow="1" w:lastColumn="0" w:lastRow="0" w:noHBand="0" w:noVBand="1" w:val="04A0"/>
      </w:tblPr>
      <w:tblGrid>
        <w:gridCol w:w="4680"/>
        <w:gridCol w:w="4680"/>
      </w:tblGrid>
      <w:tr>
        <w:tc>
          <w:tcPr>
            <w:tcW w:type="dxa" w:w="4680"/>
          </w:tcPr>
          <w:p>
            <w:pPr>
              <w:spacing w:line="240" w:lineRule="auto" w:after="40" w:before="40"/>
            </w:pPr>
            <w:r>
              <w:rPr>
                <w:b/>
                <w:sz w:val="19"/>
              </w:rPr>
            </w:r>
          </w:p>
        </w:tc>
        <w:tc>
          <w:tcPr>
            <w:tcW w:type="dxa" w:w="4680"/>
          </w:tcPr>
          <w:p>
            <w:pPr>
              <w:spacing w:line="240" w:lineRule="auto" w:after="40" w:before="40"/>
            </w:pPr>
            <w:r>
              <w:rPr>
                <w:b/>
                <w:sz w:val="19"/>
              </w:rPr>
            </w:r>
          </w:p>
        </w:tc>
      </w:tr>
      <w:tr>
        <w:tc>
          <w:tcPr>
            <w:tcW w:type="dxa" w:w="4680"/>
          </w:tcPr>
          <w:p>
            <w:pPr>
              <w:spacing w:line="240" w:lineRule="auto" w:after="40" w:before="40"/>
            </w:pPr>
            <w:r>
              <w:rPr>
                <w:sz w:val="19"/>
              </w:rPr>
            </w:r>
            <w:r>
              <w:rPr>
                <w:rFonts w:ascii="Times New Roman" w:hAnsi="Times New Roman"/>
                <w:b w:val="0"/>
                <w:i w:val="0"/>
                <w:sz w:val="19"/>
              </w:rPr>
              <w:t>Deaths on heatwave days</w:t>
            </w:r>
          </w:p>
        </w:tc>
        <w:tc>
          <w:tcPr>
            <w:tcW w:type="dxa" w:w="4680"/>
          </w:tcPr>
          <w:p>
            <w:pPr>
              <w:spacing w:line="240" w:lineRule="auto" w:after="40" w:before="40"/>
            </w:pPr>
            <w:r>
              <w:rPr>
                <w:sz w:val="19"/>
              </w:rPr>
            </w:r>
            <w:r>
              <w:rPr>
                <w:rFonts w:ascii="Times New Roman" w:hAnsi="Times New Roman"/>
                <w:b w:val="0"/>
                <w:i w:val="0"/>
                <w:sz w:val="19"/>
              </w:rPr>
              <w:t>18,869 of 283,847 (6.6%)</w:t>
            </w:r>
          </w:p>
        </w:tc>
      </w:tr>
      <w:tr>
        <w:tc>
          <w:tcPr>
            <w:tcW w:type="dxa" w:w="4680"/>
          </w:tcPr>
          <w:p>
            <w:pPr>
              <w:spacing w:line="240" w:lineRule="auto" w:after="40" w:before="40"/>
            </w:pPr>
            <w:r>
              <w:rPr>
                <w:sz w:val="19"/>
              </w:rPr>
            </w:r>
            <w:r>
              <w:rPr>
                <w:rFonts w:ascii="Times New Roman" w:hAnsi="Times New Roman"/>
                <w:b w:val="0"/>
                <w:i w:val="0"/>
                <w:sz w:val="19"/>
              </w:rPr>
              <w:t>Attributable</w:t>
            </w:r>
          </w:p>
        </w:tc>
        <w:tc>
          <w:tcPr>
            <w:tcW w:type="dxa" w:w="4680"/>
          </w:tcPr>
          <w:p>
            <w:pPr>
              <w:spacing w:line="240" w:lineRule="auto" w:after="40" w:before="40"/>
            </w:pPr>
            <w:r>
              <w:rPr>
                <w:sz w:val="19"/>
              </w:rPr>
            </w:r>
            <w:r>
              <w:rPr>
                <w:rFonts w:ascii="Times New Roman" w:hAnsi="Times New Roman"/>
                <w:b/>
                <w:i w:val="0"/>
                <w:sz w:val="19"/>
              </w:rPr>
              <w:t>61 (95% CI 0–505) = 0.02%</w:t>
            </w:r>
            <w:r>
              <w:rPr>
                <w:rFonts w:ascii="Times New Roman" w:hAnsi="Times New Roman"/>
                <w:b w:val="0"/>
                <w:i w:val="0"/>
                <w:sz w:val="19"/>
              </w:rPr>
              <w:t xml:space="preserve"> of all road deaths</w:t>
            </w:r>
          </w:p>
        </w:tc>
      </w:tr>
      <w:tr>
        <w:tc>
          <w:tcPr>
            <w:tcW w:type="dxa" w:w="4680"/>
          </w:tcPr>
          <w:p>
            <w:pPr>
              <w:spacing w:line="240" w:lineRule="auto" w:after="40" w:before="40"/>
            </w:pPr>
            <w:r>
              <w:rPr>
                <w:sz w:val="19"/>
              </w:rPr>
            </w:r>
            <w:r>
              <w:rPr>
                <w:rFonts w:ascii="Times New Roman" w:hAnsi="Times New Roman"/>
                <w:b w:val="0"/>
                <w:i w:val="0"/>
                <w:sz w:val="19"/>
              </w:rPr>
              <w:t xml:space="preserve">Hu </w:t>
            </w:r>
            <w:r>
              <w:rPr>
                <w:rFonts w:ascii="Times New Roman" w:hAnsi="Times New Roman"/>
                <w:b w:val="0"/>
                <w:i/>
                <w:sz w:val="19"/>
              </w:rPr>
              <w:t>et al.</w:t>
            </w:r>
            <w:r>
              <w:rPr>
                <w:rFonts w:ascii="Times New Roman" w:hAnsi="Times New Roman"/>
                <w:b w:val="0"/>
                <w:i w:val="0"/>
                <w:sz w:val="19"/>
              </w:rPr>
              <w:t xml:space="preserve"> 2025 (China, all injury)</w:t>
            </w:r>
          </w:p>
        </w:tc>
        <w:tc>
          <w:tcPr>
            <w:tcW w:type="dxa" w:w="4680"/>
          </w:tcPr>
          <w:p>
            <w:pPr>
              <w:spacing w:line="240" w:lineRule="auto" w:after="40" w:before="40"/>
            </w:pPr>
            <w:r>
              <w:rPr>
                <w:sz w:val="19"/>
              </w:rPr>
            </w:r>
            <w:r>
              <w:rPr>
                <w:rFonts w:ascii="Times New Roman" w:hAnsi="Times New Roman"/>
                <w:b w:val="0"/>
                <w:i w:val="0"/>
                <w:sz w:val="19"/>
              </w:rPr>
              <w:t>1.64% (1.37–1.90)</w:t>
            </w:r>
          </w:p>
        </w:tc>
      </w:tr>
    </w:tbl>
    <w:p>
      <w:pPr>
        <w:spacing w:after="120"/>
      </w:pPr>
    </w:p>
    <w:p>
      <w:pPr>
        <w:spacing w:before="0" w:after="0"/>
        <w:jc w:val="both"/>
      </w:pPr>
      <w:r>
        <w:rPr>
          <w:rFonts w:ascii="Times New Roman" w:hAnsi="Times New Roman"/>
          <w:b w:val="0"/>
          <w:i w:val="0"/>
        </w:rPr>
        <w:t xml:space="preserve">Not a like-for-like comparison. The outcome in Hu </w:t>
      </w:r>
      <w:r>
        <w:rPr>
          <w:rFonts w:ascii="Times New Roman" w:hAnsi="Times New Roman"/>
          <w:b w:val="0"/>
          <w:i/>
        </w:rPr>
        <w:t>et al.</w:t>
      </w:r>
      <w:r>
        <w:rPr>
          <w:rFonts w:ascii="Times New Roman" w:hAnsi="Times New Roman"/>
          <w:b w:val="0"/>
          <w:i w:val="0"/>
        </w:rPr>
        <w:t xml:space="preserve"> is </w:t>
      </w:r>
      <w:r>
        <w:rPr>
          <w:rFonts w:ascii="Times New Roman" w:hAnsi="Times New Roman"/>
          <w:b w:val="0"/>
          <w:i/>
        </w:rPr>
        <w:t>all</w:t>
      </w:r>
      <w:r>
        <w:rPr>
          <w:rFonts w:ascii="Times New Roman" w:hAnsi="Times New Roman"/>
          <w:b w:val="0"/>
          <w:i w:val="0"/>
        </w:rPr>
        <w:t xml:space="preserve"> injury mortality, in which drowning carried the highest excess (+22%); road traffic is one component. Our estimate is road traffic alone.</w:t>
      </w:r>
    </w:p>
    <w:p>
      <w:pPr>
        <w:spacing w:after="200" w:line="312" w:lineRule="auto"/>
        <w:jc w:val="center"/>
      </w:pPr>
      <w:r>
        <w:rPr>
          <w:rFonts w:ascii="Times New Roman" w:hAnsi="Times New Roman"/>
          <w:b/>
          <w:sz w:val="30"/>
        </w:rPr>
        <w:t>S3. Crash-to-death interval</w:t>
      </w:r>
    </w:p>
    <w:p>
      <w:pPr>
        <w:spacing w:before="0" w:after="0"/>
        <w:jc w:val="both"/>
      </w:pPr>
      <w:r>
        <w:rPr>
          <w:rFonts w:ascii="Times New Roman" w:hAnsi="Times New Roman"/>
          <w:b/>
          <w:i w:val="0"/>
        </w:rPr>
        <w:t>Question.</w:t>
      </w:r>
      <w:r>
        <w:rPr>
          <w:rFonts w:ascii="Times New Roman" w:hAnsi="Times New Roman"/>
          <w:b w:val="0"/>
          <w:i w:val="0"/>
        </w:rPr>
        <w:t xml:space="preserve"> Among fatal road-traffic injuries, are crashes on hotter days followed by death more rapidly? A shorter interval would be </w:t>
      </w:r>
      <w:r>
        <w:rPr>
          <w:rFonts w:ascii="Times New Roman" w:hAnsi="Times New Roman"/>
          <w:b w:val="0"/>
          <w:i/>
        </w:rPr>
        <w:t>compatible with</w:t>
      </w:r>
      <w:r>
        <w:rPr>
          <w:rFonts w:ascii="Times New Roman" w:hAnsi="Times New Roman"/>
          <w:b w:val="0"/>
          <w:i w:val="0"/>
        </w:rPr>
        <w:t xml:space="preserve"> greater acute severity, but the interval is only a proxy: RTDDI records no injury score, so nothing here measures severity directly.</w:t>
      </w:r>
    </w:p>
    <w:p>
      <w:r>
        <w:br w:type="page"/>
      </w:r>
    </w:p>
    <w:p>
      <w:pPr>
        <w:spacing w:before="280" w:after="80" w:line="360" w:lineRule="auto"/>
      </w:pPr>
      <w:r>
        <w:rPr>
          <w:rFonts w:ascii="Times New Roman" w:hAnsi="Times New Roman"/>
          <w:b/>
          <w:sz w:val="28"/>
        </w:rPr>
        <w:t>S3.1 Data and exclusions</w:t>
      </w:r>
    </w:p>
    <w:p>
      <w:pPr>
        <w:spacing w:before="0" w:after="0"/>
        <w:jc w:val="both"/>
      </w:pPr>
      <w:r>
        <w:rPr>
          <w:rFonts w:ascii="Times New Roman" w:hAnsi="Times New Roman"/>
          <w:b w:val="0"/>
          <w:i w:val="0"/>
        </w:rPr>
        <w:t xml:space="preserve">The official RTDDI dictionary confirms </w:t>
      </w:r>
      <w:r>
        <w:rPr>
          <w:rFonts w:ascii="Courier New" w:hAnsi="Courier New"/>
          <w:b w:val="0"/>
          <w:i w:val="0"/>
          <w:sz w:val="20"/>
        </w:rPr>
        <w:t>DateRec</w:t>
      </w:r>
      <w:r>
        <w:rPr>
          <w:rFonts w:ascii="Times New Roman" w:hAnsi="Times New Roman"/>
          <w:b w:val="0"/>
          <w:i w:val="0"/>
        </w:rPr>
        <w:t xml:space="preserve"> = วันที่เกิดเหตุ (e-claim) = crash date, and </w:t>
      </w:r>
      <w:r>
        <w:rPr>
          <w:rFonts w:ascii="Courier New" w:hAnsi="Courier New"/>
          <w:b w:val="0"/>
          <w:i w:val="0"/>
          <w:sz w:val="20"/>
        </w:rPr>
        <w:t>DeadDate</w:t>
      </w:r>
      <w:r>
        <w:rPr>
          <w:rFonts w:ascii="Times New Roman" w:hAnsi="Times New Roman"/>
          <w:b w:val="0"/>
          <w:i w:val="0"/>
        </w:rPr>
        <w:t xml:space="preserve"> = date of death from the death certificate.</w:t>
      </w:r>
    </w:p>
    <w:p>
      <w:pPr>
        <w:spacing w:before="0" w:after="0"/>
        <w:jc w:val="both"/>
      </w:pPr>
      <w:r>
        <w:rPr>
          <w:rFonts w:ascii="Times New Roman" w:hAnsi="Times New Roman"/>
          <w:b/>
          <w:i w:val="0"/>
        </w:rPr>
        <w:t>Selection.</w:t>
      </w:r>
      <w:r>
        <w:rPr>
          <w:rFonts w:ascii="Times New Roman" w:hAnsi="Times New Roman"/>
          <w:b w:val="0"/>
          <w:i w:val="0"/>
        </w:rPr>
        <w:t xml:space="preserve"> </w:t>
      </w:r>
      <w:r>
        <w:rPr>
          <w:rFonts w:ascii="Courier New" w:hAnsi="Courier New"/>
          <w:b w:val="0"/>
          <w:i w:val="0"/>
          <w:sz w:val="20"/>
        </w:rPr>
        <w:t>DateRec</w:t>
      </w:r>
      <w:r>
        <w:rPr>
          <w:rFonts w:ascii="Times New Roman" w:hAnsi="Times New Roman"/>
          <w:b w:val="0"/>
          <w:i w:val="0"/>
        </w:rPr>
        <w:t xml:space="preserve"> originates in the compulsory motor-insurance e-claim subsystem, so records carrying a crash date are those matched to an insurance claim. The subset is 53% motorcycle against 41% in the full file and is not representative of all road deaths.</w:t>
      </w:r>
    </w:p>
    <w:p>
      <w:pPr>
        <w:spacing w:before="0" w:after="0"/>
        <w:jc w:val="both"/>
      </w:pPr>
      <w:r>
        <w:rPr>
          <w:rFonts w:ascii="Times New Roman" w:hAnsi="Times New Roman"/>
          <w:b/>
          <w:i w:val="0"/>
        </w:rPr>
        <w:t>The 2561 (2018) file is excluded.</w:t>
      </w:r>
      <w:r>
        <w:rPr>
          <w:rFonts w:ascii="Times New Roman" w:hAnsi="Times New Roman"/>
          <w:b w:val="0"/>
          <w:i w:val="0"/>
        </w:rPr>
        <w:t xml:space="preserve"> In that file alone the crash-to-death interval is symmetric over ±320 days (SD 145 days; 61% beyond ±60 days) against SD 10 days and 0.5% in the adjacent 2562 file. </w:t>
      </w:r>
      <w:r>
        <w:rPr>
          <w:rFonts w:ascii="Courier New" w:hAnsi="Courier New"/>
          <w:b w:val="0"/>
          <w:i w:val="0"/>
          <w:sz w:val="20"/>
        </w:rPr>
        <w:t>DateRec</w:t>
      </w:r>
      <w:r>
        <w:rPr>
          <w:rFonts w:ascii="Times New Roman" w:hAnsi="Times New Roman"/>
          <w:b w:val="0"/>
          <w:i w:val="0"/>
        </w:rPr>
        <w:t xml:space="preserve"> there is effectively random relative to </w:t>
      </w:r>
      <w:r>
        <w:rPr>
          <w:rFonts w:ascii="Courier New" w:hAnsi="Courier New"/>
          <w:b w:val="0"/>
          <w:i w:val="0"/>
          <w:sz w:val="20"/>
        </w:rPr>
        <w:t>DeadDate</w:t>
      </w:r>
      <w:r>
        <w:rPr>
          <w:rFonts w:ascii="Times New Roman" w:hAnsi="Times New Roman"/>
          <w:b w:val="0"/>
          <w:i w:val="0"/>
        </w:rPr>
        <w:t xml:space="preserve"> — row misalignment or a corrupted column, not a date-format problem: reversing day and month does not repair it. Including it would have contaminated every estimate in this section.</w:t>
      </w:r>
    </w:p>
    <w:p>
      <w:pPr>
        <w:spacing w:before="0" w:after="0"/>
        <w:jc w:val="both"/>
      </w:pPr>
      <w:r>
        <w:rPr>
          <w:rFonts w:ascii="Times New Roman" w:hAnsi="Times New Roman"/>
          <w:b w:val="0"/>
          <w:i w:val="0"/>
        </w:rPr>
        <w:t xml:space="preserve">After exclusions: </w:t>
      </w:r>
      <w:r>
        <w:rPr>
          <w:rFonts w:ascii="Times New Roman" w:hAnsi="Times New Roman"/>
          <w:b/>
          <w:i w:val="0"/>
        </w:rPr>
        <w:t>94,437 deaths, 2011–2021</w:t>
      </w:r>
      <w:r>
        <w:rPr>
          <w:rFonts w:ascii="Times New Roman" w:hAnsi="Times New Roman"/>
          <w:b w:val="0"/>
          <w:i w:val="0"/>
        </w:rPr>
        <w:t>, dropping 1.11% with a negative interval and 1.21% beyond the 30-day RTDDI definition.</w:t>
      </w:r>
    </w:p>
    <w:p>
      <w:r>
        <w:br w:type="page"/>
      </w:r>
    </w:p>
    <w:p>
      <w:pPr>
        <w:spacing w:before="280" w:after="80" w:line="360" w:lineRule="auto"/>
      </w:pPr>
      <w:r>
        <w:rPr>
          <w:rFonts w:ascii="Times New Roman" w:hAnsi="Times New Roman"/>
          <w:b/>
          <w:sz w:val="28"/>
        </w:rPr>
        <w:t>S3.2 Distribution of the interval</w:t>
      </w:r>
    </w:p>
    <w:tbl>
      <w:tblPr>
        <w:tblStyle w:val="TableGrid"/>
        <w:tblW w:type="auto" w:w="0"/>
        <w:tblLayout w:type="autofit"/>
        <w:tblLook w:firstColumn="1" w:firstRow="1" w:lastColumn="0" w:lastRow="0" w:noHBand="0" w:noVBand="1" w:val="04A0"/>
      </w:tblPr>
      <w:tblGrid>
        <w:gridCol w:w="4680"/>
        <w:gridCol w:w="4680"/>
      </w:tblGrid>
      <w:tr>
        <w:tc>
          <w:tcPr>
            <w:tcW w:type="dxa" w:w="4680"/>
          </w:tcPr>
          <w:p>
            <w:pPr>
              <w:spacing w:line="240" w:lineRule="auto" w:after="40" w:before="40"/>
            </w:pPr>
            <w:r>
              <w:rPr>
                <w:b/>
                <w:sz w:val="19"/>
              </w:rPr>
            </w:r>
          </w:p>
        </w:tc>
        <w:tc>
          <w:tcPr>
            <w:tcW w:type="dxa" w:w="4680"/>
          </w:tcPr>
          <w:p>
            <w:pPr>
              <w:spacing w:line="240" w:lineRule="auto" w:after="40" w:before="40"/>
            </w:pPr>
            <w:r>
              <w:rPr>
                <w:b/>
                <w:sz w:val="19"/>
              </w:rPr>
            </w:r>
          </w:p>
        </w:tc>
      </w:tr>
      <w:tr>
        <w:tc>
          <w:tcPr>
            <w:tcW w:type="dxa" w:w="4680"/>
          </w:tcPr>
          <w:p>
            <w:pPr>
              <w:spacing w:line="240" w:lineRule="auto" w:after="40" w:before="40"/>
            </w:pPr>
            <w:r>
              <w:rPr>
                <w:sz w:val="19"/>
              </w:rPr>
            </w:r>
            <w:r>
              <w:rPr>
                <w:rFonts w:ascii="Times New Roman" w:hAnsi="Times New Roman"/>
                <w:b w:val="0"/>
                <w:i w:val="0"/>
                <w:sz w:val="19"/>
              </w:rPr>
              <w:t>Same day (0)</w:t>
            </w:r>
          </w:p>
        </w:tc>
        <w:tc>
          <w:tcPr>
            <w:tcW w:type="dxa" w:w="4680"/>
          </w:tcPr>
          <w:p>
            <w:pPr>
              <w:spacing w:line="240" w:lineRule="auto" w:after="40" w:before="40"/>
            </w:pPr>
            <w:r>
              <w:rPr>
                <w:sz w:val="19"/>
              </w:rPr>
            </w:r>
            <w:r>
              <w:rPr>
                <w:rFonts w:ascii="Times New Roman" w:hAnsi="Times New Roman"/>
                <w:b/>
                <w:i w:val="0"/>
                <w:sz w:val="19"/>
              </w:rPr>
              <w:t>76.7%</w:t>
            </w:r>
          </w:p>
        </w:tc>
      </w:tr>
      <w:tr>
        <w:tc>
          <w:tcPr>
            <w:tcW w:type="dxa" w:w="4680"/>
          </w:tcPr>
          <w:p>
            <w:pPr>
              <w:spacing w:line="240" w:lineRule="auto" w:after="40" w:before="40"/>
            </w:pPr>
            <w:r>
              <w:rPr>
                <w:sz w:val="19"/>
              </w:rPr>
            </w:r>
            <w:r>
              <w:rPr>
                <w:rFonts w:ascii="Times New Roman" w:hAnsi="Times New Roman"/>
                <w:b w:val="0"/>
                <w:i w:val="0"/>
                <w:sz w:val="19"/>
              </w:rPr>
              <w:t>≤ 1 day</w:t>
            </w:r>
          </w:p>
        </w:tc>
        <w:tc>
          <w:tcPr>
            <w:tcW w:type="dxa" w:w="4680"/>
          </w:tcPr>
          <w:p>
            <w:pPr>
              <w:spacing w:line="240" w:lineRule="auto" w:after="40" w:before="40"/>
            </w:pPr>
            <w:r>
              <w:rPr>
                <w:sz w:val="19"/>
              </w:rPr>
            </w:r>
            <w:r>
              <w:rPr>
                <w:rFonts w:ascii="Times New Roman" w:hAnsi="Times New Roman"/>
                <w:b w:val="0"/>
                <w:i w:val="0"/>
                <w:sz w:val="19"/>
              </w:rPr>
              <w:t>86.7%</w:t>
            </w:r>
          </w:p>
        </w:tc>
      </w:tr>
      <w:tr>
        <w:tc>
          <w:tcPr>
            <w:tcW w:type="dxa" w:w="4680"/>
          </w:tcPr>
          <w:p>
            <w:pPr>
              <w:spacing w:line="240" w:lineRule="auto" w:after="40" w:before="40"/>
            </w:pPr>
            <w:r>
              <w:rPr>
                <w:sz w:val="19"/>
              </w:rPr>
            </w:r>
            <w:r>
              <w:rPr>
                <w:rFonts w:ascii="Times New Roman" w:hAnsi="Times New Roman"/>
                <w:b w:val="0"/>
                <w:i w:val="0"/>
                <w:sz w:val="19"/>
              </w:rPr>
              <w:t>≤ 2 days</w:t>
            </w:r>
          </w:p>
        </w:tc>
        <w:tc>
          <w:tcPr>
            <w:tcW w:type="dxa" w:w="4680"/>
          </w:tcPr>
          <w:p>
            <w:pPr>
              <w:spacing w:line="240" w:lineRule="auto" w:after="40" w:before="40"/>
            </w:pPr>
            <w:r>
              <w:rPr>
                <w:sz w:val="19"/>
              </w:rPr>
            </w:r>
            <w:r>
              <w:rPr>
                <w:rFonts w:ascii="Times New Roman" w:hAnsi="Times New Roman"/>
                <w:b w:val="0"/>
                <w:i w:val="0"/>
                <w:sz w:val="19"/>
              </w:rPr>
              <w:t>90.0%</w:t>
            </w:r>
          </w:p>
        </w:tc>
      </w:tr>
      <w:tr>
        <w:tc>
          <w:tcPr>
            <w:tcW w:type="dxa" w:w="4680"/>
          </w:tcPr>
          <w:p>
            <w:pPr>
              <w:spacing w:line="240" w:lineRule="auto" w:after="40" w:before="40"/>
            </w:pPr>
            <w:r>
              <w:rPr>
                <w:sz w:val="19"/>
              </w:rPr>
            </w:r>
            <w:r>
              <w:rPr>
                <w:rFonts w:ascii="Times New Roman" w:hAnsi="Times New Roman"/>
                <w:b w:val="0"/>
                <w:i w:val="0"/>
                <w:sz w:val="19"/>
              </w:rPr>
              <w:t>≤ 7 days</w:t>
            </w:r>
          </w:p>
        </w:tc>
        <w:tc>
          <w:tcPr>
            <w:tcW w:type="dxa" w:w="4680"/>
          </w:tcPr>
          <w:p>
            <w:pPr>
              <w:spacing w:line="240" w:lineRule="auto" w:after="40" w:before="40"/>
            </w:pPr>
            <w:r>
              <w:rPr>
                <w:sz w:val="19"/>
              </w:rPr>
            </w:r>
            <w:r>
              <w:rPr>
                <w:rFonts w:ascii="Times New Roman" w:hAnsi="Times New Roman"/>
                <w:b w:val="0"/>
                <w:i w:val="0"/>
                <w:sz w:val="19"/>
              </w:rPr>
              <w:t>96.6%</w:t>
            </w:r>
          </w:p>
        </w:tc>
      </w:tr>
      <w:tr>
        <w:tc>
          <w:tcPr>
            <w:tcW w:type="dxa" w:w="4680"/>
          </w:tcPr>
          <w:p>
            <w:pPr>
              <w:spacing w:line="240" w:lineRule="auto" w:after="40" w:before="40"/>
            </w:pPr>
            <w:r>
              <w:rPr>
                <w:sz w:val="19"/>
              </w:rPr>
            </w:r>
            <w:r>
              <w:rPr>
                <w:rFonts w:ascii="Times New Roman" w:hAnsi="Times New Roman"/>
                <w:b w:val="0"/>
                <w:i w:val="0"/>
                <w:sz w:val="19"/>
              </w:rPr>
              <w:t>Median (IQR)</w:t>
            </w:r>
          </w:p>
        </w:tc>
        <w:tc>
          <w:tcPr>
            <w:tcW w:type="dxa" w:w="4680"/>
          </w:tcPr>
          <w:p>
            <w:pPr>
              <w:spacing w:line="240" w:lineRule="auto" w:after="40" w:before="40"/>
            </w:pPr>
            <w:r>
              <w:rPr>
                <w:sz w:val="19"/>
              </w:rPr>
            </w:r>
            <w:r>
              <w:rPr>
                <w:rFonts w:ascii="Times New Roman" w:hAnsi="Times New Roman"/>
                <w:b w:val="0"/>
                <w:i w:val="0"/>
                <w:sz w:val="19"/>
              </w:rPr>
              <w:t>0 (0–0); mean 0.95 days</w:t>
            </w:r>
          </w:p>
        </w:tc>
      </w:tr>
    </w:tbl>
    <w:p>
      <w:pPr>
        <w:spacing w:after="120"/>
      </w:pPr>
    </w:p>
    <w:p>
      <w:r>
        <w:br w:type="page"/>
      </w:r>
    </w:p>
    <w:p>
      <w:pPr>
        <w:spacing w:before="280" w:after="80" w:line="360" w:lineRule="auto"/>
      </w:pPr>
      <w:r>
        <w:rPr>
          <w:rFonts w:ascii="Times New Roman" w:hAnsi="Times New Roman"/>
          <w:b/>
          <w:sz w:val="28"/>
        </w:rPr>
        <w:t>S3.3 Same-day death by crash-day temperature</w:t>
      </w:r>
    </w:p>
    <w:tbl>
      <w:tblPr>
        <w:tblStyle w:val="TableGrid"/>
        <w:tblW w:type="auto" w:w="0"/>
        <w:tblLayout w:type="autofit"/>
        <w:tblLook w:firstColumn="1" w:firstRow="1" w:lastColumn="0" w:lastRow="0" w:noHBand="0" w:noVBand="1" w:val="04A0"/>
      </w:tblPr>
      <w:tblGrid>
        <w:gridCol w:w="1560"/>
        <w:gridCol w:w="1560"/>
        <w:gridCol w:w="1560"/>
        <w:gridCol w:w="1560"/>
        <w:gridCol w:w="1560"/>
        <w:gridCol w:w="1560"/>
      </w:tblGrid>
      <w:tr>
        <w:tc>
          <w:tcPr>
            <w:tcW w:type="dxa" w:w="1560"/>
          </w:tcPr>
          <w:p>
            <w:pPr>
              <w:spacing w:line="240" w:lineRule="auto" w:after="40" w:before="40"/>
            </w:pPr>
            <w:r>
              <w:rPr>
                <w:b/>
                <w:sz w:val="19"/>
              </w:rPr>
            </w:r>
            <w:r>
              <w:rPr>
                <w:rFonts w:ascii="Times New Roman" w:hAnsi="Times New Roman"/>
                <w:b/>
                <w:i w:val="0"/>
                <w:sz w:val="19"/>
              </w:rPr>
              <w:t>Category</w:t>
            </w:r>
          </w:p>
        </w:tc>
        <w:tc>
          <w:tcPr>
            <w:tcW w:type="dxa" w:w="1560"/>
          </w:tcPr>
          <w:p>
            <w:pPr>
              <w:spacing w:line="240" w:lineRule="auto" w:after="40" w:before="40"/>
            </w:pPr>
            <w:r>
              <w:rPr>
                <w:b/>
                <w:sz w:val="19"/>
              </w:rPr>
            </w:r>
            <w:r>
              <w:rPr>
                <w:rFonts w:ascii="Times New Roman" w:hAnsi="Times New Roman"/>
                <w:b/>
                <w:i w:val="0"/>
                <w:sz w:val="19"/>
              </w:rPr>
              <w:t>N</w:t>
            </w:r>
          </w:p>
        </w:tc>
        <w:tc>
          <w:tcPr>
            <w:tcW w:type="dxa" w:w="1560"/>
          </w:tcPr>
          <w:p>
            <w:pPr>
              <w:spacing w:line="240" w:lineRule="auto" w:after="40" w:before="40"/>
            </w:pPr>
            <w:r>
              <w:rPr>
                <w:b/>
                <w:sz w:val="19"/>
              </w:rPr>
            </w:r>
            <w:r>
              <w:rPr>
                <w:rFonts w:ascii="Times New Roman" w:hAnsi="Times New Roman"/>
                <w:b/>
                <w:i w:val="0"/>
                <w:sz w:val="19"/>
              </w:rPr>
              <w:t>Mean Tmax</w:t>
            </w:r>
          </w:p>
        </w:tc>
        <w:tc>
          <w:tcPr>
            <w:tcW w:type="dxa" w:w="1560"/>
          </w:tcPr>
          <w:p>
            <w:pPr>
              <w:spacing w:line="240" w:lineRule="auto" w:after="40" w:before="40"/>
            </w:pPr>
            <w:r>
              <w:rPr>
                <w:b/>
                <w:sz w:val="19"/>
              </w:rPr>
            </w:r>
            <w:r>
              <w:rPr>
                <w:rFonts w:ascii="Times New Roman" w:hAnsi="Times New Roman"/>
                <w:b/>
                <w:i w:val="0"/>
                <w:sz w:val="19"/>
              </w:rPr>
              <w:t>Same day %</w:t>
            </w:r>
          </w:p>
        </w:tc>
        <w:tc>
          <w:tcPr>
            <w:tcW w:type="dxa" w:w="1560"/>
          </w:tcPr>
          <w:p>
            <w:pPr>
              <w:spacing w:line="240" w:lineRule="auto" w:after="40" w:before="40"/>
            </w:pPr>
            <w:r>
              <w:rPr>
                <w:b/>
                <w:sz w:val="19"/>
              </w:rPr>
            </w:r>
            <w:r>
              <w:rPr>
                <w:rFonts w:ascii="Times New Roman" w:hAnsi="Times New Roman"/>
                <w:b/>
                <w:i w:val="0"/>
                <w:sz w:val="19"/>
              </w:rPr>
              <w:t>≤1 day %</w:t>
            </w:r>
          </w:p>
        </w:tc>
        <w:tc>
          <w:tcPr>
            <w:tcW w:type="dxa" w:w="1560"/>
          </w:tcPr>
          <w:p>
            <w:pPr>
              <w:spacing w:line="240" w:lineRule="auto" w:after="40" w:before="40"/>
            </w:pPr>
            <w:r>
              <w:rPr>
                <w:b/>
                <w:sz w:val="19"/>
              </w:rPr>
            </w:r>
            <w:r>
              <w:rPr>
                <w:rFonts w:ascii="Times New Roman" w:hAnsi="Times New Roman"/>
                <w:b/>
                <w:i w:val="0"/>
                <w:sz w:val="19"/>
              </w:rPr>
              <w:t>OR same-day death (95% CI)\*</w:t>
            </w:r>
          </w:p>
        </w:tc>
      </w:tr>
      <w:tr>
        <w:tc>
          <w:tcPr>
            <w:tcW w:type="dxa" w:w="1560"/>
          </w:tcPr>
          <w:p>
            <w:pPr>
              <w:spacing w:line="240" w:lineRule="auto" w:after="40" w:before="40"/>
            </w:pPr>
            <w:r>
              <w:rPr>
                <w:sz w:val="19"/>
              </w:rPr>
            </w:r>
            <w:r>
              <w:rPr>
                <w:rFonts w:ascii="Times New Roman" w:hAnsi="Times New Roman"/>
                <w:b w:val="0"/>
                <w:i w:val="0"/>
                <w:sz w:val="19"/>
              </w:rPr>
              <w:t>&lt;P40</w:t>
            </w:r>
          </w:p>
        </w:tc>
        <w:tc>
          <w:tcPr>
            <w:tcW w:type="dxa" w:w="1560"/>
          </w:tcPr>
          <w:p>
            <w:pPr>
              <w:spacing w:line="240" w:lineRule="auto" w:after="40" w:before="40"/>
            </w:pPr>
            <w:r>
              <w:rPr>
                <w:sz w:val="19"/>
              </w:rPr>
            </w:r>
            <w:r>
              <w:rPr>
                <w:rFonts w:ascii="Times New Roman" w:hAnsi="Times New Roman"/>
                <w:b w:val="0"/>
                <w:i w:val="0"/>
                <w:sz w:val="19"/>
              </w:rPr>
              <w:t>37,480</w:t>
            </w:r>
          </w:p>
        </w:tc>
        <w:tc>
          <w:tcPr>
            <w:tcW w:type="dxa" w:w="1560"/>
          </w:tcPr>
          <w:p>
            <w:pPr>
              <w:spacing w:line="240" w:lineRule="auto" w:after="40" w:before="40"/>
            </w:pPr>
            <w:r>
              <w:rPr>
                <w:sz w:val="19"/>
              </w:rPr>
            </w:r>
            <w:r>
              <w:rPr>
                <w:rFonts w:ascii="Times New Roman" w:hAnsi="Times New Roman"/>
                <w:b w:val="0"/>
                <w:i w:val="0"/>
                <w:sz w:val="19"/>
              </w:rPr>
              <w:t>30.4</w:t>
            </w:r>
          </w:p>
        </w:tc>
        <w:tc>
          <w:tcPr>
            <w:tcW w:type="dxa" w:w="1560"/>
          </w:tcPr>
          <w:p>
            <w:pPr>
              <w:spacing w:line="240" w:lineRule="auto" w:after="40" w:before="40"/>
            </w:pPr>
            <w:r>
              <w:rPr>
                <w:sz w:val="19"/>
              </w:rPr>
            </w:r>
            <w:r>
              <w:rPr>
                <w:rFonts w:ascii="Times New Roman" w:hAnsi="Times New Roman"/>
                <w:b w:val="0"/>
                <w:i w:val="0"/>
                <w:sz w:val="19"/>
              </w:rPr>
              <w:t>78.0</w:t>
            </w:r>
          </w:p>
        </w:tc>
        <w:tc>
          <w:tcPr>
            <w:tcW w:type="dxa" w:w="1560"/>
          </w:tcPr>
          <w:p>
            <w:pPr>
              <w:spacing w:line="240" w:lineRule="auto" w:after="40" w:before="40"/>
            </w:pPr>
            <w:r>
              <w:rPr>
                <w:sz w:val="19"/>
              </w:rPr>
            </w:r>
            <w:r>
              <w:rPr>
                <w:rFonts w:ascii="Times New Roman" w:hAnsi="Times New Roman"/>
                <w:b w:val="0"/>
                <w:i w:val="0"/>
                <w:sz w:val="19"/>
              </w:rPr>
              <w:t>87.4</w:t>
            </w:r>
          </w:p>
        </w:tc>
        <w:tc>
          <w:tcPr>
            <w:tcW w:type="dxa" w:w="1560"/>
          </w:tcPr>
          <w:p>
            <w:pPr>
              <w:spacing w:line="240" w:lineRule="auto" w:after="40" w:before="40"/>
            </w:pPr>
            <w:r>
              <w:rPr>
                <w:sz w:val="19"/>
              </w:rPr>
            </w:r>
            <w:r>
              <w:rPr>
                <w:rFonts w:ascii="Times New Roman" w:hAnsi="Times New Roman"/>
                <w:b w:val="0"/>
                <w:i w:val="0"/>
                <w:sz w:val="19"/>
              </w:rPr>
              <w:t>1.042 (0.992–1.094)</w:t>
            </w:r>
          </w:p>
        </w:tc>
      </w:tr>
      <w:tr>
        <w:tc>
          <w:tcPr>
            <w:tcW w:type="dxa" w:w="1560"/>
          </w:tcPr>
          <w:p>
            <w:pPr>
              <w:spacing w:line="240" w:lineRule="auto" w:after="40" w:before="40"/>
            </w:pPr>
            <w:r>
              <w:rPr>
                <w:sz w:val="19"/>
              </w:rPr>
            </w:r>
            <w:r>
              <w:rPr>
                <w:rFonts w:ascii="Times New Roman" w:hAnsi="Times New Roman"/>
                <w:b/>
                <w:i w:val="0"/>
                <w:sz w:val="19"/>
              </w:rPr>
              <w:t>P40–60 (reference)</w:t>
            </w:r>
          </w:p>
        </w:tc>
        <w:tc>
          <w:tcPr>
            <w:tcW w:type="dxa" w:w="1560"/>
          </w:tcPr>
          <w:p>
            <w:pPr>
              <w:spacing w:line="240" w:lineRule="auto" w:after="40" w:before="40"/>
            </w:pPr>
            <w:r>
              <w:rPr>
                <w:sz w:val="19"/>
              </w:rPr>
            </w:r>
            <w:r>
              <w:rPr>
                <w:rFonts w:ascii="Times New Roman" w:hAnsi="Times New Roman"/>
                <w:b w:val="0"/>
                <w:i w:val="0"/>
                <w:sz w:val="19"/>
              </w:rPr>
              <w:t>18,474</w:t>
            </w:r>
          </w:p>
        </w:tc>
        <w:tc>
          <w:tcPr>
            <w:tcW w:type="dxa" w:w="1560"/>
          </w:tcPr>
          <w:p>
            <w:pPr>
              <w:spacing w:line="240" w:lineRule="auto" w:after="40" w:before="40"/>
            </w:pPr>
            <w:r>
              <w:rPr>
                <w:sz w:val="19"/>
              </w:rPr>
            </w:r>
            <w:r>
              <w:rPr>
                <w:rFonts w:ascii="Times New Roman" w:hAnsi="Times New Roman"/>
                <w:b w:val="0"/>
                <w:i w:val="0"/>
                <w:sz w:val="19"/>
              </w:rPr>
              <w:t>33.0</w:t>
            </w:r>
          </w:p>
        </w:tc>
        <w:tc>
          <w:tcPr>
            <w:tcW w:type="dxa" w:w="1560"/>
          </w:tcPr>
          <w:p>
            <w:pPr>
              <w:spacing w:line="240" w:lineRule="auto" w:after="40" w:before="40"/>
            </w:pPr>
            <w:r>
              <w:rPr>
                <w:sz w:val="19"/>
              </w:rPr>
            </w:r>
            <w:r>
              <w:rPr>
                <w:rFonts w:ascii="Times New Roman" w:hAnsi="Times New Roman"/>
                <w:b w:val="0"/>
                <w:i w:val="0"/>
                <w:sz w:val="19"/>
              </w:rPr>
              <w:t>75.7</w:t>
            </w:r>
          </w:p>
        </w:tc>
        <w:tc>
          <w:tcPr>
            <w:tcW w:type="dxa" w:w="1560"/>
          </w:tcPr>
          <w:p>
            <w:pPr>
              <w:spacing w:line="240" w:lineRule="auto" w:after="40" w:before="40"/>
            </w:pPr>
            <w:r>
              <w:rPr>
                <w:sz w:val="19"/>
              </w:rPr>
            </w:r>
            <w:r>
              <w:rPr>
                <w:rFonts w:ascii="Times New Roman" w:hAnsi="Times New Roman"/>
                <w:b w:val="0"/>
                <w:i w:val="0"/>
                <w:sz w:val="19"/>
              </w:rPr>
              <w:t>86.0</w:t>
            </w:r>
          </w:p>
        </w:tc>
        <w:tc>
          <w:tcPr>
            <w:tcW w:type="dxa" w:w="1560"/>
          </w:tcPr>
          <w:p>
            <w:pPr>
              <w:spacing w:line="240" w:lineRule="auto" w:after="40" w:before="40"/>
            </w:pPr>
            <w:r>
              <w:rPr>
                <w:sz w:val="19"/>
              </w:rPr>
            </w:r>
            <w:r>
              <w:rPr>
                <w:rFonts w:ascii="Times New Roman" w:hAnsi="Times New Roman"/>
                <w:b w:val="0"/>
                <w:i w:val="0"/>
                <w:sz w:val="19"/>
              </w:rPr>
              <w:t>1.000</w:t>
            </w:r>
          </w:p>
        </w:tc>
      </w:tr>
      <w:tr>
        <w:tc>
          <w:tcPr>
            <w:tcW w:type="dxa" w:w="1560"/>
          </w:tcPr>
          <w:p>
            <w:pPr>
              <w:spacing w:line="240" w:lineRule="auto" w:after="40" w:before="40"/>
            </w:pPr>
            <w:r>
              <w:rPr>
                <w:sz w:val="19"/>
              </w:rPr>
            </w:r>
            <w:r>
              <w:rPr>
                <w:rFonts w:ascii="Times New Roman" w:hAnsi="Times New Roman"/>
                <w:b w:val="0"/>
                <w:i w:val="0"/>
                <w:sz w:val="19"/>
              </w:rPr>
              <w:t>P60–75</w:t>
            </w:r>
          </w:p>
        </w:tc>
        <w:tc>
          <w:tcPr>
            <w:tcW w:type="dxa" w:w="1560"/>
          </w:tcPr>
          <w:p>
            <w:pPr>
              <w:spacing w:line="240" w:lineRule="auto" w:after="40" w:before="40"/>
            </w:pPr>
            <w:r>
              <w:rPr>
                <w:sz w:val="19"/>
              </w:rPr>
            </w:r>
            <w:r>
              <w:rPr>
                <w:rFonts w:ascii="Times New Roman" w:hAnsi="Times New Roman"/>
                <w:b w:val="0"/>
                <w:i w:val="0"/>
                <w:sz w:val="19"/>
              </w:rPr>
              <w:t>14,062</w:t>
            </w:r>
          </w:p>
        </w:tc>
        <w:tc>
          <w:tcPr>
            <w:tcW w:type="dxa" w:w="1560"/>
          </w:tcPr>
          <w:p>
            <w:pPr>
              <w:spacing w:line="240" w:lineRule="auto" w:after="40" w:before="40"/>
            </w:pPr>
            <w:r>
              <w:rPr>
                <w:sz w:val="19"/>
              </w:rPr>
            </w:r>
            <w:r>
              <w:rPr>
                <w:rFonts w:ascii="Times New Roman" w:hAnsi="Times New Roman"/>
                <w:b w:val="0"/>
                <w:i w:val="0"/>
                <w:sz w:val="19"/>
              </w:rPr>
              <w:t>34.1</w:t>
            </w:r>
          </w:p>
        </w:tc>
        <w:tc>
          <w:tcPr>
            <w:tcW w:type="dxa" w:w="1560"/>
          </w:tcPr>
          <w:p>
            <w:pPr>
              <w:spacing w:line="240" w:lineRule="auto" w:after="40" w:before="40"/>
            </w:pPr>
            <w:r>
              <w:rPr>
                <w:sz w:val="19"/>
              </w:rPr>
            </w:r>
            <w:r>
              <w:rPr>
                <w:rFonts w:ascii="Times New Roman" w:hAnsi="Times New Roman"/>
                <w:b w:val="0"/>
                <w:i w:val="0"/>
                <w:sz w:val="19"/>
              </w:rPr>
              <w:t>76.6</w:t>
            </w:r>
          </w:p>
        </w:tc>
        <w:tc>
          <w:tcPr>
            <w:tcW w:type="dxa" w:w="1560"/>
          </w:tcPr>
          <w:p>
            <w:pPr>
              <w:spacing w:line="240" w:lineRule="auto" w:after="40" w:before="40"/>
            </w:pPr>
            <w:r>
              <w:rPr>
                <w:sz w:val="19"/>
              </w:rPr>
            </w:r>
            <w:r>
              <w:rPr>
                <w:rFonts w:ascii="Times New Roman" w:hAnsi="Times New Roman"/>
                <w:b w:val="0"/>
                <w:i w:val="0"/>
                <w:sz w:val="19"/>
              </w:rPr>
              <w:t>86.5</w:t>
            </w:r>
          </w:p>
        </w:tc>
        <w:tc>
          <w:tcPr>
            <w:tcW w:type="dxa" w:w="1560"/>
          </w:tcPr>
          <w:p>
            <w:pPr>
              <w:spacing w:line="240" w:lineRule="auto" w:after="40" w:before="40"/>
            </w:pPr>
            <w:r>
              <w:rPr>
                <w:sz w:val="19"/>
              </w:rPr>
            </w:r>
            <w:r>
              <w:rPr>
                <w:rFonts w:ascii="Times New Roman" w:hAnsi="Times New Roman"/>
                <w:b/>
                <w:i w:val="0"/>
                <w:sz w:val="19"/>
              </w:rPr>
              <w:t>1.067 (1.014–1.122)</w:t>
            </w:r>
          </w:p>
        </w:tc>
      </w:tr>
      <w:tr>
        <w:tc>
          <w:tcPr>
            <w:tcW w:type="dxa" w:w="1560"/>
          </w:tcPr>
          <w:p>
            <w:pPr>
              <w:spacing w:line="240" w:lineRule="auto" w:after="40" w:before="40"/>
            </w:pPr>
            <w:r>
              <w:rPr>
                <w:sz w:val="19"/>
              </w:rPr>
            </w:r>
            <w:r>
              <w:rPr>
                <w:rFonts w:ascii="Times New Roman" w:hAnsi="Times New Roman"/>
                <w:b w:val="0"/>
                <w:i w:val="0"/>
                <w:sz w:val="19"/>
              </w:rPr>
              <w:t>P75–90</w:t>
            </w:r>
          </w:p>
        </w:tc>
        <w:tc>
          <w:tcPr>
            <w:tcW w:type="dxa" w:w="1560"/>
          </w:tcPr>
          <w:p>
            <w:pPr>
              <w:spacing w:line="240" w:lineRule="auto" w:after="40" w:before="40"/>
            </w:pPr>
            <w:r>
              <w:rPr>
                <w:sz w:val="19"/>
              </w:rPr>
            </w:r>
            <w:r>
              <w:rPr>
                <w:rFonts w:ascii="Times New Roman" w:hAnsi="Times New Roman"/>
                <w:b w:val="0"/>
                <w:i w:val="0"/>
                <w:sz w:val="19"/>
              </w:rPr>
              <w:t>14,544</w:t>
            </w:r>
          </w:p>
        </w:tc>
        <w:tc>
          <w:tcPr>
            <w:tcW w:type="dxa" w:w="1560"/>
          </w:tcPr>
          <w:p>
            <w:pPr>
              <w:spacing w:line="240" w:lineRule="auto" w:after="40" w:before="40"/>
            </w:pPr>
            <w:r>
              <w:rPr>
                <w:sz w:val="19"/>
              </w:rPr>
            </w:r>
            <w:r>
              <w:rPr>
                <w:rFonts w:ascii="Times New Roman" w:hAnsi="Times New Roman"/>
                <w:b w:val="0"/>
                <w:i w:val="0"/>
                <w:sz w:val="19"/>
              </w:rPr>
              <w:t>35.4</w:t>
            </w:r>
          </w:p>
        </w:tc>
        <w:tc>
          <w:tcPr>
            <w:tcW w:type="dxa" w:w="1560"/>
          </w:tcPr>
          <w:p>
            <w:pPr>
              <w:spacing w:line="240" w:lineRule="auto" w:after="40" w:before="40"/>
            </w:pPr>
            <w:r>
              <w:rPr>
                <w:sz w:val="19"/>
              </w:rPr>
            </w:r>
            <w:r>
              <w:rPr>
                <w:rFonts w:ascii="Times New Roman" w:hAnsi="Times New Roman"/>
                <w:b w:val="0"/>
                <w:i w:val="0"/>
                <w:sz w:val="19"/>
              </w:rPr>
              <w:t>75.9</w:t>
            </w:r>
          </w:p>
        </w:tc>
        <w:tc>
          <w:tcPr>
            <w:tcW w:type="dxa" w:w="1560"/>
          </w:tcPr>
          <w:p>
            <w:pPr>
              <w:spacing w:line="240" w:lineRule="auto" w:after="40" w:before="40"/>
            </w:pPr>
            <w:r>
              <w:rPr>
                <w:sz w:val="19"/>
              </w:rPr>
            </w:r>
            <w:r>
              <w:rPr>
                <w:rFonts w:ascii="Times New Roman" w:hAnsi="Times New Roman"/>
                <w:b w:val="0"/>
                <w:i w:val="0"/>
                <w:sz w:val="19"/>
              </w:rPr>
              <w:t>86.5</w:t>
            </w:r>
          </w:p>
        </w:tc>
        <w:tc>
          <w:tcPr>
            <w:tcW w:type="dxa" w:w="1560"/>
          </w:tcPr>
          <w:p>
            <w:pPr>
              <w:spacing w:line="240" w:lineRule="auto" w:after="40" w:before="40"/>
            </w:pPr>
            <w:r>
              <w:rPr>
                <w:sz w:val="19"/>
              </w:rPr>
            </w:r>
            <w:r>
              <w:rPr>
                <w:rFonts w:ascii="Times New Roman" w:hAnsi="Times New Roman"/>
                <w:b/>
                <w:i w:val="0"/>
                <w:sz w:val="19"/>
              </w:rPr>
              <w:t>1.064 (1.012–1.118)</w:t>
            </w:r>
          </w:p>
        </w:tc>
      </w:tr>
      <w:tr>
        <w:tc>
          <w:tcPr>
            <w:tcW w:type="dxa" w:w="1560"/>
          </w:tcPr>
          <w:p>
            <w:pPr>
              <w:spacing w:line="240" w:lineRule="auto" w:after="40" w:before="40"/>
            </w:pPr>
            <w:r>
              <w:rPr>
                <w:sz w:val="19"/>
              </w:rPr>
            </w:r>
            <w:r>
              <w:rPr>
                <w:rFonts w:ascii="Times New Roman" w:hAnsi="Times New Roman"/>
                <w:b w:val="0"/>
                <w:i w:val="0"/>
                <w:sz w:val="19"/>
              </w:rPr>
              <w:t>P90–95</w:t>
            </w:r>
          </w:p>
        </w:tc>
        <w:tc>
          <w:tcPr>
            <w:tcW w:type="dxa" w:w="1560"/>
          </w:tcPr>
          <w:p>
            <w:pPr>
              <w:spacing w:line="240" w:lineRule="auto" w:after="40" w:before="40"/>
            </w:pPr>
            <w:r>
              <w:rPr>
                <w:sz w:val="19"/>
              </w:rPr>
            </w:r>
            <w:r>
              <w:rPr>
                <w:rFonts w:ascii="Times New Roman" w:hAnsi="Times New Roman"/>
                <w:b w:val="0"/>
                <w:i w:val="0"/>
                <w:sz w:val="19"/>
              </w:rPr>
              <w:t>5,006</w:t>
            </w:r>
          </w:p>
        </w:tc>
        <w:tc>
          <w:tcPr>
            <w:tcW w:type="dxa" w:w="1560"/>
          </w:tcPr>
          <w:p>
            <w:pPr>
              <w:spacing w:line="240" w:lineRule="auto" w:after="40" w:before="40"/>
            </w:pPr>
            <w:r>
              <w:rPr>
                <w:sz w:val="19"/>
              </w:rPr>
            </w:r>
            <w:r>
              <w:rPr>
                <w:rFonts w:ascii="Times New Roman" w:hAnsi="Times New Roman"/>
                <w:b w:val="0"/>
                <w:i w:val="0"/>
                <w:sz w:val="19"/>
              </w:rPr>
              <w:t>36.8</w:t>
            </w:r>
          </w:p>
        </w:tc>
        <w:tc>
          <w:tcPr>
            <w:tcW w:type="dxa" w:w="1560"/>
          </w:tcPr>
          <w:p>
            <w:pPr>
              <w:spacing w:line="240" w:lineRule="auto" w:after="40" w:before="40"/>
            </w:pPr>
            <w:r>
              <w:rPr>
                <w:sz w:val="19"/>
              </w:rPr>
            </w:r>
            <w:r>
              <w:rPr>
                <w:rFonts w:ascii="Times New Roman" w:hAnsi="Times New Roman"/>
                <w:b w:val="0"/>
                <w:i w:val="0"/>
                <w:sz w:val="19"/>
              </w:rPr>
              <w:t>75.3</w:t>
            </w:r>
          </w:p>
        </w:tc>
        <w:tc>
          <w:tcPr>
            <w:tcW w:type="dxa" w:w="1560"/>
          </w:tcPr>
          <w:p>
            <w:pPr>
              <w:spacing w:line="240" w:lineRule="auto" w:after="40" w:before="40"/>
            </w:pPr>
            <w:r>
              <w:rPr>
                <w:sz w:val="19"/>
              </w:rPr>
            </w:r>
            <w:r>
              <w:rPr>
                <w:rFonts w:ascii="Times New Roman" w:hAnsi="Times New Roman"/>
                <w:b w:val="0"/>
                <w:i w:val="0"/>
                <w:sz w:val="19"/>
              </w:rPr>
              <w:t>86.4</w:t>
            </w:r>
          </w:p>
        </w:tc>
        <w:tc>
          <w:tcPr>
            <w:tcW w:type="dxa" w:w="1560"/>
          </w:tcPr>
          <w:p>
            <w:pPr>
              <w:spacing w:line="240" w:lineRule="auto" w:after="40" w:before="40"/>
            </w:pPr>
            <w:r>
              <w:rPr>
                <w:sz w:val="19"/>
              </w:rPr>
            </w:r>
            <w:r>
              <w:rPr>
                <w:rFonts w:ascii="Times New Roman" w:hAnsi="Times New Roman"/>
                <w:b w:val="0"/>
                <w:i w:val="0"/>
                <w:sz w:val="19"/>
              </w:rPr>
              <w:t>1.058 (0.975–1.148)</w:t>
            </w:r>
          </w:p>
        </w:tc>
      </w:tr>
      <w:tr>
        <w:tc>
          <w:tcPr>
            <w:tcW w:type="dxa" w:w="1560"/>
          </w:tcPr>
          <w:p>
            <w:pPr>
              <w:spacing w:line="240" w:lineRule="auto" w:after="40" w:before="40"/>
            </w:pPr>
            <w:r>
              <w:rPr>
                <w:sz w:val="19"/>
              </w:rPr>
            </w:r>
            <w:r>
              <w:rPr>
                <w:rFonts w:ascii="Times New Roman" w:hAnsi="Times New Roman"/>
                <w:b w:val="0"/>
                <w:i w:val="0"/>
                <w:sz w:val="19"/>
              </w:rPr>
              <w:t>P95–99</w:t>
            </w:r>
          </w:p>
        </w:tc>
        <w:tc>
          <w:tcPr>
            <w:tcW w:type="dxa" w:w="1560"/>
          </w:tcPr>
          <w:p>
            <w:pPr>
              <w:spacing w:line="240" w:lineRule="auto" w:after="40" w:before="40"/>
            </w:pPr>
            <w:r>
              <w:rPr>
                <w:sz w:val="19"/>
              </w:rPr>
            </w:r>
            <w:r>
              <w:rPr>
                <w:rFonts w:ascii="Times New Roman" w:hAnsi="Times New Roman"/>
                <w:b w:val="0"/>
                <w:i w:val="0"/>
                <w:sz w:val="19"/>
              </w:rPr>
              <w:t>3,802</w:t>
            </w:r>
          </w:p>
        </w:tc>
        <w:tc>
          <w:tcPr>
            <w:tcW w:type="dxa" w:w="1560"/>
          </w:tcPr>
          <w:p>
            <w:pPr>
              <w:spacing w:line="240" w:lineRule="auto" w:after="40" w:before="40"/>
            </w:pPr>
            <w:r>
              <w:rPr>
                <w:sz w:val="19"/>
              </w:rPr>
            </w:r>
            <w:r>
              <w:rPr>
                <w:rFonts w:ascii="Times New Roman" w:hAnsi="Times New Roman"/>
                <w:b w:val="0"/>
                <w:i w:val="0"/>
                <w:sz w:val="19"/>
              </w:rPr>
              <w:t>37.9</w:t>
            </w:r>
          </w:p>
        </w:tc>
        <w:tc>
          <w:tcPr>
            <w:tcW w:type="dxa" w:w="1560"/>
          </w:tcPr>
          <w:p>
            <w:pPr>
              <w:spacing w:line="240" w:lineRule="auto" w:after="40" w:before="40"/>
            </w:pPr>
            <w:r>
              <w:rPr>
                <w:sz w:val="19"/>
              </w:rPr>
            </w:r>
            <w:r>
              <w:rPr>
                <w:rFonts w:ascii="Times New Roman" w:hAnsi="Times New Roman"/>
                <w:b w:val="0"/>
                <w:i w:val="0"/>
                <w:sz w:val="19"/>
              </w:rPr>
              <w:t>75.2</w:t>
            </w:r>
          </w:p>
        </w:tc>
        <w:tc>
          <w:tcPr>
            <w:tcW w:type="dxa" w:w="1560"/>
          </w:tcPr>
          <w:p>
            <w:pPr>
              <w:spacing w:line="240" w:lineRule="auto" w:after="40" w:before="40"/>
            </w:pPr>
            <w:r>
              <w:rPr>
                <w:sz w:val="19"/>
              </w:rPr>
            </w:r>
            <w:r>
              <w:rPr>
                <w:rFonts w:ascii="Times New Roman" w:hAnsi="Times New Roman"/>
                <w:b w:val="0"/>
                <w:i w:val="0"/>
                <w:sz w:val="19"/>
              </w:rPr>
              <w:t>86.7</w:t>
            </w:r>
          </w:p>
        </w:tc>
        <w:tc>
          <w:tcPr>
            <w:tcW w:type="dxa" w:w="1560"/>
          </w:tcPr>
          <w:p>
            <w:pPr>
              <w:spacing w:line="240" w:lineRule="auto" w:after="40" w:before="40"/>
            </w:pPr>
            <w:r>
              <w:rPr>
                <w:sz w:val="19"/>
              </w:rPr>
            </w:r>
            <w:r>
              <w:rPr>
                <w:rFonts w:ascii="Times New Roman" w:hAnsi="Times New Roman"/>
                <w:b w:val="0"/>
                <w:i w:val="0"/>
                <w:sz w:val="19"/>
              </w:rPr>
              <w:t>1.033 (0.934–1.142)</w:t>
            </w:r>
          </w:p>
        </w:tc>
      </w:tr>
      <w:tr>
        <w:tc>
          <w:tcPr>
            <w:tcW w:type="dxa" w:w="1560"/>
          </w:tcPr>
          <w:p>
            <w:pPr>
              <w:spacing w:line="240" w:lineRule="auto" w:after="40" w:before="40"/>
            </w:pPr>
            <w:r>
              <w:rPr>
                <w:sz w:val="19"/>
              </w:rPr>
            </w:r>
            <w:r>
              <w:rPr>
                <w:rFonts w:ascii="Times New Roman" w:hAnsi="Times New Roman"/>
                <w:b w:val="0"/>
                <w:i w:val="0"/>
                <w:sz w:val="19"/>
              </w:rPr>
              <w:t>≥P99</w:t>
            </w:r>
          </w:p>
        </w:tc>
        <w:tc>
          <w:tcPr>
            <w:tcW w:type="dxa" w:w="1560"/>
          </w:tcPr>
          <w:p>
            <w:pPr>
              <w:spacing w:line="240" w:lineRule="auto" w:after="40" w:before="40"/>
            </w:pPr>
            <w:r>
              <w:rPr>
                <w:sz w:val="19"/>
              </w:rPr>
            </w:r>
            <w:r>
              <w:rPr>
                <w:rFonts w:ascii="Times New Roman" w:hAnsi="Times New Roman"/>
                <w:b w:val="0"/>
                <w:i w:val="0"/>
                <w:sz w:val="19"/>
              </w:rPr>
              <w:t>1,069</w:t>
            </w:r>
          </w:p>
        </w:tc>
        <w:tc>
          <w:tcPr>
            <w:tcW w:type="dxa" w:w="1560"/>
          </w:tcPr>
          <w:p>
            <w:pPr>
              <w:spacing w:line="240" w:lineRule="auto" w:after="40" w:before="40"/>
            </w:pPr>
            <w:r>
              <w:rPr>
                <w:sz w:val="19"/>
              </w:rPr>
            </w:r>
            <w:r>
              <w:rPr>
                <w:rFonts w:ascii="Times New Roman" w:hAnsi="Times New Roman"/>
                <w:b w:val="0"/>
                <w:i w:val="0"/>
                <w:sz w:val="19"/>
              </w:rPr>
              <w:t>39.7</w:t>
            </w:r>
          </w:p>
        </w:tc>
        <w:tc>
          <w:tcPr>
            <w:tcW w:type="dxa" w:w="1560"/>
          </w:tcPr>
          <w:p>
            <w:pPr>
              <w:spacing w:line="240" w:lineRule="auto" w:after="40" w:before="40"/>
            </w:pPr>
            <w:r>
              <w:rPr>
                <w:sz w:val="19"/>
              </w:rPr>
            </w:r>
            <w:r>
              <w:rPr>
                <w:rFonts w:ascii="Times New Roman" w:hAnsi="Times New Roman"/>
                <w:b w:val="0"/>
                <w:i w:val="0"/>
                <w:sz w:val="19"/>
              </w:rPr>
              <w:t>72.9</w:t>
            </w:r>
          </w:p>
        </w:tc>
        <w:tc>
          <w:tcPr>
            <w:tcW w:type="dxa" w:w="1560"/>
          </w:tcPr>
          <w:p>
            <w:pPr>
              <w:spacing w:line="240" w:lineRule="auto" w:after="40" w:before="40"/>
            </w:pPr>
            <w:r>
              <w:rPr>
                <w:sz w:val="19"/>
              </w:rPr>
            </w:r>
            <w:r>
              <w:rPr>
                <w:rFonts w:ascii="Times New Roman" w:hAnsi="Times New Roman"/>
                <w:b w:val="0"/>
                <w:i w:val="0"/>
                <w:sz w:val="19"/>
              </w:rPr>
              <w:t>85.4</w:t>
            </w:r>
          </w:p>
        </w:tc>
        <w:tc>
          <w:tcPr>
            <w:tcW w:type="dxa" w:w="1560"/>
          </w:tcPr>
          <w:p>
            <w:pPr>
              <w:spacing w:line="240" w:lineRule="auto" w:after="40" w:before="40"/>
            </w:pPr>
            <w:r>
              <w:rPr>
                <w:sz w:val="19"/>
              </w:rPr>
            </w:r>
            <w:r>
              <w:rPr>
                <w:rFonts w:ascii="Times New Roman" w:hAnsi="Times New Roman"/>
                <w:b w:val="0"/>
                <w:i w:val="0"/>
                <w:sz w:val="19"/>
              </w:rPr>
              <w:t>0.888 (0.776–1.017)</w:t>
            </w:r>
          </w:p>
        </w:tc>
      </w:tr>
    </w:tbl>
    <w:p>
      <w:pPr>
        <w:spacing w:after="120"/>
      </w:pPr>
    </w:p>
    <w:p>
      <w:pPr>
        <w:spacing w:before="0" w:after="0"/>
        <w:jc w:val="both"/>
      </w:pPr>
      <w:r>
        <w:rPr>
          <w:rFonts w:ascii="Times New Roman" w:hAnsi="Times New Roman"/>
          <w:b w:val="0"/>
          <w:i w:val="0"/>
        </w:rPr>
        <w:t>\* Logistic regression, cluster-robust on province, adjusted for province, year, month, day-of-week, rain, log(precipitation), Songkran, New Year, age, sex and road-user type (n = 79,944 with complete covariates).</w:t>
      </w:r>
    </w:p>
    <w:p>
      <w:pPr>
        <w:spacing w:before="0" w:after="0"/>
        <w:jc w:val="both"/>
      </w:pPr>
      <w:r>
        <w:rPr>
          <w:rFonts w:ascii="Times New Roman" w:hAnsi="Times New Roman"/>
          <w:b w:val="0"/>
          <w:i w:val="0"/>
        </w:rPr>
        <w:t xml:space="preserve">The crude Cochran–Armitage trend is </w:t>
      </w:r>
      <w:r>
        <w:rPr>
          <w:rFonts w:ascii="Times New Roman" w:hAnsi="Times New Roman"/>
          <w:b/>
          <w:i w:val="0"/>
        </w:rPr>
        <w:t>negative</w:t>
      </w:r>
      <w:r>
        <w:rPr>
          <w:rFonts w:ascii="Times New Roman" w:hAnsi="Times New Roman"/>
          <w:b w:val="0"/>
          <w:i w:val="0"/>
        </w:rPr>
        <w:t xml:space="preserve"> (z = −6.79, p = </w:t>
      </w:r>
      <w:r>
        <w:rPr>
          <w:rFonts w:ascii="Times New Roman" w:hAnsi="Times New Roman"/>
          <w:b w:val="0"/>
          <w:i w:val="0"/>
        </w:rPr>
        <w:t>1 × 10</w:t>
      </w:r>
      <w:r>
        <w:rPr>
          <w:rFonts w:ascii="Times New Roman" w:hAnsi="Times New Roman"/>
          <w:b w:val="0"/>
          <w:i w:val="0"/>
          <w:vertAlign w:val="superscript"/>
        </w:rPr>
        <w:t>-11</w:t>
      </w:r>
      <w:r>
        <w:rPr>
          <w:rFonts w:ascii="Times New Roman" w:hAnsi="Times New Roman"/>
          <w:b w:val="0"/>
          <w:i w:val="0"/>
        </w:rPr>
        <w:t>) — same-day death falls from 78.0% to 72.9% across the range — but this reflects composition and adjustment removes it.</w:t>
      </w:r>
    </w:p>
    <w:p>
      <w:r>
        <w:br w:type="page"/>
      </w:r>
    </w:p>
    <w:p>
      <w:pPr>
        <w:spacing w:before="280" w:after="80" w:line="360" w:lineRule="auto"/>
      </w:pPr>
      <w:r>
        <w:rPr>
          <w:rFonts w:ascii="Times New Roman" w:hAnsi="Times New Roman"/>
          <w:b/>
          <w:sz w:val="28"/>
        </w:rPr>
        <w:t>S3.4 Continuous exposure and spline</w:t>
      </w:r>
    </w:p>
    <w:p>
      <w:pPr>
        <w:pStyle w:val="ListBullet"/>
        <w:spacing w:before="0" w:after="80"/>
      </w:pPr>
      <w:r>
        <w:rPr>
          <w:rFonts w:ascii="Times New Roman" w:hAnsi="Times New Roman"/>
          <w:b w:val="0"/>
          <w:i w:val="0"/>
        </w:rPr>
        <w:t xml:space="preserve">Linear: </w:t>
      </w:r>
      <w:r>
        <w:rPr>
          <w:rFonts w:ascii="Times New Roman" w:hAnsi="Times New Roman"/>
          <w:b/>
          <w:i w:val="0"/>
        </w:rPr>
        <w:t>OR 0.9978 per +1 °C (0.9893–1.0064), p = 0.62 — null.</w:t>
      </w:r>
    </w:p>
    <w:p>
      <w:pPr>
        <w:pStyle w:val="ListBullet"/>
        <w:spacing w:before="0" w:after="80"/>
      </w:pPr>
      <w:r>
        <w:rPr>
          <w:rFonts w:ascii="Times New Roman" w:hAnsi="Times New Roman"/>
          <w:b w:val="0"/>
          <w:i w:val="0"/>
        </w:rPr>
        <w:t>Natural spline (df = 4) improves fit marginally (LR = 8.2, 3 df, p = 0.042), but the adjusted probability moves only from 0.740 to 0.771 across −8 to +8 °C: a 3.1 percentage-point range against a mean 95% CI width of 4.1 points. The variation lies inside the noise.</w:t>
      </w:r>
    </w:p>
    <w:p>
      <w:r>
        <w:br w:type="page"/>
      </w:r>
    </w:p>
    <w:p>
      <w:pPr>
        <w:spacing w:before="280" w:after="80" w:line="360" w:lineRule="auto"/>
      </w:pPr>
      <w:r>
        <w:rPr>
          <w:rFonts w:ascii="Times New Roman" w:hAnsi="Times New Roman"/>
          <w:b/>
          <w:sz w:val="28"/>
        </w:rPr>
        <w:t>S3.5 Secondary outcomes</w:t>
      </w:r>
    </w:p>
    <w:tbl>
      <w:tblPr>
        <w:tblStyle w:val="TableGrid"/>
        <w:tblW w:type="auto" w:w="0"/>
        <w:tblLayout w:type="autofit"/>
        <w:tblLook w:firstColumn="1" w:firstRow="1" w:lastColumn="0" w:lastRow="0" w:noHBand="0" w:noVBand="1" w:val="04A0"/>
      </w:tblPr>
      <w:tblGrid>
        <w:gridCol w:w="3120"/>
        <w:gridCol w:w="3120"/>
        <w:gridCol w:w="3120"/>
      </w:tblGrid>
      <w:tr>
        <w:tc>
          <w:tcPr>
            <w:tcW w:type="dxa" w:w="3120"/>
          </w:tcPr>
          <w:p>
            <w:pPr>
              <w:spacing w:line="240" w:lineRule="auto" w:after="40" w:before="40"/>
            </w:pPr>
            <w:r>
              <w:rPr>
                <w:b/>
                <w:sz w:val="19"/>
              </w:rPr>
            </w:r>
            <w:r>
              <w:rPr>
                <w:rFonts w:ascii="Times New Roman" w:hAnsi="Times New Roman"/>
                <w:b/>
                <w:i w:val="0"/>
                <w:sz w:val="19"/>
              </w:rPr>
              <w:t>Band</w:t>
            </w:r>
          </w:p>
        </w:tc>
        <w:tc>
          <w:tcPr>
            <w:tcW w:type="dxa" w:w="3120"/>
          </w:tcPr>
          <w:p>
            <w:pPr>
              <w:spacing w:line="240" w:lineRule="auto" w:after="40" w:before="40"/>
            </w:pPr>
            <w:r>
              <w:rPr>
                <w:b/>
                <w:sz w:val="19"/>
              </w:rPr>
            </w:r>
            <w:r>
              <w:rPr>
                <w:rFonts w:ascii="Times New Roman" w:hAnsi="Times New Roman"/>
                <w:b/>
                <w:i w:val="0"/>
                <w:sz w:val="19"/>
              </w:rPr>
              <w:t>OR death ≤1 day</w:t>
            </w:r>
          </w:p>
        </w:tc>
        <w:tc>
          <w:tcPr>
            <w:tcW w:type="dxa" w:w="3120"/>
          </w:tcPr>
          <w:p>
            <w:pPr>
              <w:spacing w:line="240" w:lineRule="auto" w:after="40" w:before="40"/>
            </w:pPr>
            <w:r>
              <w:rPr>
                <w:b/>
                <w:sz w:val="19"/>
              </w:rPr>
            </w:r>
            <w:r>
              <w:rPr>
                <w:rFonts w:ascii="Times New Roman" w:hAnsi="Times New Roman"/>
                <w:b/>
                <w:i w:val="0"/>
                <w:sz w:val="19"/>
              </w:rPr>
              <w:t>OR death ≤2 days</w:t>
            </w:r>
          </w:p>
        </w:tc>
      </w:tr>
      <w:tr>
        <w:tc>
          <w:tcPr>
            <w:tcW w:type="dxa" w:w="3120"/>
          </w:tcPr>
          <w:p>
            <w:pPr>
              <w:spacing w:line="240" w:lineRule="auto" w:after="40" w:before="40"/>
            </w:pPr>
            <w:r>
              <w:rPr>
                <w:sz w:val="19"/>
              </w:rPr>
            </w:r>
            <w:r>
              <w:rPr>
                <w:rFonts w:ascii="Times New Roman" w:hAnsi="Times New Roman"/>
                <w:b w:val="0"/>
                <w:i w:val="0"/>
                <w:sz w:val="19"/>
              </w:rPr>
              <w:t>P60–75</w:t>
            </w:r>
          </w:p>
        </w:tc>
        <w:tc>
          <w:tcPr>
            <w:tcW w:type="dxa" w:w="3120"/>
          </w:tcPr>
          <w:p>
            <w:pPr>
              <w:spacing w:line="240" w:lineRule="auto" w:after="40" w:before="40"/>
            </w:pPr>
            <w:r>
              <w:rPr>
                <w:sz w:val="19"/>
              </w:rPr>
            </w:r>
            <w:r>
              <w:rPr>
                <w:rFonts w:ascii="Times New Roman" w:hAnsi="Times New Roman"/>
                <w:b w:val="0"/>
                <w:i w:val="0"/>
                <w:sz w:val="19"/>
              </w:rPr>
              <w:t>1.054 (0.979–1.134)</w:t>
            </w:r>
          </w:p>
        </w:tc>
        <w:tc>
          <w:tcPr>
            <w:tcW w:type="dxa" w:w="3120"/>
          </w:tcPr>
          <w:p>
            <w:pPr>
              <w:spacing w:line="240" w:lineRule="auto" w:after="40" w:before="40"/>
            </w:pPr>
            <w:r>
              <w:rPr>
                <w:sz w:val="19"/>
              </w:rPr>
            </w:r>
            <w:r>
              <w:rPr>
                <w:rFonts w:ascii="Times New Roman" w:hAnsi="Times New Roman"/>
                <w:b/>
                <w:i w:val="0"/>
                <w:sz w:val="19"/>
              </w:rPr>
              <w:t>1.096 (1.007–1.192)</w:t>
            </w:r>
          </w:p>
        </w:tc>
      </w:tr>
      <w:tr>
        <w:tc>
          <w:tcPr>
            <w:tcW w:type="dxa" w:w="3120"/>
          </w:tcPr>
          <w:p>
            <w:pPr>
              <w:spacing w:line="240" w:lineRule="auto" w:after="40" w:before="40"/>
            </w:pPr>
            <w:r>
              <w:rPr>
                <w:sz w:val="19"/>
              </w:rPr>
            </w:r>
            <w:r>
              <w:rPr>
                <w:rFonts w:ascii="Times New Roman" w:hAnsi="Times New Roman"/>
                <w:b w:val="0"/>
                <w:i w:val="0"/>
                <w:sz w:val="19"/>
              </w:rPr>
              <w:t>P75–90</w:t>
            </w:r>
          </w:p>
        </w:tc>
        <w:tc>
          <w:tcPr>
            <w:tcW w:type="dxa" w:w="3120"/>
          </w:tcPr>
          <w:p>
            <w:pPr>
              <w:spacing w:line="240" w:lineRule="auto" w:after="40" w:before="40"/>
            </w:pPr>
            <w:r>
              <w:rPr>
                <w:sz w:val="19"/>
              </w:rPr>
            </w:r>
            <w:r>
              <w:rPr>
                <w:rFonts w:ascii="Times New Roman" w:hAnsi="Times New Roman"/>
                <w:b/>
                <w:i w:val="0"/>
                <w:sz w:val="19"/>
              </w:rPr>
              <w:t>1.102 (1.020–1.191)</w:t>
            </w:r>
          </w:p>
        </w:tc>
        <w:tc>
          <w:tcPr>
            <w:tcW w:type="dxa" w:w="3120"/>
          </w:tcPr>
          <w:p>
            <w:pPr>
              <w:spacing w:line="240" w:lineRule="auto" w:after="40" w:before="40"/>
            </w:pPr>
            <w:r>
              <w:rPr>
                <w:sz w:val="19"/>
              </w:rPr>
            </w:r>
            <w:r>
              <w:rPr>
                <w:rFonts w:ascii="Times New Roman" w:hAnsi="Times New Roman"/>
                <w:b/>
                <w:i w:val="0"/>
                <w:sz w:val="19"/>
              </w:rPr>
              <w:t>1.123 (1.027–1.229)</w:t>
            </w:r>
          </w:p>
        </w:tc>
      </w:tr>
      <w:tr>
        <w:tc>
          <w:tcPr>
            <w:tcW w:type="dxa" w:w="3120"/>
          </w:tcPr>
          <w:p>
            <w:pPr>
              <w:spacing w:line="240" w:lineRule="auto" w:after="40" w:before="40"/>
            </w:pPr>
            <w:r>
              <w:rPr>
                <w:sz w:val="19"/>
              </w:rPr>
            </w:r>
            <w:r>
              <w:rPr>
                <w:rFonts w:ascii="Times New Roman" w:hAnsi="Times New Roman"/>
                <w:b w:val="0"/>
                <w:i w:val="0"/>
                <w:sz w:val="19"/>
              </w:rPr>
              <w:t>P90–95</w:t>
            </w:r>
          </w:p>
        </w:tc>
        <w:tc>
          <w:tcPr>
            <w:tcW w:type="dxa" w:w="3120"/>
          </w:tcPr>
          <w:p>
            <w:pPr>
              <w:spacing w:line="240" w:lineRule="auto" w:after="40" w:before="40"/>
            </w:pPr>
            <w:r>
              <w:rPr>
                <w:sz w:val="19"/>
              </w:rPr>
            </w:r>
            <w:r>
              <w:rPr>
                <w:rFonts w:ascii="Times New Roman" w:hAnsi="Times New Roman"/>
                <w:b/>
                <w:i w:val="0"/>
                <w:sz w:val="19"/>
              </w:rPr>
              <w:t>1.127 (1.044–1.216)</w:t>
            </w:r>
          </w:p>
        </w:tc>
        <w:tc>
          <w:tcPr>
            <w:tcW w:type="dxa" w:w="3120"/>
          </w:tcPr>
          <w:p>
            <w:pPr>
              <w:spacing w:line="240" w:lineRule="auto" w:after="40" w:before="40"/>
            </w:pPr>
            <w:r>
              <w:rPr>
                <w:sz w:val="19"/>
              </w:rPr>
            </w:r>
            <w:r>
              <w:rPr>
                <w:rFonts w:ascii="Times New Roman" w:hAnsi="Times New Roman"/>
                <w:b/>
                <w:i w:val="0"/>
                <w:sz w:val="19"/>
              </w:rPr>
              <w:t>1.162 (1.052–1.284)</w:t>
            </w:r>
          </w:p>
        </w:tc>
      </w:tr>
      <w:tr>
        <w:tc>
          <w:tcPr>
            <w:tcW w:type="dxa" w:w="3120"/>
          </w:tcPr>
          <w:p>
            <w:pPr>
              <w:spacing w:line="240" w:lineRule="auto" w:after="40" w:before="40"/>
            </w:pPr>
            <w:r>
              <w:rPr>
                <w:sz w:val="19"/>
              </w:rPr>
            </w:r>
            <w:r>
              <w:rPr>
                <w:rFonts w:ascii="Times New Roman" w:hAnsi="Times New Roman"/>
                <w:b w:val="0"/>
                <w:i w:val="0"/>
                <w:sz w:val="19"/>
              </w:rPr>
              <w:t>P95–99</w:t>
            </w:r>
          </w:p>
        </w:tc>
        <w:tc>
          <w:tcPr>
            <w:tcW w:type="dxa" w:w="3120"/>
          </w:tcPr>
          <w:p>
            <w:pPr>
              <w:spacing w:line="240" w:lineRule="auto" w:after="40" w:before="40"/>
            </w:pPr>
            <w:r>
              <w:rPr>
                <w:sz w:val="19"/>
              </w:rPr>
            </w:r>
            <w:r>
              <w:rPr>
                <w:rFonts w:ascii="Times New Roman" w:hAnsi="Times New Roman"/>
                <w:b/>
                <w:i w:val="0"/>
                <w:sz w:val="19"/>
              </w:rPr>
              <w:t>1.146 (1.011–1.297)</w:t>
            </w:r>
          </w:p>
        </w:tc>
        <w:tc>
          <w:tcPr>
            <w:tcW w:type="dxa" w:w="3120"/>
          </w:tcPr>
          <w:p>
            <w:pPr>
              <w:spacing w:line="240" w:lineRule="auto" w:after="40" w:before="40"/>
            </w:pPr>
            <w:r>
              <w:rPr>
                <w:sz w:val="19"/>
              </w:rPr>
            </w:r>
            <w:r>
              <w:rPr>
                <w:rFonts w:ascii="Times New Roman" w:hAnsi="Times New Roman"/>
                <w:b w:val="0"/>
                <w:i w:val="0"/>
                <w:sz w:val="19"/>
              </w:rPr>
              <w:t>1.133 (0.978–1.312)</w:t>
            </w:r>
          </w:p>
        </w:tc>
      </w:tr>
      <w:tr>
        <w:tc>
          <w:tcPr>
            <w:tcW w:type="dxa" w:w="3120"/>
          </w:tcPr>
          <w:p>
            <w:pPr>
              <w:spacing w:line="240" w:lineRule="auto" w:after="40" w:before="40"/>
            </w:pPr>
            <w:r>
              <w:rPr>
                <w:sz w:val="19"/>
              </w:rPr>
            </w:r>
            <w:r>
              <w:rPr>
                <w:rFonts w:ascii="Times New Roman" w:hAnsi="Times New Roman"/>
                <w:b w:val="0"/>
                <w:i w:val="0"/>
                <w:sz w:val="19"/>
              </w:rPr>
              <w:t>≥P99</w:t>
            </w:r>
          </w:p>
        </w:tc>
        <w:tc>
          <w:tcPr>
            <w:tcW w:type="dxa" w:w="3120"/>
          </w:tcPr>
          <w:p>
            <w:pPr>
              <w:spacing w:line="240" w:lineRule="auto" w:after="40" w:before="40"/>
            </w:pPr>
            <w:r>
              <w:rPr>
                <w:sz w:val="19"/>
              </w:rPr>
            </w:r>
            <w:r>
              <w:rPr>
                <w:rFonts w:ascii="Times New Roman" w:hAnsi="Times New Roman"/>
                <w:b w:val="0"/>
                <w:i w:val="0"/>
                <w:sz w:val="19"/>
              </w:rPr>
              <w:t>1.019 (0.846–1.227)</w:t>
            </w:r>
          </w:p>
        </w:tc>
        <w:tc>
          <w:tcPr>
            <w:tcW w:type="dxa" w:w="3120"/>
          </w:tcPr>
          <w:p>
            <w:pPr>
              <w:spacing w:line="240" w:lineRule="auto" w:after="40" w:before="40"/>
            </w:pPr>
            <w:r>
              <w:rPr>
                <w:sz w:val="19"/>
              </w:rPr>
            </w:r>
            <w:r>
              <w:rPr>
                <w:rFonts w:ascii="Times New Roman" w:hAnsi="Times New Roman"/>
                <w:b w:val="0"/>
                <w:i w:val="0"/>
                <w:sz w:val="19"/>
              </w:rPr>
              <w:t>1.031 (0.809–1.313)</w:t>
            </w:r>
          </w:p>
        </w:tc>
      </w:tr>
    </w:tbl>
    <w:p>
      <w:pPr>
        <w:spacing w:after="120"/>
      </w:pPr>
    </w:p>
    <w:p>
      <w:pPr>
        <w:spacing w:before="0" w:after="0"/>
        <w:jc w:val="both"/>
      </w:pPr>
      <w:r>
        <w:rPr>
          <w:rFonts w:ascii="Times New Roman" w:hAnsi="Times New Roman"/>
          <w:b w:val="0"/>
          <w:i w:val="0"/>
        </w:rPr>
        <w:t>Scattered positive associations appear in the mid-upper bands, but the primary outcome and the continuous model are null and the highest band is null in every specification. This does not form a dose–response.</w:t>
      </w:r>
    </w:p>
    <w:p>
      <w:r>
        <w:br w:type="page"/>
      </w:r>
    </w:p>
    <w:p>
      <w:pPr>
        <w:spacing w:before="280" w:after="80" w:line="360" w:lineRule="auto"/>
      </w:pPr>
      <w:r>
        <w:rPr>
          <w:rFonts w:ascii="Times New Roman" w:hAnsi="Times New Roman"/>
          <w:b/>
          <w:sz w:val="28"/>
        </w:rPr>
        <w:t>S3.6 Survival, stratification and interaction</w:t>
      </w:r>
    </w:p>
    <w:p>
      <w:pPr>
        <w:spacing w:before="0" w:after="0"/>
        <w:jc w:val="both"/>
      </w:pPr>
      <w:r>
        <w:rPr>
          <w:rFonts w:ascii="Times New Roman" w:hAnsi="Times New Roman"/>
          <w:b w:val="0"/>
          <w:i w:val="0"/>
        </w:rPr>
        <w:t>A Cox model on the interval (Efron ties; 76.7% are tied at day 0) shows no gradient, with hazard ratios of 0.95–1.00 across bands.</w:t>
      </w:r>
    </w:p>
    <w:tbl>
      <w:tblPr>
        <w:tblStyle w:val="TableGrid"/>
        <w:tblW w:type="auto" w:w="0"/>
        <w:tblLayout w:type="autofit"/>
        <w:tblLook w:firstColumn="1" w:firstRow="1" w:lastColumn="0" w:lastRow="0" w:noHBand="0" w:noVBand="1" w:val="04A0"/>
      </w:tblPr>
      <w:tblGrid>
        <w:gridCol w:w="3120"/>
        <w:gridCol w:w="3120"/>
        <w:gridCol w:w="3120"/>
      </w:tblGrid>
      <w:tr>
        <w:tc>
          <w:tcPr>
            <w:tcW w:type="dxa" w:w="3120"/>
          </w:tcPr>
          <w:p>
            <w:pPr>
              <w:spacing w:line="240" w:lineRule="auto" w:after="40" w:before="40"/>
            </w:pPr>
            <w:r>
              <w:rPr>
                <w:b/>
                <w:sz w:val="19"/>
              </w:rPr>
            </w:r>
            <w:r>
              <w:rPr>
                <w:rFonts w:ascii="Times New Roman" w:hAnsi="Times New Roman"/>
                <w:b/>
                <w:i w:val="0"/>
                <w:sz w:val="19"/>
              </w:rPr>
              <w:t>Subgroup</w:t>
            </w:r>
          </w:p>
        </w:tc>
        <w:tc>
          <w:tcPr>
            <w:tcW w:type="dxa" w:w="3120"/>
          </w:tcPr>
          <w:p>
            <w:pPr>
              <w:spacing w:line="240" w:lineRule="auto" w:after="40" w:before="40"/>
            </w:pPr>
            <w:r>
              <w:rPr>
                <w:b/>
                <w:sz w:val="19"/>
              </w:rPr>
            </w:r>
            <w:r>
              <w:rPr>
                <w:rFonts w:ascii="Times New Roman" w:hAnsi="Times New Roman"/>
                <w:b/>
                <w:i w:val="0"/>
                <w:sz w:val="19"/>
              </w:rPr>
              <w:t>OR per +1 °C</w:t>
            </w:r>
          </w:p>
        </w:tc>
        <w:tc>
          <w:tcPr>
            <w:tcW w:type="dxa" w:w="3120"/>
          </w:tcPr>
          <w:p>
            <w:pPr>
              <w:spacing w:line="240" w:lineRule="auto" w:after="40" w:before="40"/>
            </w:pPr>
            <w:r>
              <w:rPr>
                <w:b/>
                <w:sz w:val="19"/>
              </w:rPr>
            </w:r>
            <w:r>
              <w:rPr>
                <w:rFonts w:ascii="Times New Roman" w:hAnsi="Times New Roman"/>
                <w:b/>
                <w:i w:val="0"/>
                <w:sz w:val="19"/>
              </w:rPr>
              <w:t>p</w:t>
            </w:r>
          </w:p>
        </w:tc>
      </w:tr>
      <w:tr>
        <w:tc>
          <w:tcPr>
            <w:tcW w:type="dxa" w:w="3120"/>
          </w:tcPr>
          <w:p>
            <w:pPr>
              <w:spacing w:line="240" w:lineRule="auto" w:after="40" w:before="40"/>
            </w:pPr>
            <w:r>
              <w:rPr>
                <w:sz w:val="19"/>
              </w:rPr>
            </w:r>
            <w:r>
              <w:rPr>
                <w:rFonts w:ascii="Times New Roman" w:hAnsi="Times New Roman"/>
                <w:b w:val="0"/>
                <w:i w:val="0"/>
                <w:sz w:val="19"/>
              </w:rPr>
              <w:t>Motorcyclists (n = 46,746)</w:t>
            </w:r>
          </w:p>
        </w:tc>
        <w:tc>
          <w:tcPr>
            <w:tcW w:type="dxa" w:w="3120"/>
          </w:tcPr>
          <w:p>
            <w:pPr>
              <w:spacing w:line="240" w:lineRule="auto" w:after="40" w:before="40"/>
            </w:pPr>
            <w:r>
              <w:rPr>
                <w:sz w:val="19"/>
              </w:rPr>
            </w:r>
            <w:r>
              <w:rPr>
                <w:rFonts w:ascii="Times New Roman" w:hAnsi="Times New Roman"/>
                <w:b w:val="0"/>
                <w:i w:val="0"/>
                <w:sz w:val="19"/>
              </w:rPr>
              <w:t>1.0042 (0.9949–1.0136)</w:t>
            </w:r>
          </w:p>
        </w:tc>
        <w:tc>
          <w:tcPr>
            <w:tcW w:type="dxa" w:w="3120"/>
          </w:tcPr>
          <w:p>
            <w:pPr>
              <w:spacing w:line="240" w:lineRule="auto" w:after="40" w:before="40"/>
            </w:pPr>
            <w:r>
              <w:rPr>
                <w:sz w:val="19"/>
              </w:rPr>
            </w:r>
            <w:r>
              <w:rPr>
                <w:rFonts w:ascii="Times New Roman" w:hAnsi="Times New Roman"/>
                <w:b w:val="0"/>
                <w:i w:val="0"/>
                <w:sz w:val="19"/>
              </w:rPr>
              <w:t>0.38</w:t>
            </w:r>
          </w:p>
        </w:tc>
      </w:tr>
      <w:tr>
        <w:tc>
          <w:tcPr>
            <w:tcW w:type="dxa" w:w="3120"/>
          </w:tcPr>
          <w:p>
            <w:pPr>
              <w:spacing w:line="240" w:lineRule="auto" w:after="40" w:before="40"/>
            </w:pPr>
            <w:r>
              <w:rPr>
                <w:sz w:val="19"/>
              </w:rPr>
            </w:r>
            <w:r>
              <w:rPr>
                <w:rFonts w:ascii="Times New Roman" w:hAnsi="Times New Roman"/>
                <w:b w:val="0"/>
                <w:i w:val="0"/>
                <w:sz w:val="19"/>
              </w:rPr>
              <w:t>Other exposed users (n = 1,968)</w:t>
            </w:r>
          </w:p>
        </w:tc>
        <w:tc>
          <w:tcPr>
            <w:tcW w:type="dxa" w:w="3120"/>
          </w:tcPr>
          <w:p>
            <w:pPr>
              <w:spacing w:line="240" w:lineRule="auto" w:after="40" w:before="40"/>
            </w:pPr>
            <w:r>
              <w:rPr>
                <w:sz w:val="19"/>
              </w:rPr>
            </w:r>
            <w:r>
              <w:rPr>
                <w:rFonts w:ascii="Times New Roman" w:hAnsi="Times New Roman"/>
                <w:b w:val="0"/>
                <w:i w:val="0"/>
                <w:sz w:val="19"/>
              </w:rPr>
              <w:t>1.0241 (0.9739–1.0768)</w:t>
            </w:r>
          </w:p>
        </w:tc>
        <w:tc>
          <w:tcPr>
            <w:tcW w:type="dxa" w:w="3120"/>
          </w:tcPr>
          <w:p>
            <w:pPr>
              <w:spacing w:line="240" w:lineRule="auto" w:after="40" w:before="40"/>
            </w:pPr>
            <w:r>
              <w:rPr>
                <w:sz w:val="19"/>
              </w:rPr>
            </w:r>
            <w:r>
              <w:rPr>
                <w:rFonts w:ascii="Times New Roman" w:hAnsi="Times New Roman"/>
                <w:b w:val="0"/>
                <w:i w:val="0"/>
                <w:sz w:val="19"/>
              </w:rPr>
              <w:t>0.35</w:t>
            </w:r>
          </w:p>
        </w:tc>
      </w:tr>
      <w:tr>
        <w:tc>
          <w:tcPr>
            <w:tcW w:type="dxa" w:w="3120"/>
          </w:tcPr>
          <w:p>
            <w:pPr>
              <w:spacing w:line="240" w:lineRule="auto" w:after="40" w:before="40"/>
            </w:pPr>
            <w:r>
              <w:rPr>
                <w:sz w:val="19"/>
              </w:rPr>
            </w:r>
            <w:r>
              <w:rPr>
                <w:rFonts w:ascii="Times New Roman" w:hAnsi="Times New Roman"/>
                <w:b w:val="0"/>
                <w:i w:val="0"/>
                <w:sz w:val="19"/>
              </w:rPr>
              <w:t>Enclosed-vehicle occupants (n = 5,190)</w:t>
            </w:r>
          </w:p>
        </w:tc>
        <w:tc>
          <w:tcPr>
            <w:tcW w:type="dxa" w:w="3120"/>
          </w:tcPr>
          <w:p>
            <w:pPr>
              <w:spacing w:line="240" w:lineRule="auto" w:after="40" w:before="40"/>
            </w:pPr>
            <w:r>
              <w:rPr>
                <w:sz w:val="19"/>
              </w:rPr>
            </w:r>
            <w:r>
              <w:rPr>
                <w:rFonts w:ascii="Times New Roman" w:hAnsi="Times New Roman"/>
                <w:b w:val="0"/>
                <w:i w:val="0"/>
                <w:sz w:val="19"/>
              </w:rPr>
              <w:t>0.9658 (0.9279–1.0053)</w:t>
            </w:r>
          </w:p>
        </w:tc>
        <w:tc>
          <w:tcPr>
            <w:tcW w:type="dxa" w:w="3120"/>
          </w:tcPr>
          <w:p>
            <w:pPr>
              <w:spacing w:line="240" w:lineRule="auto" w:after="40" w:before="40"/>
            </w:pPr>
            <w:r>
              <w:rPr>
                <w:sz w:val="19"/>
              </w:rPr>
            </w:r>
            <w:r>
              <w:rPr>
                <w:rFonts w:ascii="Times New Roman" w:hAnsi="Times New Roman"/>
                <w:b w:val="0"/>
                <w:i w:val="0"/>
                <w:sz w:val="19"/>
              </w:rPr>
              <w:t>0.089</w:t>
            </w:r>
          </w:p>
        </w:tc>
      </w:tr>
      <w:tr>
        <w:tc>
          <w:tcPr>
            <w:tcW w:type="dxa" w:w="3120"/>
          </w:tcPr>
          <w:p>
            <w:pPr>
              <w:spacing w:line="240" w:lineRule="auto" w:after="40" w:before="40"/>
            </w:pPr>
            <w:r>
              <w:rPr>
                <w:sz w:val="19"/>
              </w:rPr>
            </w:r>
            <w:r>
              <w:rPr>
                <w:rFonts w:ascii="Times New Roman" w:hAnsi="Times New Roman"/>
                <w:b w:val="0"/>
                <w:i w:val="0"/>
                <w:sz w:val="19"/>
              </w:rPr>
              <w:t>Unspecified vehicle (n = 26,040)</w:t>
            </w:r>
          </w:p>
        </w:tc>
        <w:tc>
          <w:tcPr>
            <w:tcW w:type="dxa" w:w="3120"/>
          </w:tcPr>
          <w:p>
            <w:pPr>
              <w:spacing w:line="240" w:lineRule="auto" w:after="40" w:before="40"/>
            </w:pPr>
            <w:r>
              <w:rPr>
                <w:sz w:val="19"/>
              </w:rPr>
            </w:r>
            <w:r>
              <w:rPr>
                <w:rFonts w:ascii="Times New Roman" w:hAnsi="Times New Roman"/>
                <w:b w:val="0"/>
                <w:i w:val="0"/>
                <w:sz w:val="19"/>
              </w:rPr>
              <w:t>0.9894 (0.9696–1.0096)</w:t>
            </w:r>
          </w:p>
        </w:tc>
        <w:tc>
          <w:tcPr>
            <w:tcW w:type="dxa" w:w="3120"/>
          </w:tcPr>
          <w:p>
            <w:pPr>
              <w:spacing w:line="240" w:lineRule="auto" w:after="40" w:before="40"/>
            </w:pPr>
            <w:r>
              <w:rPr>
                <w:sz w:val="19"/>
              </w:rPr>
            </w:r>
            <w:r>
              <w:rPr>
                <w:rFonts w:ascii="Times New Roman" w:hAnsi="Times New Roman"/>
                <w:b w:val="0"/>
                <w:i w:val="0"/>
                <w:sz w:val="19"/>
              </w:rPr>
              <w:t>0.30</w:t>
            </w:r>
          </w:p>
        </w:tc>
      </w:tr>
    </w:tbl>
    <w:p>
      <w:pPr>
        <w:spacing w:after="120"/>
      </w:pPr>
    </w:p>
    <w:p>
      <w:pPr>
        <w:spacing w:before="0" w:after="0"/>
        <w:jc w:val="both"/>
      </w:pPr>
      <w:r>
        <w:rPr>
          <w:rFonts w:ascii="Times New Roman" w:hAnsi="Times New Roman"/>
          <w:b w:val="0"/>
          <w:i w:val="0"/>
        </w:rPr>
        <w:t>Interaction tests: wet season p = 0.91; male sex p = 0.96; age ≥65 p = 0.49.</w:t>
      </w:r>
    </w:p>
    <w:p>
      <w:pPr>
        <w:spacing w:before="0" w:after="0"/>
        <w:jc w:val="both"/>
      </w:pPr>
      <w:r>
        <w:rPr>
          <w:rFonts w:ascii="Times New Roman" w:hAnsi="Times New Roman"/>
          <w:b/>
          <w:i w:val="0"/>
        </w:rPr>
        <w:t>Conclusion.</w:t>
      </w:r>
      <w:r>
        <w:rPr>
          <w:rFonts w:ascii="Times New Roman" w:hAnsi="Times New Roman"/>
          <w:b w:val="0"/>
          <w:i w:val="0"/>
        </w:rPr>
        <w:t xml:space="preserve"> There is no evidence that crashes on hotter days are followed by faster death. A ceiling effect matters — with 76.7% dying on the day of the crash there is little room for the measure to move — and the interval is a crude severity proxy regardless.</w:t>
      </w:r>
    </w:p>
    <w:p>
      <w:pPr>
        <w:spacing w:after="200" w:line="312" w:lineRule="auto"/>
        <w:jc w:val="center"/>
      </w:pPr>
      <w:r>
        <w:rPr>
          <w:rFonts w:ascii="Times New Roman" w:hAnsi="Times New Roman"/>
          <w:b/>
          <w:sz w:val="30"/>
        </w:rPr>
        <w:t>S4. Minimum-risk-referenced estimates</w:t>
      </w:r>
    </w:p>
    <w:p>
      <w:pPr>
        <w:spacing w:before="0" w:after="0"/>
        <w:jc w:val="both"/>
      </w:pPr>
      <w:r>
        <w:rPr>
          <w:rFonts w:ascii="Times New Roman" w:hAnsi="Times New Roman"/>
          <w:b w:val="0"/>
          <w:i w:val="0"/>
        </w:rPr>
        <w:t>The four comparison studies anchor their heat estimate at or near the minimum-mortality point; the main analysis anchors at the median band, which is the appropriate choice for a burden decomposition but is not comparable to theirs. For the cross-study comparison only, the identical model — same strata, same rain adjustment — was refitted with the minimum-risk band (&lt;P5) as the omitted category, so that confidence intervals come from the same cluster-robust covariance rather than from dividing two point estimates.</w:t>
      </w:r>
    </w:p>
    <w:p>
      <w:r>
        <w:br w:type="page"/>
      </w:r>
    </w:p>
    <w:p>
      <w:pPr>
        <w:spacing w:before="280" w:after="80" w:line="360" w:lineRule="auto"/>
      </w:pPr>
      <w:r>
        <w:rPr>
          <w:rFonts w:ascii="Times New Roman" w:hAnsi="Times New Roman"/>
          <w:b/>
          <w:sz w:val="28"/>
        </w:rPr>
        <w:t>S4.1 All deaths, under two reference choices</w:t>
      </w:r>
    </w:p>
    <w:tbl>
      <w:tblPr>
        <w:tblStyle w:val="TableGrid"/>
        <w:tblW w:type="auto" w:w="0"/>
        <w:tblLayout w:type="autofit"/>
        <w:tblLook w:firstColumn="1" w:firstRow="1" w:lastColumn="0" w:lastRow="0" w:noHBand="0" w:noVBand="1" w:val="04A0"/>
      </w:tblPr>
      <w:tblGrid>
        <w:gridCol w:w="3120"/>
        <w:gridCol w:w="3120"/>
        <w:gridCol w:w="3120"/>
      </w:tblGrid>
      <w:tr>
        <w:tc>
          <w:tcPr>
            <w:tcW w:type="dxa" w:w="3120"/>
          </w:tcPr>
          <w:p>
            <w:pPr>
              <w:spacing w:line="240" w:lineRule="auto" w:after="40" w:before="40"/>
            </w:pPr>
            <w:r>
              <w:rPr>
                <w:b/>
                <w:sz w:val="19"/>
              </w:rPr>
            </w:r>
            <w:r>
              <w:rPr>
                <w:rFonts w:ascii="Times New Roman" w:hAnsi="Times New Roman"/>
                <w:b/>
                <w:i w:val="0"/>
                <w:sz w:val="19"/>
              </w:rPr>
              <w:t>Band</w:t>
            </w:r>
          </w:p>
        </w:tc>
        <w:tc>
          <w:tcPr>
            <w:tcW w:type="dxa" w:w="3120"/>
          </w:tcPr>
          <w:p>
            <w:pPr>
              <w:spacing w:line="240" w:lineRule="auto" w:after="40" w:before="40"/>
            </w:pPr>
            <w:r>
              <w:rPr>
                <w:b/>
                <w:sz w:val="19"/>
              </w:rPr>
            </w:r>
            <w:r>
              <w:rPr>
                <w:rFonts w:ascii="Times New Roman" w:hAnsi="Times New Roman"/>
                <w:b/>
                <w:i w:val="0"/>
                <w:sz w:val="19"/>
              </w:rPr>
              <w:t>Reference = P40–60 (median)</w:t>
            </w:r>
          </w:p>
        </w:tc>
        <w:tc>
          <w:tcPr>
            <w:tcW w:type="dxa" w:w="3120"/>
          </w:tcPr>
          <w:p>
            <w:pPr>
              <w:spacing w:line="240" w:lineRule="auto" w:after="40" w:before="40"/>
            </w:pPr>
            <w:r>
              <w:rPr>
                <w:b/>
                <w:sz w:val="19"/>
              </w:rPr>
            </w:r>
            <w:r>
              <w:rPr>
                <w:rFonts w:ascii="Times New Roman" w:hAnsi="Times New Roman"/>
                <w:b/>
                <w:i w:val="0"/>
                <w:sz w:val="19"/>
              </w:rPr>
              <w:t>Reference = &lt;P5 (minimum risk)</w:t>
            </w:r>
          </w:p>
        </w:tc>
      </w:tr>
      <w:tr>
        <w:tc>
          <w:tcPr>
            <w:tcW w:type="dxa" w:w="3120"/>
          </w:tcPr>
          <w:p>
            <w:pPr>
              <w:spacing w:line="240" w:lineRule="auto" w:after="40" w:before="40"/>
            </w:pPr>
            <w:r>
              <w:rPr>
                <w:sz w:val="19"/>
              </w:rPr>
            </w:r>
            <w:r>
              <w:rPr>
                <w:rFonts w:ascii="Times New Roman" w:hAnsi="Times New Roman"/>
                <w:b w:val="0"/>
                <w:i w:val="0"/>
                <w:sz w:val="19"/>
              </w:rPr>
              <w:t>&lt;P5</w:t>
            </w:r>
          </w:p>
        </w:tc>
        <w:tc>
          <w:tcPr>
            <w:tcW w:type="dxa" w:w="3120"/>
          </w:tcPr>
          <w:p>
            <w:pPr>
              <w:spacing w:line="240" w:lineRule="auto" w:after="40" w:before="40"/>
            </w:pPr>
            <w:r>
              <w:rPr>
                <w:sz w:val="19"/>
              </w:rPr>
            </w:r>
            <w:r>
              <w:rPr>
                <w:rFonts w:ascii="Times New Roman" w:hAnsi="Times New Roman"/>
                <w:b w:val="0"/>
                <w:i w:val="0"/>
                <w:sz w:val="19"/>
              </w:rPr>
              <w:t>0.950 (0.924–0.976)</w:t>
            </w:r>
          </w:p>
        </w:tc>
        <w:tc>
          <w:tcPr>
            <w:tcW w:type="dxa" w:w="3120"/>
          </w:tcPr>
          <w:p>
            <w:pPr>
              <w:spacing w:line="240" w:lineRule="auto" w:after="40" w:before="40"/>
            </w:pPr>
            <w:r>
              <w:rPr>
                <w:sz w:val="19"/>
              </w:rPr>
            </w:r>
            <w:r>
              <w:rPr>
                <w:rFonts w:ascii="Times New Roman" w:hAnsi="Times New Roman"/>
                <w:b w:val="0"/>
                <w:i w:val="0"/>
                <w:sz w:val="19"/>
              </w:rPr>
              <w:t>1.000 (reference)</w:t>
            </w:r>
          </w:p>
        </w:tc>
      </w:tr>
      <w:tr>
        <w:tc>
          <w:tcPr>
            <w:tcW w:type="dxa" w:w="3120"/>
          </w:tcPr>
          <w:p>
            <w:pPr>
              <w:spacing w:line="240" w:lineRule="auto" w:after="40" w:before="40"/>
            </w:pPr>
            <w:r>
              <w:rPr>
                <w:sz w:val="19"/>
              </w:rPr>
            </w:r>
            <w:r>
              <w:rPr>
                <w:rFonts w:ascii="Times New Roman" w:hAnsi="Times New Roman"/>
                <w:b w:val="0"/>
                <w:i w:val="0"/>
                <w:sz w:val="19"/>
              </w:rPr>
              <w:t>P5–25</w:t>
            </w:r>
          </w:p>
        </w:tc>
        <w:tc>
          <w:tcPr>
            <w:tcW w:type="dxa" w:w="3120"/>
          </w:tcPr>
          <w:p>
            <w:pPr>
              <w:spacing w:line="240" w:lineRule="auto" w:after="40" w:before="40"/>
            </w:pPr>
            <w:r>
              <w:rPr>
                <w:sz w:val="19"/>
              </w:rPr>
            </w:r>
            <w:r>
              <w:rPr>
                <w:rFonts w:ascii="Times New Roman" w:hAnsi="Times New Roman"/>
                <w:b w:val="0"/>
                <w:i w:val="0"/>
                <w:sz w:val="19"/>
              </w:rPr>
              <w:t>0.968 (0.952–0.985)</w:t>
            </w:r>
          </w:p>
        </w:tc>
        <w:tc>
          <w:tcPr>
            <w:tcW w:type="dxa" w:w="3120"/>
          </w:tcPr>
          <w:p>
            <w:pPr>
              <w:spacing w:line="240" w:lineRule="auto" w:after="40" w:before="40"/>
            </w:pPr>
            <w:r>
              <w:rPr>
                <w:sz w:val="19"/>
              </w:rPr>
            </w:r>
            <w:r>
              <w:rPr>
                <w:rFonts w:ascii="Times New Roman" w:hAnsi="Times New Roman"/>
                <w:b w:val="0"/>
                <w:i w:val="0"/>
                <w:sz w:val="19"/>
              </w:rPr>
              <w:t>1.019 (0.994–1.045)</w:t>
            </w:r>
          </w:p>
        </w:tc>
      </w:tr>
      <w:tr>
        <w:tc>
          <w:tcPr>
            <w:tcW w:type="dxa" w:w="3120"/>
          </w:tcPr>
          <w:p>
            <w:pPr>
              <w:spacing w:line="240" w:lineRule="auto" w:after="40" w:before="40"/>
            </w:pPr>
            <w:r>
              <w:rPr>
                <w:sz w:val="19"/>
              </w:rPr>
            </w:r>
            <w:r>
              <w:rPr>
                <w:rFonts w:ascii="Times New Roman" w:hAnsi="Times New Roman"/>
                <w:b w:val="0"/>
                <w:i w:val="0"/>
                <w:sz w:val="19"/>
              </w:rPr>
              <w:t>P25–40</w:t>
            </w:r>
          </w:p>
        </w:tc>
        <w:tc>
          <w:tcPr>
            <w:tcW w:type="dxa" w:w="3120"/>
          </w:tcPr>
          <w:p>
            <w:pPr>
              <w:spacing w:line="240" w:lineRule="auto" w:after="40" w:before="40"/>
            </w:pPr>
            <w:r>
              <w:rPr>
                <w:sz w:val="19"/>
              </w:rPr>
            </w:r>
            <w:r>
              <w:rPr>
                <w:rFonts w:ascii="Times New Roman" w:hAnsi="Times New Roman"/>
                <w:b w:val="0"/>
                <w:i w:val="0"/>
                <w:sz w:val="19"/>
              </w:rPr>
              <w:t>0.987 (0.969–1.006)</w:t>
            </w:r>
          </w:p>
        </w:tc>
        <w:tc>
          <w:tcPr>
            <w:tcW w:type="dxa" w:w="3120"/>
          </w:tcPr>
          <w:p>
            <w:pPr>
              <w:spacing w:line="240" w:lineRule="auto" w:after="40" w:before="40"/>
            </w:pPr>
            <w:r>
              <w:rPr>
                <w:sz w:val="19"/>
              </w:rPr>
            </w:r>
            <w:r>
              <w:rPr>
                <w:rFonts w:ascii="Times New Roman" w:hAnsi="Times New Roman"/>
                <w:b w:val="0"/>
                <w:i w:val="0"/>
                <w:sz w:val="19"/>
              </w:rPr>
              <w:t>1.039 (1.010–1.068)</w:t>
            </w:r>
          </w:p>
        </w:tc>
      </w:tr>
      <w:tr>
        <w:tc>
          <w:tcPr>
            <w:tcW w:type="dxa" w:w="3120"/>
          </w:tcPr>
          <w:p>
            <w:pPr>
              <w:spacing w:line="240" w:lineRule="auto" w:after="40" w:before="40"/>
            </w:pPr>
            <w:r>
              <w:rPr>
                <w:sz w:val="19"/>
              </w:rPr>
            </w:r>
            <w:r>
              <w:rPr>
                <w:rFonts w:ascii="Times New Roman" w:hAnsi="Times New Roman"/>
                <w:b w:val="0"/>
                <w:i w:val="0"/>
                <w:sz w:val="19"/>
              </w:rPr>
              <w:t>P40–60</w:t>
            </w:r>
          </w:p>
        </w:tc>
        <w:tc>
          <w:tcPr>
            <w:tcW w:type="dxa" w:w="3120"/>
          </w:tcPr>
          <w:p>
            <w:pPr>
              <w:spacing w:line="240" w:lineRule="auto" w:after="40" w:before="40"/>
            </w:pPr>
            <w:r>
              <w:rPr>
                <w:sz w:val="19"/>
              </w:rPr>
            </w:r>
            <w:r>
              <w:rPr>
                <w:rFonts w:ascii="Times New Roman" w:hAnsi="Times New Roman"/>
                <w:b w:val="0"/>
                <w:i w:val="0"/>
                <w:sz w:val="19"/>
              </w:rPr>
              <w:t>1.000 (reference)</w:t>
            </w:r>
          </w:p>
        </w:tc>
        <w:tc>
          <w:tcPr>
            <w:tcW w:type="dxa" w:w="3120"/>
          </w:tcPr>
          <w:p>
            <w:pPr>
              <w:spacing w:line="240" w:lineRule="auto" w:after="40" w:before="40"/>
            </w:pPr>
            <w:r>
              <w:rPr>
                <w:sz w:val="19"/>
              </w:rPr>
            </w:r>
            <w:r>
              <w:rPr>
                <w:rFonts w:ascii="Times New Roman" w:hAnsi="Times New Roman"/>
                <w:b w:val="0"/>
                <w:i w:val="0"/>
                <w:sz w:val="19"/>
              </w:rPr>
              <w:t>1.053 (1.024–1.082)</w:t>
            </w:r>
          </w:p>
        </w:tc>
      </w:tr>
      <w:tr>
        <w:tc>
          <w:tcPr>
            <w:tcW w:type="dxa" w:w="3120"/>
          </w:tcPr>
          <w:p>
            <w:pPr>
              <w:spacing w:line="240" w:lineRule="auto" w:after="40" w:before="40"/>
            </w:pPr>
            <w:r>
              <w:rPr>
                <w:sz w:val="19"/>
              </w:rPr>
            </w:r>
            <w:r>
              <w:rPr>
                <w:rFonts w:ascii="Times New Roman" w:hAnsi="Times New Roman"/>
                <w:b w:val="0"/>
                <w:i w:val="0"/>
                <w:sz w:val="19"/>
              </w:rPr>
              <w:t>P60–75</w:t>
            </w:r>
          </w:p>
        </w:tc>
        <w:tc>
          <w:tcPr>
            <w:tcW w:type="dxa" w:w="3120"/>
          </w:tcPr>
          <w:p>
            <w:pPr>
              <w:spacing w:line="240" w:lineRule="auto" w:after="40" w:before="40"/>
            </w:pPr>
            <w:r>
              <w:rPr>
                <w:sz w:val="19"/>
              </w:rPr>
            </w:r>
            <w:r>
              <w:rPr>
                <w:rFonts w:ascii="Times New Roman" w:hAnsi="Times New Roman"/>
                <w:b w:val="0"/>
                <w:i w:val="0"/>
                <w:sz w:val="19"/>
              </w:rPr>
              <w:t>1.033 (1.017–1.049)</w:t>
            </w:r>
          </w:p>
        </w:tc>
        <w:tc>
          <w:tcPr>
            <w:tcW w:type="dxa" w:w="3120"/>
          </w:tcPr>
          <w:p>
            <w:pPr>
              <w:spacing w:line="240" w:lineRule="auto" w:after="40" w:before="40"/>
            </w:pPr>
            <w:r>
              <w:rPr>
                <w:sz w:val="19"/>
              </w:rPr>
            </w:r>
            <w:r>
              <w:rPr>
                <w:rFonts w:ascii="Times New Roman" w:hAnsi="Times New Roman"/>
                <w:b w:val="0"/>
                <w:i w:val="0"/>
                <w:sz w:val="19"/>
              </w:rPr>
              <w:t>1.087 (1.054–1.122)</w:t>
            </w:r>
          </w:p>
        </w:tc>
      </w:tr>
      <w:tr>
        <w:tc>
          <w:tcPr>
            <w:tcW w:type="dxa" w:w="3120"/>
          </w:tcPr>
          <w:p>
            <w:pPr>
              <w:spacing w:line="240" w:lineRule="auto" w:after="40" w:before="40"/>
            </w:pPr>
            <w:r>
              <w:rPr>
                <w:sz w:val="19"/>
              </w:rPr>
            </w:r>
            <w:r>
              <w:rPr>
                <w:rFonts w:ascii="Times New Roman" w:hAnsi="Times New Roman"/>
                <w:b w:val="0"/>
                <w:i w:val="0"/>
                <w:sz w:val="19"/>
              </w:rPr>
              <w:t>P75–90</w:t>
            </w:r>
          </w:p>
        </w:tc>
        <w:tc>
          <w:tcPr>
            <w:tcW w:type="dxa" w:w="3120"/>
          </w:tcPr>
          <w:p>
            <w:pPr>
              <w:spacing w:line="240" w:lineRule="auto" w:after="40" w:before="40"/>
            </w:pPr>
            <w:r>
              <w:rPr>
                <w:sz w:val="19"/>
              </w:rPr>
            </w:r>
            <w:r>
              <w:rPr>
                <w:rFonts w:ascii="Times New Roman" w:hAnsi="Times New Roman"/>
                <w:b w:val="0"/>
                <w:i w:val="0"/>
                <w:sz w:val="19"/>
              </w:rPr>
              <w:t>1.045 (1.023–1.068)</w:t>
            </w:r>
          </w:p>
        </w:tc>
        <w:tc>
          <w:tcPr>
            <w:tcW w:type="dxa" w:w="3120"/>
          </w:tcPr>
          <w:p>
            <w:pPr>
              <w:spacing w:line="240" w:lineRule="auto" w:after="40" w:before="40"/>
            </w:pPr>
            <w:r>
              <w:rPr>
                <w:sz w:val="19"/>
              </w:rPr>
            </w:r>
            <w:r>
              <w:rPr>
                <w:rFonts w:ascii="Times New Roman" w:hAnsi="Times New Roman"/>
                <w:b w:val="0"/>
                <w:i w:val="0"/>
                <w:sz w:val="19"/>
              </w:rPr>
              <w:t>1.100 (1.066–1.136)</w:t>
            </w:r>
          </w:p>
        </w:tc>
      </w:tr>
      <w:tr>
        <w:tc>
          <w:tcPr>
            <w:tcW w:type="dxa" w:w="3120"/>
          </w:tcPr>
          <w:p>
            <w:pPr>
              <w:spacing w:line="240" w:lineRule="auto" w:after="40" w:before="40"/>
            </w:pPr>
            <w:r>
              <w:rPr>
                <w:sz w:val="19"/>
              </w:rPr>
            </w:r>
            <w:r>
              <w:rPr>
                <w:rFonts w:ascii="Times New Roman" w:hAnsi="Times New Roman"/>
                <w:b w:val="0"/>
                <w:i w:val="0"/>
                <w:sz w:val="19"/>
              </w:rPr>
              <w:t>P90–95</w:t>
            </w:r>
          </w:p>
        </w:tc>
        <w:tc>
          <w:tcPr>
            <w:tcW w:type="dxa" w:w="3120"/>
          </w:tcPr>
          <w:p>
            <w:pPr>
              <w:spacing w:line="240" w:lineRule="auto" w:after="40" w:before="40"/>
            </w:pPr>
            <w:r>
              <w:rPr>
                <w:sz w:val="19"/>
              </w:rPr>
            </w:r>
            <w:r>
              <w:rPr>
                <w:rFonts w:ascii="Times New Roman" w:hAnsi="Times New Roman"/>
                <w:b w:val="0"/>
                <w:i w:val="0"/>
                <w:sz w:val="19"/>
              </w:rPr>
              <w:t>1.044 (1.015–1.073)</w:t>
            </w:r>
          </w:p>
        </w:tc>
        <w:tc>
          <w:tcPr>
            <w:tcW w:type="dxa" w:w="3120"/>
          </w:tcPr>
          <w:p>
            <w:pPr>
              <w:spacing w:line="240" w:lineRule="auto" w:after="40" w:before="40"/>
            </w:pPr>
            <w:r>
              <w:rPr>
                <w:sz w:val="19"/>
              </w:rPr>
            </w:r>
            <w:r>
              <w:rPr>
                <w:rFonts w:ascii="Times New Roman" w:hAnsi="Times New Roman"/>
                <w:b w:val="0"/>
                <w:i w:val="0"/>
                <w:sz w:val="19"/>
              </w:rPr>
              <w:t>1.098 (1.059–1.140)</w:t>
            </w:r>
          </w:p>
        </w:tc>
      </w:tr>
      <w:tr>
        <w:tc>
          <w:tcPr>
            <w:tcW w:type="dxa" w:w="3120"/>
          </w:tcPr>
          <w:p>
            <w:pPr>
              <w:spacing w:line="240" w:lineRule="auto" w:after="40" w:before="40"/>
            </w:pPr>
            <w:r>
              <w:rPr>
                <w:sz w:val="19"/>
              </w:rPr>
            </w:r>
            <w:r>
              <w:rPr>
                <w:rFonts w:ascii="Times New Roman" w:hAnsi="Times New Roman"/>
                <w:b w:val="0"/>
                <w:i w:val="0"/>
                <w:sz w:val="19"/>
              </w:rPr>
              <w:t>P95–99</w:t>
            </w:r>
          </w:p>
        </w:tc>
        <w:tc>
          <w:tcPr>
            <w:tcW w:type="dxa" w:w="3120"/>
          </w:tcPr>
          <w:p>
            <w:pPr>
              <w:spacing w:line="240" w:lineRule="auto" w:after="40" w:before="40"/>
            </w:pPr>
            <w:r>
              <w:rPr>
                <w:sz w:val="19"/>
              </w:rPr>
            </w:r>
            <w:r>
              <w:rPr>
                <w:rFonts w:ascii="Times New Roman" w:hAnsi="Times New Roman"/>
                <w:b/>
                <w:i w:val="0"/>
                <w:sz w:val="19"/>
              </w:rPr>
              <w:t>1.050</w:t>
            </w:r>
            <w:r>
              <w:rPr>
                <w:rFonts w:ascii="Times New Roman" w:hAnsi="Times New Roman"/>
                <w:b w:val="0"/>
                <w:i w:val="0"/>
                <w:sz w:val="19"/>
              </w:rPr>
              <w:t xml:space="preserve"> (1.018–1.083)</w:t>
            </w:r>
          </w:p>
        </w:tc>
        <w:tc>
          <w:tcPr>
            <w:tcW w:type="dxa" w:w="3120"/>
          </w:tcPr>
          <w:p>
            <w:pPr>
              <w:spacing w:line="240" w:lineRule="auto" w:after="40" w:before="40"/>
            </w:pPr>
            <w:r>
              <w:rPr>
                <w:sz w:val="19"/>
              </w:rPr>
            </w:r>
            <w:r>
              <w:rPr>
                <w:rFonts w:ascii="Times New Roman" w:hAnsi="Times New Roman"/>
                <w:b/>
                <w:i w:val="0"/>
                <w:sz w:val="19"/>
              </w:rPr>
              <w:t>1.106</w:t>
            </w:r>
            <w:r>
              <w:rPr>
                <w:rFonts w:ascii="Times New Roman" w:hAnsi="Times New Roman"/>
                <w:b w:val="0"/>
                <w:i w:val="0"/>
                <w:sz w:val="19"/>
              </w:rPr>
              <w:t xml:space="preserve"> (1.062–1.151)</w:t>
            </w:r>
          </w:p>
        </w:tc>
      </w:tr>
      <w:tr>
        <w:tc>
          <w:tcPr>
            <w:tcW w:type="dxa" w:w="3120"/>
          </w:tcPr>
          <w:p>
            <w:pPr>
              <w:spacing w:line="240" w:lineRule="auto" w:after="40" w:before="40"/>
            </w:pPr>
            <w:r>
              <w:rPr>
                <w:sz w:val="19"/>
              </w:rPr>
            </w:r>
            <w:r>
              <w:rPr>
                <w:rFonts w:ascii="Times New Roman" w:hAnsi="Times New Roman"/>
                <w:b w:val="0"/>
                <w:i w:val="0"/>
                <w:sz w:val="19"/>
              </w:rPr>
              <w:t>≥P99</w:t>
            </w:r>
          </w:p>
        </w:tc>
        <w:tc>
          <w:tcPr>
            <w:tcW w:type="dxa" w:w="3120"/>
          </w:tcPr>
          <w:p>
            <w:pPr>
              <w:spacing w:line="240" w:lineRule="auto" w:after="40" w:before="40"/>
            </w:pPr>
            <w:r>
              <w:rPr>
                <w:sz w:val="19"/>
              </w:rPr>
            </w:r>
            <w:r>
              <w:rPr>
                <w:rFonts w:ascii="Times New Roman" w:hAnsi="Times New Roman"/>
                <w:b w:val="0"/>
                <w:i w:val="0"/>
                <w:sz w:val="19"/>
              </w:rPr>
              <w:t>1.041 (0.979–1.108)</w:t>
            </w:r>
          </w:p>
        </w:tc>
        <w:tc>
          <w:tcPr>
            <w:tcW w:type="dxa" w:w="3120"/>
          </w:tcPr>
          <w:p>
            <w:pPr>
              <w:spacing w:line="240" w:lineRule="auto" w:after="40" w:before="40"/>
            </w:pPr>
            <w:r>
              <w:rPr>
                <w:sz w:val="19"/>
              </w:rPr>
            </w:r>
            <w:r>
              <w:rPr>
                <w:rFonts w:ascii="Times New Roman" w:hAnsi="Times New Roman"/>
                <w:b w:val="0"/>
                <w:i w:val="0"/>
                <w:sz w:val="19"/>
              </w:rPr>
              <w:t>1.096 (1.033–1.163)</w:t>
            </w:r>
          </w:p>
        </w:tc>
      </w:tr>
    </w:tbl>
    <w:p>
      <w:pPr>
        <w:spacing w:after="120"/>
      </w:pPr>
    </w:p>
    <w:p>
      <w:pPr>
        <w:spacing w:before="0" w:after="0"/>
        <w:jc w:val="both"/>
      </w:pPr>
      <w:r>
        <w:rPr>
          <w:rFonts w:ascii="Times New Roman" w:hAnsi="Times New Roman"/>
          <w:b w:val="0"/>
          <w:i w:val="0"/>
        </w:rPr>
        <w:t xml:space="preserve">Re-referencing moves the all-deaths P95–99 estimate from 1.050 to 1.106 (1.062–1.151), against 1.16 in Hsu </w:t>
      </w:r>
      <w:r>
        <w:rPr>
          <w:rFonts w:ascii="Times New Roman" w:hAnsi="Times New Roman"/>
          <w:b w:val="0"/>
          <w:i/>
        </w:rPr>
        <w:t>et al.</w:t>
      </w:r>
      <w:r>
        <w:rPr>
          <w:rFonts w:ascii="Times New Roman" w:hAnsi="Times New Roman"/>
          <w:b w:val="0"/>
          <w:i w:val="0"/>
        </w:rPr>
        <w:t xml:space="preserve"> (2025). It therefore closes most of the gap but not all of it.</w:t>
      </w:r>
    </w:p>
    <w:p>
      <w:r>
        <w:br w:type="page"/>
      </w:r>
    </w:p>
    <w:p>
      <w:pPr>
        <w:spacing w:before="280" w:after="80" w:line="360" w:lineRule="auto"/>
      </w:pPr>
      <w:r>
        <w:rPr>
          <w:rFonts w:ascii="Times New Roman" w:hAnsi="Times New Roman"/>
          <w:b/>
          <w:sz w:val="28"/>
        </w:rPr>
        <w:t>S4.2 By road-user type, against the minimum-risk band</w:t>
      </w:r>
    </w:p>
    <w:tbl>
      <w:tblPr>
        <w:tblStyle w:val="TableGrid"/>
        <w:tblW w:type="auto" w:w="0"/>
        <w:tblLayout w:type="autofit"/>
        <w:tblLook w:firstColumn="1" w:firstRow="1" w:lastColumn="0" w:lastRow="0" w:noHBand="0" w:noVBand="1" w:val="04A0"/>
      </w:tblPr>
      <w:tblGrid>
        <w:gridCol w:w="1560"/>
        <w:gridCol w:w="1560"/>
        <w:gridCol w:w="1560"/>
        <w:gridCol w:w="1560"/>
        <w:gridCol w:w="1560"/>
        <w:gridCol w:w="1560"/>
      </w:tblGrid>
      <w:tr>
        <w:tc>
          <w:tcPr>
            <w:tcW w:type="dxa" w:w="1560"/>
          </w:tcPr>
          <w:p>
            <w:pPr>
              <w:spacing w:line="240" w:lineRule="auto" w:after="40" w:before="40"/>
            </w:pPr>
            <w:r>
              <w:rPr>
                <w:b/>
                <w:sz w:val="19"/>
              </w:rPr>
            </w:r>
            <w:r>
              <w:rPr>
                <w:rFonts w:ascii="Times New Roman" w:hAnsi="Times New Roman"/>
                <w:b/>
                <w:i w:val="0"/>
                <w:sz w:val="19"/>
              </w:rPr>
              <w:t>Road user</w:t>
            </w:r>
          </w:p>
        </w:tc>
        <w:tc>
          <w:tcPr>
            <w:tcW w:type="dxa" w:w="1560"/>
          </w:tcPr>
          <w:p>
            <w:pPr>
              <w:spacing w:line="240" w:lineRule="auto" w:after="40" w:before="40"/>
            </w:pPr>
            <w:r>
              <w:rPr>
                <w:b/>
                <w:sz w:val="19"/>
              </w:rPr>
            </w:r>
            <w:r>
              <w:rPr>
                <w:rFonts w:ascii="Times New Roman" w:hAnsi="Times New Roman"/>
                <w:b/>
                <w:i w:val="0"/>
                <w:sz w:val="19"/>
              </w:rPr>
              <w:t>Deaths</w:t>
            </w:r>
          </w:p>
        </w:tc>
        <w:tc>
          <w:tcPr>
            <w:tcW w:type="dxa" w:w="1560"/>
          </w:tcPr>
          <w:p>
            <w:pPr>
              <w:spacing w:line="240" w:lineRule="auto" w:after="40" w:before="40"/>
            </w:pPr>
            <w:r>
              <w:rPr>
                <w:b/>
                <w:sz w:val="19"/>
              </w:rPr>
            </w:r>
            <w:r>
              <w:rPr>
                <w:rFonts w:ascii="Times New Roman" w:hAnsi="Times New Roman"/>
                <w:b/>
                <w:i w:val="0"/>
                <w:sz w:val="19"/>
              </w:rPr>
              <w:t>P95–99</w:t>
            </w:r>
          </w:p>
        </w:tc>
        <w:tc>
          <w:tcPr>
            <w:tcW w:type="dxa" w:w="1560"/>
          </w:tcPr>
          <w:p>
            <w:pPr>
              <w:spacing w:line="240" w:lineRule="auto" w:after="40" w:before="40"/>
            </w:pPr>
            <w:r>
              <w:rPr>
                <w:b/>
                <w:sz w:val="19"/>
              </w:rPr>
            </w:r>
            <w:r>
              <w:rPr>
                <w:rFonts w:ascii="Times New Roman" w:hAnsi="Times New Roman"/>
                <w:b/>
                <w:i w:val="0"/>
                <w:sz w:val="19"/>
              </w:rPr>
              <w:t>≥P99</w:t>
            </w:r>
          </w:p>
        </w:tc>
        <w:tc>
          <w:tcPr>
            <w:tcW w:type="dxa" w:w="1560"/>
          </w:tcPr>
          <w:p>
            <w:pPr>
              <w:spacing w:line="240" w:lineRule="auto" w:after="40" w:before="40"/>
            </w:pPr>
            <w:r>
              <w:rPr>
                <w:b/>
                <w:sz w:val="19"/>
              </w:rPr>
            </w:r>
            <w:r>
              <w:rPr>
                <w:rFonts w:ascii="Times New Roman" w:hAnsi="Times New Roman"/>
                <w:b/>
                <w:i w:val="0"/>
                <w:sz w:val="19"/>
              </w:rPr>
              <w:t xml:space="preserve">Hsu </w:t>
            </w:r>
            <w:r>
              <w:rPr>
                <w:rFonts w:ascii="Times New Roman" w:hAnsi="Times New Roman"/>
                <w:b/>
                <w:i/>
                <w:sz w:val="19"/>
              </w:rPr>
              <w:t>et al.</w:t>
            </w:r>
            <w:r>
              <w:rPr>
                <w:rFonts w:ascii="Times New Roman" w:hAnsi="Times New Roman"/>
                <w:b/>
                <w:i w:val="0"/>
                <w:sz w:val="19"/>
              </w:rPr>
              <w:t xml:space="preserve"> at P95 †</w:t>
            </w:r>
          </w:p>
        </w:tc>
        <w:tc>
          <w:tcPr>
            <w:tcW w:type="dxa" w:w="1560"/>
          </w:tcPr>
          <w:p>
            <w:pPr>
              <w:spacing w:line="240" w:lineRule="auto" w:after="40" w:before="40"/>
            </w:pPr>
            <w:r>
              <w:rPr>
                <w:b/>
                <w:sz w:val="19"/>
              </w:rPr>
            </w:r>
            <w:r>
              <w:rPr>
                <w:rFonts w:ascii="Times New Roman" w:hAnsi="Times New Roman"/>
                <w:b/>
                <w:i w:val="0"/>
                <w:sz w:val="19"/>
              </w:rPr>
              <w:t>at P99 †</w:t>
            </w:r>
          </w:p>
        </w:tc>
      </w:tr>
      <w:tr>
        <w:tc>
          <w:tcPr>
            <w:tcW w:type="dxa" w:w="1560"/>
          </w:tcPr>
          <w:p>
            <w:pPr>
              <w:spacing w:line="240" w:lineRule="auto" w:after="40" w:before="40"/>
            </w:pPr>
            <w:r>
              <w:rPr>
                <w:sz w:val="19"/>
              </w:rPr>
            </w:r>
            <w:r>
              <w:rPr>
                <w:rFonts w:ascii="Times New Roman" w:hAnsi="Times New Roman"/>
                <w:b/>
                <w:i w:val="0"/>
                <w:sz w:val="19"/>
              </w:rPr>
              <w:t>Motorcycle riders</w:t>
            </w:r>
          </w:p>
        </w:tc>
        <w:tc>
          <w:tcPr>
            <w:tcW w:type="dxa" w:w="1560"/>
          </w:tcPr>
          <w:p>
            <w:pPr>
              <w:spacing w:line="240" w:lineRule="auto" w:after="40" w:before="40"/>
            </w:pPr>
            <w:r>
              <w:rPr>
                <w:sz w:val="19"/>
              </w:rPr>
            </w:r>
            <w:r>
              <w:rPr>
                <w:rFonts w:ascii="Times New Roman" w:hAnsi="Times New Roman"/>
                <w:b w:val="0"/>
                <w:i w:val="0"/>
                <w:sz w:val="19"/>
              </w:rPr>
              <w:t>116,327</w:t>
            </w:r>
          </w:p>
        </w:tc>
        <w:tc>
          <w:tcPr>
            <w:tcW w:type="dxa" w:w="1560"/>
          </w:tcPr>
          <w:p>
            <w:pPr>
              <w:spacing w:line="240" w:lineRule="auto" w:after="40" w:before="40"/>
            </w:pPr>
            <w:r>
              <w:rPr>
                <w:sz w:val="19"/>
              </w:rPr>
            </w:r>
            <w:r>
              <w:rPr>
                <w:rFonts w:ascii="Times New Roman" w:hAnsi="Times New Roman"/>
                <w:b/>
                <w:i w:val="0"/>
                <w:sz w:val="19"/>
              </w:rPr>
              <w:t>1.193</w:t>
            </w:r>
            <w:r>
              <w:rPr>
                <w:rFonts w:ascii="Times New Roman" w:hAnsi="Times New Roman"/>
                <w:b w:val="0"/>
                <w:i w:val="0"/>
                <w:sz w:val="19"/>
              </w:rPr>
              <w:t xml:space="preserve"> (1.126–1.265)</w:t>
            </w:r>
          </w:p>
        </w:tc>
        <w:tc>
          <w:tcPr>
            <w:tcW w:type="dxa" w:w="1560"/>
          </w:tcPr>
          <w:p>
            <w:pPr>
              <w:spacing w:line="240" w:lineRule="auto" w:after="40" w:before="40"/>
            </w:pPr>
            <w:r>
              <w:rPr>
                <w:sz w:val="19"/>
              </w:rPr>
            </w:r>
            <w:r>
              <w:rPr>
                <w:rFonts w:ascii="Times New Roman" w:hAnsi="Times New Roman"/>
                <w:b w:val="0"/>
                <w:i w:val="0"/>
                <w:sz w:val="19"/>
              </w:rPr>
              <w:t>1.161 (1.059–1.273)</w:t>
            </w:r>
          </w:p>
        </w:tc>
        <w:tc>
          <w:tcPr>
            <w:tcW w:type="dxa" w:w="1560"/>
          </w:tcPr>
          <w:p>
            <w:pPr>
              <w:spacing w:line="240" w:lineRule="auto" w:after="40" w:before="40"/>
            </w:pPr>
            <w:r>
              <w:rPr>
                <w:sz w:val="19"/>
              </w:rPr>
            </w:r>
            <w:r>
              <w:rPr>
                <w:rFonts w:ascii="Times New Roman" w:hAnsi="Times New Roman"/>
                <w:b/>
                <w:i w:val="0"/>
                <w:sz w:val="19"/>
              </w:rPr>
              <w:t>1.24</w:t>
            </w:r>
          </w:p>
        </w:tc>
        <w:tc>
          <w:tcPr>
            <w:tcW w:type="dxa" w:w="1560"/>
          </w:tcPr>
          <w:p>
            <w:pPr>
              <w:spacing w:line="240" w:lineRule="auto" w:after="40" w:before="40"/>
            </w:pPr>
            <w:r>
              <w:rPr>
                <w:sz w:val="19"/>
              </w:rPr>
            </w:r>
            <w:r>
              <w:rPr>
                <w:rFonts w:ascii="Times New Roman" w:hAnsi="Times New Roman"/>
                <w:b/>
                <w:i w:val="0"/>
                <w:sz w:val="19"/>
              </w:rPr>
              <w:t>1.27</w:t>
            </w:r>
          </w:p>
        </w:tc>
      </w:tr>
      <w:tr>
        <w:tc>
          <w:tcPr>
            <w:tcW w:type="dxa" w:w="1560"/>
          </w:tcPr>
          <w:p>
            <w:pPr>
              <w:spacing w:line="240" w:lineRule="auto" w:after="40" w:before="40"/>
            </w:pPr>
            <w:r>
              <w:rPr>
                <w:sz w:val="19"/>
              </w:rPr>
            </w:r>
            <w:r>
              <w:rPr>
                <w:rFonts w:ascii="Times New Roman" w:hAnsi="Times New Roman"/>
                <w:b w:val="0"/>
                <w:i w:val="0"/>
                <w:sz w:val="19"/>
              </w:rPr>
              <w:t>All exposed road users</w:t>
            </w:r>
          </w:p>
        </w:tc>
        <w:tc>
          <w:tcPr>
            <w:tcW w:type="dxa" w:w="1560"/>
          </w:tcPr>
          <w:p>
            <w:pPr>
              <w:spacing w:line="240" w:lineRule="auto" w:after="40" w:before="40"/>
            </w:pPr>
            <w:r>
              <w:rPr>
                <w:sz w:val="19"/>
              </w:rPr>
            </w:r>
            <w:r>
              <w:rPr>
                <w:rFonts w:ascii="Times New Roman" w:hAnsi="Times New Roman"/>
                <w:b w:val="0"/>
                <w:i w:val="0"/>
                <w:sz w:val="19"/>
              </w:rPr>
              <w:t>126,668</w:t>
            </w:r>
          </w:p>
        </w:tc>
        <w:tc>
          <w:tcPr>
            <w:tcW w:type="dxa" w:w="1560"/>
          </w:tcPr>
          <w:p>
            <w:pPr>
              <w:spacing w:line="240" w:lineRule="auto" w:after="40" w:before="40"/>
            </w:pPr>
            <w:r>
              <w:rPr>
                <w:sz w:val="19"/>
              </w:rPr>
            </w:r>
            <w:r>
              <w:rPr>
                <w:rFonts w:ascii="Times New Roman" w:hAnsi="Times New Roman"/>
                <w:b w:val="0"/>
                <w:i w:val="0"/>
                <w:sz w:val="19"/>
              </w:rPr>
              <w:t>1.195 (1.135–1.257)</w:t>
            </w:r>
          </w:p>
        </w:tc>
        <w:tc>
          <w:tcPr>
            <w:tcW w:type="dxa" w:w="1560"/>
          </w:tcPr>
          <w:p>
            <w:pPr>
              <w:spacing w:line="240" w:lineRule="auto" w:after="40" w:before="40"/>
            </w:pPr>
            <w:r>
              <w:rPr>
                <w:sz w:val="19"/>
              </w:rPr>
            </w:r>
            <w:r>
              <w:rPr>
                <w:rFonts w:ascii="Times New Roman" w:hAnsi="Times New Roman"/>
                <w:b w:val="0"/>
                <w:i w:val="0"/>
                <w:sz w:val="19"/>
              </w:rPr>
              <w:t>1.149 (1.051–1.255)</w:t>
            </w:r>
          </w:p>
        </w:tc>
        <w:tc>
          <w:tcPr>
            <w:tcW w:type="dxa" w:w="1560"/>
          </w:tcPr>
          <w:p>
            <w:pPr>
              <w:spacing w:line="240" w:lineRule="auto" w:after="40" w:before="40"/>
            </w:pPr>
            <w:r>
              <w:rPr>
                <w:sz w:val="19"/>
              </w:rPr>
            </w:r>
            <w:r>
              <w:rPr>
                <w:rFonts w:ascii="Times New Roman" w:hAnsi="Times New Roman"/>
                <w:b w:val="0"/>
                <w:i w:val="0"/>
                <w:sz w:val="19"/>
              </w:rPr>
              <w:t>pedestrians 1.14</w:t>
            </w:r>
          </w:p>
        </w:tc>
        <w:tc>
          <w:tcPr>
            <w:tcW w:type="dxa" w:w="1560"/>
          </w:tcPr>
          <w:p>
            <w:pPr>
              <w:spacing w:line="240" w:lineRule="auto" w:after="40" w:before="40"/>
            </w:pPr>
            <w:r>
              <w:rPr>
                <w:sz w:val="19"/>
              </w:rPr>
            </w:r>
            <w:r>
              <w:rPr>
                <w:rFonts w:ascii="Times New Roman" w:hAnsi="Times New Roman"/>
                <w:b w:val="0"/>
                <w:i w:val="0"/>
                <w:sz w:val="19"/>
              </w:rPr>
              <w:t>1.16</w:t>
            </w:r>
          </w:p>
        </w:tc>
      </w:tr>
      <w:tr>
        <w:tc>
          <w:tcPr>
            <w:tcW w:type="dxa" w:w="1560"/>
          </w:tcPr>
          <w:p>
            <w:pPr>
              <w:spacing w:line="240" w:lineRule="auto" w:after="40" w:before="40"/>
            </w:pPr>
            <w:r>
              <w:rPr>
                <w:sz w:val="19"/>
              </w:rPr>
            </w:r>
            <w:r>
              <w:rPr>
                <w:rFonts w:ascii="Times New Roman" w:hAnsi="Times New Roman"/>
                <w:b/>
                <w:i w:val="0"/>
                <w:sz w:val="19"/>
              </w:rPr>
              <w:t>Enclosed-vehicle occupants</w:t>
            </w:r>
          </w:p>
        </w:tc>
        <w:tc>
          <w:tcPr>
            <w:tcW w:type="dxa" w:w="1560"/>
          </w:tcPr>
          <w:p>
            <w:pPr>
              <w:spacing w:line="240" w:lineRule="auto" w:after="40" w:before="40"/>
            </w:pPr>
            <w:r>
              <w:rPr>
                <w:sz w:val="19"/>
              </w:rPr>
            </w:r>
            <w:r>
              <w:rPr>
                <w:rFonts w:ascii="Times New Roman" w:hAnsi="Times New Roman"/>
                <w:b w:val="0"/>
                <w:i w:val="0"/>
                <w:sz w:val="19"/>
              </w:rPr>
              <w:t>26,033</w:t>
            </w:r>
          </w:p>
        </w:tc>
        <w:tc>
          <w:tcPr>
            <w:tcW w:type="dxa" w:w="1560"/>
          </w:tcPr>
          <w:p>
            <w:pPr>
              <w:spacing w:line="240" w:lineRule="auto" w:after="40" w:before="40"/>
            </w:pPr>
            <w:r>
              <w:rPr>
                <w:sz w:val="19"/>
              </w:rPr>
            </w:r>
            <w:r>
              <w:rPr>
                <w:rFonts w:ascii="Times New Roman" w:hAnsi="Times New Roman"/>
                <w:b w:val="0"/>
                <w:i w:val="0"/>
                <w:sz w:val="19"/>
              </w:rPr>
              <w:t>1.025 (0.928–1.131)</w:t>
            </w:r>
          </w:p>
        </w:tc>
        <w:tc>
          <w:tcPr>
            <w:tcW w:type="dxa" w:w="1560"/>
          </w:tcPr>
          <w:p>
            <w:pPr>
              <w:spacing w:line="240" w:lineRule="auto" w:after="40" w:before="40"/>
            </w:pPr>
            <w:r>
              <w:rPr>
                <w:sz w:val="19"/>
              </w:rPr>
            </w:r>
            <w:r>
              <w:rPr>
                <w:rFonts w:ascii="Times New Roman" w:hAnsi="Times New Roman"/>
                <w:b w:val="0"/>
                <w:i w:val="0"/>
                <w:sz w:val="19"/>
              </w:rPr>
              <w:t>0.920 (0.783–1.081)</w:t>
            </w:r>
          </w:p>
        </w:tc>
        <w:tc>
          <w:tcPr>
            <w:tcW w:type="dxa" w:w="1560"/>
          </w:tcPr>
          <w:p>
            <w:pPr>
              <w:spacing w:line="240" w:lineRule="auto" w:after="40" w:before="40"/>
            </w:pPr>
            <w:r>
              <w:rPr>
                <w:sz w:val="19"/>
              </w:rPr>
            </w:r>
            <w:r>
              <w:rPr>
                <w:rFonts w:ascii="Times New Roman" w:hAnsi="Times New Roman"/>
                <w:b w:val="0"/>
                <w:i w:val="0"/>
                <w:sz w:val="19"/>
              </w:rPr>
              <w:t xml:space="preserve">motor vehicle </w:t>
            </w:r>
            <w:r>
              <w:rPr>
                <w:rFonts w:ascii="Times New Roman" w:hAnsi="Times New Roman"/>
                <w:b/>
                <w:i w:val="0"/>
                <w:sz w:val="19"/>
              </w:rPr>
              <w:t>1.14</w:t>
            </w:r>
          </w:p>
        </w:tc>
        <w:tc>
          <w:tcPr>
            <w:tcW w:type="dxa" w:w="1560"/>
          </w:tcPr>
          <w:p>
            <w:pPr>
              <w:spacing w:line="240" w:lineRule="auto" w:after="40" w:before="40"/>
            </w:pPr>
            <w:r>
              <w:rPr>
                <w:sz w:val="19"/>
              </w:rPr>
            </w:r>
            <w:r>
              <w:rPr>
                <w:rFonts w:ascii="Times New Roman" w:hAnsi="Times New Roman"/>
                <w:b/>
                <w:i w:val="0"/>
                <w:sz w:val="19"/>
              </w:rPr>
              <w:t>1.15</w:t>
            </w:r>
          </w:p>
        </w:tc>
      </w:tr>
    </w:tbl>
    <w:p>
      <w:pPr>
        <w:spacing w:after="120"/>
      </w:pPr>
    </w:p>
    <w:p>
      <w:pPr>
        <w:spacing w:before="120" w:after="120"/>
        <w:ind w:left="504"/>
      </w:pPr>
      <w:r>
        <w:rPr>
          <w:rFonts w:ascii="Times New Roman" w:hAnsi="Times New Roman"/>
          <w:b w:val="0"/>
          <w:i w:val="0"/>
          <w:color w:val="444444"/>
          <w:sz w:val="22"/>
        </w:rPr>
        <w:t xml:space="preserve">† </w:t>
      </w:r>
      <w:r>
        <w:rPr>
          <w:rFonts w:ascii="Times New Roman" w:hAnsi="Times New Roman"/>
          <w:b/>
          <w:i w:val="0"/>
          <w:color w:val="444444"/>
          <w:sz w:val="22"/>
        </w:rPr>
        <w:t>Point estimates only; confidence intervals from Hsu *et al.* are deliberately not quoted.</w:t>
      </w:r>
      <w:r>
        <w:rPr>
          <w:rFonts w:ascii="Times New Roman" w:hAnsi="Times New Roman"/>
          <w:b w:val="0"/>
          <w:i w:val="0"/>
          <w:color w:val="444444"/>
          <w:sz w:val="22"/>
        </w:rPr>
        <w:t xml:space="preserve"> An Author Correction (</w:t>
      </w:r>
      <w:r>
        <w:rPr>
          <w:rFonts w:ascii="Times New Roman" w:hAnsi="Times New Roman"/>
          <w:b w:val="0"/>
          <w:i/>
          <w:color w:val="444444"/>
          <w:sz w:val="22"/>
        </w:rPr>
        <w:t>Nat Cities</w:t>
      </w:r>
      <w:r>
        <w:rPr>
          <w:rFonts w:ascii="Times New Roman" w:hAnsi="Times New Roman"/>
          <w:b w:val="0"/>
          <w:i w:val="0"/>
          <w:color w:val="444444"/>
          <w:sz w:val="22"/>
        </w:rPr>
        <w:t xml:space="preserve"> 2025;2(11):1107) states that there was an error in the code used for the confidence-interval estimates in their Table 2, and that the values have been corrected in the published Table 2 and main text. The intervals in circulation before that correction derive from the erroneous computation, and the corrected Table 2 is behind a subscription. Point estimates are unaffected — the notice states the error does not affect the study's conclusions or interpretations — so all comparisons here are made on point estimates.</w:t>
      </w:r>
    </w:p>
    <w:p>
      <w:pPr>
        <w:spacing w:before="0" w:after="0"/>
        <w:jc w:val="both"/>
      </w:pPr>
      <w:r>
        <w:rPr>
          <w:rFonts w:ascii="Times New Roman" w:hAnsi="Times New Roman"/>
          <w:b w:val="0"/>
          <w:i w:val="0"/>
        </w:rPr>
        <w:t>For motorcyclists the two studies are close on point estimates. For enclosed-vehicle occupants they diverge, and this is the one substantive disagreement; our precision in that group is considerably lower (26,033 deaths against 126,668 exposed).</w:t>
      </w:r>
    </w:p>
    <w:p>
      <w:pPr>
        <w:spacing w:after="200" w:line="312" w:lineRule="auto"/>
        <w:jc w:val="center"/>
      </w:pPr>
      <w:r>
        <w:rPr>
          <w:rFonts w:ascii="Times New Roman" w:hAnsi="Times New Roman"/>
          <w:b/>
          <w:sz w:val="30"/>
        </w:rPr>
        <w:t>S5. Sensitivity analyses</w:t>
      </w:r>
    </w:p>
    <w:p>
      <w:r>
        <w:br w:type="page"/>
      </w:r>
    </w:p>
    <w:p>
      <w:pPr>
        <w:spacing w:before="280" w:after="80" w:line="360" w:lineRule="auto"/>
      </w:pPr>
      <w:r>
        <w:rPr>
          <w:rFonts w:ascii="Times New Roman" w:hAnsi="Times New Roman"/>
          <w:b/>
          <w:sz w:val="28"/>
        </w:rPr>
        <w:t>S5.1 Continuous exposure</w:t>
      </w:r>
    </w:p>
    <w:p>
      <w:pPr>
        <w:spacing w:before="0" w:after="0"/>
        <w:jc w:val="both"/>
      </w:pPr>
      <w:r>
        <w:rPr>
          <w:rFonts w:ascii="Times New Roman" w:hAnsi="Times New Roman"/>
          <w:b w:val="0"/>
          <w:i w:val="0"/>
        </w:rPr>
        <w:t>RR per 1 °C increase in Tmax, centred at the province-specific median, fitted over the whole distribution. Both adjustment states are shown because the headline figure in the main text is the rain-adjusted Main row (1.0127); reporting only one column invites a mismatch.</w:t>
      </w:r>
    </w:p>
    <w:tbl>
      <w:tblPr>
        <w:tblStyle w:val="TableGrid"/>
        <w:tblW w:type="auto" w:w="0"/>
        <w:tblLayout w:type="autofit"/>
        <w:tblLook w:firstColumn="1" w:firstRow="1" w:lastColumn="0" w:lastRow="0" w:noHBand="0" w:noVBand="1" w:val="04A0"/>
      </w:tblPr>
      <w:tblGrid>
        <w:gridCol w:w="2340"/>
        <w:gridCol w:w="2340"/>
        <w:gridCol w:w="2340"/>
        <w:gridCol w:w="2340"/>
      </w:tblGrid>
      <w:tr>
        <w:tc>
          <w:tcPr>
            <w:tcW w:type="dxa" w:w="2340"/>
          </w:tcPr>
          <w:p>
            <w:pPr>
              <w:spacing w:line="240" w:lineRule="auto" w:after="40" w:before="40"/>
            </w:pPr>
            <w:r>
              <w:rPr>
                <w:b/>
                <w:sz w:val="19"/>
              </w:rPr>
            </w:r>
            <w:r>
              <w:rPr>
                <w:rFonts w:ascii="Times New Roman" w:hAnsi="Times New Roman"/>
                <w:b/>
                <w:i w:val="0"/>
                <w:sz w:val="19"/>
              </w:rPr>
              <w:t>Specification</w:t>
            </w:r>
          </w:p>
        </w:tc>
        <w:tc>
          <w:tcPr>
            <w:tcW w:type="dxa" w:w="2340"/>
          </w:tcPr>
          <w:p>
            <w:pPr>
              <w:spacing w:line="240" w:lineRule="auto" w:after="40" w:before="40"/>
            </w:pPr>
            <w:r>
              <w:rPr>
                <w:b/>
                <w:sz w:val="19"/>
              </w:rPr>
            </w:r>
            <w:r>
              <w:rPr>
                <w:rFonts w:ascii="Times New Roman" w:hAnsi="Times New Roman"/>
                <w:b/>
                <w:i w:val="0"/>
                <w:sz w:val="19"/>
              </w:rPr>
              <w:t>Deaths</w:t>
            </w:r>
          </w:p>
        </w:tc>
        <w:tc>
          <w:tcPr>
            <w:tcW w:type="dxa" w:w="2340"/>
          </w:tcPr>
          <w:p>
            <w:pPr>
              <w:spacing w:line="240" w:lineRule="auto" w:after="40" w:before="40"/>
            </w:pPr>
            <w:r>
              <w:rPr>
                <w:b/>
                <w:sz w:val="19"/>
              </w:rPr>
            </w:r>
            <w:r>
              <w:rPr>
                <w:rFonts w:ascii="Times New Roman" w:hAnsi="Times New Roman"/>
                <w:b/>
                <w:i w:val="0"/>
                <w:sz w:val="19"/>
              </w:rPr>
              <w:t>Rain-adjusted</w:t>
            </w:r>
          </w:p>
        </w:tc>
        <w:tc>
          <w:tcPr>
            <w:tcW w:type="dxa" w:w="2340"/>
          </w:tcPr>
          <w:p>
            <w:pPr>
              <w:spacing w:line="240" w:lineRule="auto" w:after="40" w:before="40"/>
            </w:pPr>
            <w:r>
              <w:rPr>
                <w:b/>
                <w:sz w:val="19"/>
              </w:rPr>
            </w:r>
            <w:r>
              <w:rPr>
                <w:rFonts w:ascii="Times New Roman" w:hAnsi="Times New Roman"/>
                <w:b/>
                <w:i w:val="0"/>
                <w:sz w:val="19"/>
              </w:rPr>
              <w:t>Unadjusted</w:t>
            </w:r>
          </w:p>
        </w:tc>
      </w:tr>
      <w:tr>
        <w:tc>
          <w:tcPr>
            <w:tcW w:type="dxa" w:w="2340"/>
          </w:tcPr>
          <w:p>
            <w:pPr>
              <w:spacing w:line="240" w:lineRule="auto" w:after="40" w:before="40"/>
            </w:pPr>
            <w:r>
              <w:rPr>
                <w:sz w:val="19"/>
              </w:rPr>
            </w:r>
            <w:r>
              <w:rPr>
                <w:rFonts w:ascii="Times New Roman" w:hAnsi="Times New Roman"/>
                <w:b/>
                <w:i w:val="0"/>
                <w:sz w:val="19"/>
              </w:rPr>
              <w:t>Main (all provinces, all deaths)</w:t>
            </w:r>
          </w:p>
        </w:tc>
        <w:tc>
          <w:tcPr>
            <w:tcW w:type="dxa" w:w="2340"/>
          </w:tcPr>
          <w:p>
            <w:pPr>
              <w:spacing w:line="240" w:lineRule="auto" w:after="40" w:before="40"/>
            </w:pPr>
            <w:r>
              <w:rPr>
                <w:sz w:val="19"/>
              </w:rPr>
            </w:r>
            <w:r>
              <w:rPr>
                <w:rFonts w:ascii="Times New Roman" w:hAnsi="Times New Roman"/>
                <w:b w:val="0"/>
                <w:i w:val="0"/>
                <w:sz w:val="19"/>
              </w:rPr>
              <w:t>283,847</w:t>
            </w:r>
          </w:p>
        </w:tc>
        <w:tc>
          <w:tcPr>
            <w:tcW w:type="dxa" w:w="2340"/>
          </w:tcPr>
          <w:p>
            <w:pPr>
              <w:spacing w:line="240" w:lineRule="auto" w:after="40" w:before="40"/>
            </w:pPr>
            <w:r>
              <w:rPr>
                <w:sz w:val="19"/>
              </w:rPr>
            </w:r>
            <w:r>
              <w:rPr>
                <w:rFonts w:ascii="Times New Roman" w:hAnsi="Times New Roman"/>
                <w:b/>
                <w:i w:val="0"/>
                <w:sz w:val="19"/>
              </w:rPr>
              <w:t>1.0127 (1.0103–1.0152)</w:t>
            </w:r>
          </w:p>
        </w:tc>
        <w:tc>
          <w:tcPr>
            <w:tcW w:type="dxa" w:w="2340"/>
          </w:tcPr>
          <w:p>
            <w:pPr>
              <w:spacing w:line="240" w:lineRule="auto" w:after="40" w:before="40"/>
            </w:pPr>
            <w:r>
              <w:rPr>
                <w:sz w:val="19"/>
              </w:rPr>
            </w:r>
            <w:r>
              <w:rPr>
                <w:rFonts w:ascii="Times New Roman" w:hAnsi="Times New Roman"/>
                <w:b w:val="0"/>
                <w:i w:val="0"/>
                <w:sz w:val="19"/>
              </w:rPr>
              <w:t>1.0138 (1.0113–1.0163)</w:t>
            </w:r>
          </w:p>
        </w:tc>
      </w:tr>
      <w:tr>
        <w:tc>
          <w:tcPr>
            <w:tcW w:type="dxa" w:w="2340"/>
          </w:tcPr>
          <w:p>
            <w:pPr>
              <w:spacing w:line="240" w:lineRule="auto" w:after="40" w:before="40"/>
            </w:pPr>
            <w:r>
              <w:rPr>
                <w:sz w:val="19"/>
              </w:rPr>
            </w:r>
            <w:r>
              <w:rPr>
                <w:rFonts w:ascii="Times New Roman" w:hAnsi="Times New Roman"/>
                <w:b w:val="0"/>
                <w:i w:val="0"/>
                <w:sz w:val="19"/>
              </w:rPr>
              <w:t>Excluding 13 proxy-station provinces</w:t>
            </w:r>
          </w:p>
        </w:tc>
        <w:tc>
          <w:tcPr>
            <w:tcW w:type="dxa" w:w="2340"/>
          </w:tcPr>
          <w:p>
            <w:pPr>
              <w:spacing w:line="240" w:lineRule="auto" w:after="40" w:before="40"/>
            </w:pPr>
            <w:r>
              <w:rPr>
                <w:sz w:val="19"/>
              </w:rPr>
            </w:r>
            <w:r>
              <w:rPr>
                <w:rFonts w:ascii="Times New Roman" w:hAnsi="Times New Roman"/>
                <w:b w:val="0"/>
                <w:i w:val="0"/>
                <w:sz w:val="19"/>
              </w:rPr>
              <w:t>257,004</w:t>
            </w:r>
          </w:p>
        </w:tc>
        <w:tc>
          <w:tcPr>
            <w:tcW w:type="dxa" w:w="2340"/>
          </w:tcPr>
          <w:p>
            <w:pPr>
              <w:spacing w:line="240" w:lineRule="auto" w:after="40" w:before="40"/>
            </w:pPr>
            <w:r>
              <w:rPr>
                <w:sz w:val="19"/>
              </w:rPr>
            </w:r>
            <w:r>
              <w:rPr>
                <w:rFonts w:ascii="Times New Roman" w:hAnsi="Times New Roman"/>
                <w:b w:val="0"/>
                <w:i w:val="0"/>
                <w:sz w:val="19"/>
              </w:rPr>
              <w:t>1.0132 (1.0106–1.0159)</w:t>
            </w:r>
          </w:p>
        </w:tc>
        <w:tc>
          <w:tcPr>
            <w:tcW w:type="dxa" w:w="2340"/>
          </w:tcPr>
          <w:p>
            <w:pPr>
              <w:spacing w:line="240" w:lineRule="auto" w:after="40" w:before="40"/>
            </w:pPr>
            <w:r>
              <w:rPr>
                <w:sz w:val="19"/>
              </w:rPr>
            </w:r>
            <w:r>
              <w:rPr>
                <w:rFonts w:ascii="Times New Roman" w:hAnsi="Times New Roman"/>
                <w:b w:val="0"/>
                <w:i w:val="0"/>
                <w:sz w:val="19"/>
              </w:rPr>
              <w:t>1.0142 (1.0115–1.0168)</w:t>
            </w:r>
          </w:p>
        </w:tc>
      </w:tr>
      <w:tr>
        <w:tc>
          <w:tcPr>
            <w:tcW w:type="dxa" w:w="2340"/>
          </w:tcPr>
          <w:p>
            <w:pPr>
              <w:spacing w:line="240" w:lineRule="auto" w:after="40" w:before="40"/>
            </w:pPr>
            <w:r>
              <w:rPr>
                <w:sz w:val="19"/>
              </w:rPr>
            </w:r>
            <w:r>
              <w:rPr>
                <w:rFonts w:ascii="Times New Roman" w:hAnsi="Times New Roman"/>
                <w:b w:val="0"/>
                <w:i w:val="0"/>
                <w:sz w:val="19"/>
              </w:rPr>
              <w:t>Excluding Bueng Kan (109 km proxy)</w:t>
            </w:r>
          </w:p>
        </w:tc>
        <w:tc>
          <w:tcPr>
            <w:tcW w:type="dxa" w:w="2340"/>
          </w:tcPr>
          <w:p>
            <w:pPr>
              <w:spacing w:line="240" w:lineRule="auto" w:after="40" w:before="40"/>
            </w:pPr>
            <w:r>
              <w:rPr>
                <w:sz w:val="19"/>
              </w:rPr>
            </w:r>
            <w:r>
              <w:rPr>
                <w:rFonts w:ascii="Times New Roman" w:hAnsi="Times New Roman"/>
                <w:b w:val="0"/>
                <w:i w:val="0"/>
                <w:sz w:val="19"/>
              </w:rPr>
              <w:t>282,536</w:t>
            </w:r>
          </w:p>
        </w:tc>
        <w:tc>
          <w:tcPr>
            <w:tcW w:type="dxa" w:w="2340"/>
          </w:tcPr>
          <w:p>
            <w:pPr>
              <w:spacing w:line="240" w:lineRule="auto" w:after="40" w:before="40"/>
            </w:pPr>
            <w:r>
              <w:rPr>
                <w:sz w:val="19"/>
              </w:rPr>
            </w:r>
            <w:r>
              <w:rPr>
                <w:rFonts w:ascii="Times New Roman" w:hAnsi="Times New Roman"/>
                <w:b w:val="0"/>
                <w:i w:val="0"/>
                <w:sz w:val="19"/>
              </w:rPr>
              <w:t>1.0127 (1.0102–1.0152)</w:t>
            </w:r>
          </w:p>
        </w:tc>
        <w:tc>
          <w:tcPr>
            <w:tcW w:type="dxa" w:w="2340"/>
          </w:tcPr>
          <w:p>
            <w:pPr>
              <w:spacing w:line="240" w:lineRule="auto" w:after="40" w:before="40"/>
            </w:pPr>
            <w:r>
              <w:rPr>
                <w:sz w:val="19"/>
              </w:rPr>
            </w:r>
            <w:r>
              <w:rPr>
                <w:rFonts w:ascii="Times New Roman" w:hAnsi="Times New Roman"/>
                <w:b w:val="0"/>
                <w:i w:val="0"/>
                <w:sz w:val="19"/>
              </w:rPr>
              <w:t>1.0138 (1.0113–1.0163)</w:t>
            </w:r>
          </w:p>
        </w:tc>
      </w:tr>
      <w:tr>
        <w:tc>
          <w:tcPr>
            <w:tcW w:type="dxa" w:w="2340"/>
          </w:tcPr>
          <w:p>
            <w:pPr>
              <w:spacing w:line="240" w:lineRule="auto" w:after="40" w:before="40"/>
            </w:pPr>
            <w:r>
              <w:rPr>
                <w:sz w:val="19"/>
              </w:rPr>
            </w:r>
            <w:r>
              <w:rPr>
                <w:rFonts w:ascii="Times New Roman" w:hAnsi="Times New Roman"/>
                <w:b w:val="0"/>
                <w:i w:val="0"/>
                <w:sz w:val="19"/>
              </w:rPr>
              <w:t>2011–2019 (pre-COVID)</w:t>
            </w:r>
          </w:p>
        </w:tc>
        <w:tc>
          <w:tcPr>
            <w:tcW w:type="dxa" w:w="2340"/>
          </w:tcPr>
          <w:p>
            <w:pPr>
              <w:spacing w:line="240" w:lineRule="auto" w:after="40" w:before="40"/>
            </w:pPr>
            <w:r>
              <w:rPr>
                <w:sz w:val="19"/>
              </w:rPr>
            </w:r>
            <w:r>
              <w:rPr>
                <w:rFonts w:ascii="Times New Roman" w:hAnsi="Times New Roman"/>
                <w:b w:val="0"/>
                <w:i w:val="0"/>
                <w:sz w:val="19"/>
              </w:rPr>
              <w:t>187,387</w:t>
            </w:r>
          </w:p>
        </w:tc>
        <w:tc>
          <w:tcPr>
            <w:tcW w:type="dxa" w:w="2340"/>
          </w:tcPr>
          <w:p>
            <w:pPr>
              <w:spacing w:line="240" w:lineRule="auto" w:after="40" w:before="40"/>
            </w:pPr>
            <w:r>
              <w:rPr>
                <w:sz w:val="19"/>
              </w:rPr>
            </w:r>
            <w:r>
              <w:rPr>
                <w:rFonts w:ascii="Times New Roman" w:hAnsi="Times New Roman"/>
                <w:b w:val="0"/>
                <w:i w:val="0"/>
                <w:sz w:val="19"/>
              </w:rPr>
              <w:t>1.0134 (1.0107–1.0160)</w:t>
            </w:r>
          </w:p>
        </w:tc>
        <w:tc>
          <w:tcPr>
            <w:tcW w:type="dxa" w:w="2340"/>
          </w:tcPr>
          <w:p>
            <w:pPr>
              <w:spacing w:line="240" w:lineRule="auto" w:after="40" w:before="40"/>
            </w:pPr>
            <w:r>
              <w:rPr>
                <w:sz w:val="19"/>
              </w:rPr>
            </w:r>
            <w:r>
              <w:rPr>
                <w:rFonts w:ascii="Times New Roman" w:hAnsi="Times New Roman"/>
                <w:b w:val="0"/>
                <w:i w:val="0"/>
                <w:sz w:val="19"/>
              </w:rPr>
              <w:t>1.0141 (1.0115–1.0166)</w:t>
            </w:r>
          </w:p>
        </w:tc>
      </w:tr>
      <w:tr>
        <w:tc>
          <w:tcPr>
            <w:tcW w:type="dxa" w:w="2340"/>
          </w:tcPr>
          <w:p>
            <w:pPr>
              <w:spacing w:line="240" w:lineRule="auto" w:after="40" w:before="40"/>
            </w:pPr>
            <w:r>
              <w:rPr>
                <w:sz w:val="19"/>
              </w:rPr>
            </w:r>
            <w:r>
              <w:rPr>
                <w:rFonts w:ascii="Times New Roman" w:hAnsi="Times New Roman"/>
                <w:b w:val="0"/>
                <w:i w:val="0"/>
                <w:sz w:val="19"/>
              </w:rPr>
              <w:t>2020–2025</w:t>
            </w:r>
          </w:p>
        </w:tc>
        <w:tc>
          <w:tcPr>
            <w:tcW w:type="dxa" w:w="2340"/>
          </w:tcPr>
          <w:p>
            <w:pPr>
              <w:spacing w:line="240" w:lineRule="auto" w:after="40" w:before="40"/>
            </w:pPr>
            <w:r>
              <w:rPr>
                <w:sz w:val="19"/>
              </w:rPr>
            </w:r>
            <w:r>
              <w:rPr>
                <w:rFonts w:ascii="Times New Roman" w:hAnsi="Times New Roman"/>
                <w:b w:val="0"/>
                <w:i w:val="0"/>
                <w:sz w:val="19"/>
              </w:rPr>
              <w:t>96,460</w:t>
            </w:r>
          </w:p>
        </w:tc>
        <w:tc>
          <w:tcPr>
            <w:tcW w:type="dxa" w:w="2340"/>
          </w:tcPr>
          <w:p>
            <w:pPr>
              <w:spacing w:line="240" w:lineRule="auto" w:after="40" w:before="40"/>
            </w:pPr>
            <w:r>
              <w:rPr>
                <w:sz w:val="19"/>
              </w:rPr>
            </w:r>
            <w:r>
              <w:rPr>
                <w:rFonts w:ascii="Times New Roman" w:hAnsi="Times New Roman"/>
                <w:b w:val="0"/>
                <w:i w:val="0"/>
                <w:sz w:val="19"/>
              </w:rPr>
              <w:t>1.0117 (1.0073–1.0161)</w:t>
            </w:r>
          </w:p>
        </w:tc>
        <w:tc>
          <w:tcPr>
            <w:tcW w:type="dxa" w:w="2340"/>
          </w:tcPr>
          <w:p>
            <w:pPr>
              <w:spacing w:line="240" w:lineRule="auto" w:after="40" w:before="40"/>
            </w:pPr>
            <w:r>
              <w:rPr>
                <w:sz w:val="19"/>
              </w:rPr>
            </w:r>
            <w:r>
              <w:rPr>
                <w:rFonts w:ascii="Times New Roman" w:hAnsi="Times New Roman"/>
                <w:b w:val="0"/>
                <w:i w:val="0"/>
                <w:sz w:val="19"/>
              </w:rPr>
              <w:t>1.0133 (1.0088–1.0179)</w:t>
            </w:r>
          </w:p>
        </w:tc>
      </w:tr>
      <w:tr>
        <w:tc>
          <w:tcPr>
            <w:tcW w:type="dxa" w:w="2340"/>
          </w:tcPr>
          <w:p>
            <w:pPr>
              <w:spacing w:line="240" w:lineRule="auto" w:after="40" w:before="40"/>
            </w:pPr>
            <w:r>
              <w:rPr>
                <w:sz w:val="19"/>
              </w:rPr>
            </w:r>
            <w:r>
              <w:rPr>
                <w:rFonts w:ascii="Times New Roman" w:hAnsi="Times New Roman"/>
                <w:b w:val="0"/>
                <w:i w:val="0"/>
                <w:sz w:val="19"/>
              </w:rPr>
              <w:t>Dry season (Nov–Apr)</w:t>
            </w:r>
          </w:p>
        </w:tc>
        <w:tc>
          <w:tcPr>
            <w:tcW w:type="dxa" w:w="2340"/>
          </w:tcPr>
          <w:p>
            <w:pPr>
              <w:spacing w:line="240" w:lineRule="auto" w:after="40" w:before="40"/>
            </w:pPr>
            <w:r>
              <w:rPr>
                <w:sz w:val="19"/>
              </w:rPr>
            </w:r>
            <w:r>
              <w:rPr>
                <w:rFonts w:ascii="Times New Roman" w:hAnsi="Times New Roman"/>
                <w:b w:val="0"/>
                <w:i w:val="0"/>
                <w:sz w:val="19"/>
              </w:rPr>
              <w:t>154,256</w:t>
            </w:r>
          </w:p>
        </w:tc>
        <w:tc>
          <w:tcPr>
            <w:tcW w:type="dxa" w:w="2340"/>
          </w:tcPr>
          <w:p>
            <w:pPr>
              <w:spacing w:line="240" w:lineRule="auto" w:after="40" w:before="40"/>
            </w:pPr>
            <w:r>
              <w:rPr>
                <w:sz w:val="19"/>
              </w:rPr>
            </w:r>
            <w:r>
              <w:rPr>
                <w:rFonts w:ascii="Times New Roman" w:hAnsi="Times New Roman"/>
                <w:b w:val="0"/>
                <w:i w:val="0"/>
                <w:sz w:val="19"/>
              </w:rPr>
              <w:t>1.0080 (1.0051–1.0110)</w:t>
            </w:r>
          </w:p>
        </w:tc>
        <w:tc>
          <w:tcPr>
            <w:tcW w:type="dxa" w:w="2340"/>
          </w:tcPr>
          <w:p>
            <w:pPr>
              <w:spacing w:line="240" w:lineRule="auto" w:after="40" w:before="40"/>
            </w:pPr>
            <w:r>
              <w:rPr>
                <w:sz w:val="19"/>
              </w:rPr>
            </w:r>
            <w:r>
              <w:rPr>
                <w:rFonts w:ascii="Times New Roman" w:hAnsi="Times New Roman"/>
                <w:b w:val="0"/>
                <w:i w:val="0"/>
                <w:sz w:val="19"/>
              </w:rPr>
              <w:t>1.0089 (1.0062–1.0117)</w:t>
            </w:r>
          </w:p>
        </w:tc>
      </w:tr>
      <w:tr>
        <w:tc>
          <w:tcPr>
            <w:tcW w:type="dxa" w:w="2340"/>
          </w:tcPr>
          <w:p>
            <w:pPr>
              <w:spacing w:line="240" w:lineRule="auto" w:after="40" w:before="40"/>
            </w:pPr>
            <w:r>
              <w:rPr>
                <w:sz w:val="19"/>
              </w:rPr>
            </w:r>
            <w:r>
              <w:rPr>
                <w:rFonts w:ascii="Times New Roman" w:hAnsi="Times New Roman"/>
                <w:b w:val="0"/>
                <w:i w:val="0"/>
                <w:sz w:val="19"/>
              </w:rPr>
              <w:t>Wet season (May–Oct)</w:t>
            </w:r>
          </w:p>
        </w:tc>
        <w:tc>
          <w:tcPr>
            <w:tcW w:type="dxa" w:w="2340"/>
          </w:tcPr>
          <w:p>
            <w:pPr>
              <w:spacing w:line="240" w:lineRule="auto" w:after="40" w:before="40"/>
            </w:pPr>
            <w:r>
              <w:rPr>
                <w:sz w:val="19"/>
              </w:rPr>
            </w:r>
            <w:r>
              <w:rPr>
                <w:rFonts w:ascii="Times New Roman" w:hAnsi="Times New Roman"/>
                <w:b w:val="0"/>
                <w:i w:val="0"/>
                <w:sz w:val="19"/>
              </w:rPr>
              <w:t>129,591</w:t>
            </w:r>
          </w:p>
        </w:tc>
        <w:tc>
          <w:tcPr>
            <w:tcW w:type="dxa" w:w="2340"/>
          </w:tcPr>
          <w:p>
            <w:pPr>
              <w:spacing w:line="240" w:lineRule="auto" w:after="40" w:before="40"/>
            </w:pPr>
            <w:r>
              <w:rPr>
                <w:sz w:val="19"/>
              </w:rPr>
            </w:r>
            <w:r>
              <w:rPr>
                <w:rFonts w:ascii="Times New Roman" w:hAnsi="Times New Roman"/>
                <w:b w:val="0"/>
                <w:i w:val="0"/>
                <w:sz w:val="19"/>
              </w:rPr>
              <w:t>1.0223 (1.0176–1.0270)</w:t>
            </w:r>
          </w:p>
        </w:tc>
        <w:tc>
          <w:tcPr>
            <w:tcW w:type="dxa" w:w="2340"/>
          </w:tcPr>
          <w:p>
            <w:pPr>
              <w:spacing w:line="240" w:lineRule="auto" w:after="40" w:before="40"/>
            </w:pPr>
            <w:r>
              <w:rPr>
                <w:sz w:val="19"/>
              </w:rPr>
            </w:r>
            <w:r>
              <w:rPr>
                <w:rFonts w:ascii="Times New Roman" w:hAnsi="Times New Roman"/>
                <w:b w:val="0"/>
                <w:i w:val="0"/>
                <w:sz w:val="19"/>
              </w:rPr>
              <w:t>1.0229 (1.0183–1.0274)</w:t>
            </w:r>
          </w:p>
        </w:tc>
      </w:tr>
      <w:tr>
        <w:tc>
          <w:tcPr>
            <w:tcW w:type="dxa" w:w="2340"/>
          </w:tcPr>
          <w:p>
            <w:pPr>
              <w:spacing w:line="240" w:lineRule="auto" w:after="40" w:before="40"/>
            </w:pPr>
            <w:r>
              <w:rPr>
                <w:sz w:val="19"/>
              </w:rPr>
            </w:r>
            <w:r>
              <w:rPr>
                <w:rFonts w:ascii="Times New Roman" w:hAnsi="Times New Roman"/>
                <w:b w:val="0"/>
                <w:i w:val="0"/>
                <w:sz w:val="19"/>
              </w:rPr>
              <w:t>Excluding Songkran (11–17 Apr)</w:t>
            </w:r>
          </w:p>
        </w:tc>
        <w:tc>
          <w:tcPr>
            <w:tcW w:type="dxa" w:w="2340"/>
          </w:tcPr>
          <w:p>
            <w:pPr>
              <w:spacing w:line="240" w:lineRule="auto" w:after="40" w:before="40"/>
            </w:pPr>
            <w:r>
              <w:rPr>
                <w:sz w:val="19"/>
              </w:rPr>
            </w:r>
            <w:r>
              <w:rPr>
                <w:rFonts w:ascii="Times New Roman" w:hAnsi="Times New Roman"/>
                <w:b w:val="0"/>
                <w:i w:val="0"/>
                <w:sz w:val="19"/>
              </w:rPr>
              <w:t>276,679</w:t>
            </w:r>
          </w:p>
        </w:tc>
        <w:tc>
          <w:tcPr>
            <w:tcW w:type="dxa" w:w="2340"/>
          </w:tcPr>
          <w:p>
            <w:pPr>
              <w:spacing w:line="240" w:lineRule="auto" w:after="40" w:before="40"/>
            </w:pPr>
            <w:r>
              <w:rPr>
                <w:sz w:val="19"/>
              </w:rPr>
            </w:r>
            <w:r>
              <w:rPr>
                <w:rFonts w:ascii="Times New Roman" w:hAnsi="Times New Roman"/>
                <w:b w:val="0"/>
                <w:i w:val="0"/>
                <w:sz w:val="19"/>
              </w:rPr>
              <w:t>1.0128 (1.0104–1.0153)</w:t>
            </w:r>
          </w:p>
        </w:tc>
        <w:tc>
          <w:tcPr>
            <w:tcW w:type="dxa" w:w="2340"/>
          </w:tcPr>
          <w:p>
            <w:pPr>
              <w:spacing w:line="240" w:lineRule="auto" w:after="40" w:before="40"/>
            </w:pPr>
            <w:r>
              <w:rPr>
                <w:sz w:val="19"/>
              </w:rPr>
            </w:r>
            <w:r>
              <w:rPr>
                <w:rFonts w:ascii="Times New Roman" w:hAnsi="Times New Roman"/>
                <w:b w:val="0"/>
                <w:i w:val="0"/>
                <w:sz w:val="19"/>
              </w:rPr>
              <w:t>1.0138 (1.0113–1.0163)</w:t>
            </w:r>
          </w:p>
        </w:tc>
      </w:tr>
      <w:tr>
        <w:tc>
          <w:tcPr>
            <w:tcW w:type="dxa" w:w="2340"/>
          </w:tcPr>
          <w:p>
            <w:pPr>
              <w:spacing w:line="240" w:lineRule="auto" w:after="40" w:before="40"/>
            </w:pPr>
            <w:r>
              <w:rPr>
                <w:sz w:val="19"/>
              </w:rPr>
            </w:r>
            <w:r>
              <w:rPr>
                <w:rFonts w:ascii="Times New Roman" w:hAnsi="Times New Roman"/>
                <w:b w:val="0"/>
                <w:i w:val="0"/>
                <w:sz w:val="19"/>
              </w:rPr>
              <w:t>Excluding Songkran and New Year</w:t>
            </w:r>
          </w:p>
        </w:tc>
        <w:tc>
          <w:tcPr>
            <w:tcW w:type="dxa" w:w="2340"/>
          </w:tcPr>
          <w:p>
            <w:pPr>
              <w:spacing w:line="240" w:lineRule="auto" w:after="40" w:before="40"/>
            </w:pPr>
            <w:r>
              <w:rPr>
                <w:sz w:val="19"/>
              </w:rPr>
            </w:r>
            <w:r>
              <w:rPr>
                <w:rFonts w:ascii="Times New Roman" w:hAnsi="Times New Roman"/>
                <w:b w:val="0"/>
                <w:i w:val="0"/>
                <w:sz w:val="19"/>
              </w:rPr>
              <w:t>269,663</w:t>
            </w:r>
          </w:p>
        </w:tc>
        <w:tc>
          <w:tcPr>
            <w:tcW w:type="dxa" w:w="2340"/>
          </w:tcPr>
          <w:p>
            <w:pPr>
              <w:spacing w:line="240" w:lineRule="auto" w:after="40" w:before="40"/>
            </w:pPr>
            <w:r>
              <w:rPr>
                <w:sz w:val="19"/>
              </w:rPr>
            </w:r>
            <w:r>
              <w:rPr>
                <w:rFonts w:ascii="Times New Roman" w:hAnsi="Times New Roman"/>
                <w:b w:val="0"/>
                <w:i w:val="0"/>
                <w:sz w:val="19"/>
              </w:rPr>
              <w:t>1.0136 (1.0111–1.0161)</w:t>
            </w:r>
          </w:p>
        </w:tc>
        <w:tc>
          <w:tcPr>
            <w:tcW w:type="dxa" w:w="2340"/>
          </w:tcPr>
          <w:p>
            <w:pPr>
              <w:spacing w:line="240" w:lineRule="auto" w:after="40" w:before="40"/>
            </w:pPr>
            <w:r>
              <w:rPr>
                <w:sz w:val="19"/>
              </w:rPr>
            </w:r>
            <w:r>
              <w:rPr>
                <w:rFonts w:ascii="Times New Roman" w:hAnsi="Times New Roman"/>
                <w:b w:val="0"/>
                <w:i w:val="0"/>
                <w:sz w:val="19"/>
              </w:rPr>
              <w:t>1.0145 (1.0120–1.0171)</w:t>
            </w:r>
          </w:p>
        </w:tc>
      </w:tr>
      <w:tr>
        <w:tc>
          <w:tcPr>
            <w:tcW w:type="dxa" w:w="2340"/>
          </w:tcPr>
          <w:p>
            <w:pPr>
              <w:spacing w:line="240" w:lineRule="auto" w:after="40" w:before="40"/>
            </w:pPr>
            <w:r>
              <w:rPr>
                <w:sz w:val="19"/>
              </w:rPr>
            </w:r>
            <w:r>
              <w:rPr>
                <w:rFonts w:ascii="Times New Roman" w:hAnsi="Times New Roman"/>
                <w:b w:val="0"/>
                <w:i w:val="0"/>
                <w:sz w:val="19"/>
              </w:rPr>
              <w:t>Tmean instead of Tmax</w:t>
            </w:r>
          </w:p>
        </w:tc>
        <w:tc>
          <w:tcPr>
            <w:tcW w:type="dxa" w:w="2340"/>
          </w:tcPr>
          <w:p>
            <w:pPr>
              <w:spacing w:line="240" w:lineRule="auto" w:after="40" w:before="40"/>
            </w:pPr>
            <w:r>
              <w:rPr>
                <w:sz w:val="19"/>
              </w:rPr>
            </w:r>
            <w:r>
              <w:rPr>
                <w:rFonts w:ascii="Times New Roman" w:hAnsi="Times New Roman"/>
                <w:b w:val="0"/>
                <w:i w:val="0"/>
                <w:sz w:val="19"/>
              </w:rPr>
              <w:t>283,847</w:t>
            </w:r>
          </w:p>
        </w:tc>
        <w:tc>
          <w:tcPr>
            <w:tcW w:type="dxa" w:w="2340"/>
          </w:tcPr>
          <w:p>
            <w:pPr>
              <w:spacing w:line="240" w:lineRule="auto" w:after="40" w:before="40"/>
            </w:pPr>
            <w:r>
              <w:rPr>
                <w:sz w:val="19"/>
              </w:rPr>
            </w:r>
            <w:r>
              <w:rPr>
                <w:rFonts w:ascii="Times New Roman" w:hAnsi="Times New Roman"/>
                <w:b w:val="0"/>
                <w:i w:val="0"/>
                <w:sz w:val="19"/>
              </w:rPr>
              <w:t>1.0111 (1.0079–1.0143)</w:t>
            </w:r>
          </w:p>
        </w:tc>
        <w:tc>
          <w:tcPr>
            <w:tcW w:type="dxa" w:w="2340"/>
          </w:tcPr>
          <w:p>
            <w:pPr>
              <w:spacing w:line="240" w:lineRule="auto" w:after="40" w:before="40"/>
            </w:pPr>
            <w:r>
              <w:rPr>
                <w:sz w:val="19"/>
              </w:rPr>
            </w:r>
            <w:r>
              <w:rPr>
                <w:rFonts w:ascii="Times New Roman" w:hAnsi="Times New Roman"/>
                <w:b w:val="0"/>
                <w:i w:val="0"/>
                <w:sz w:val="19"/>
              </w:rPr>
              <w:t>1.0130 (1.0098–1.0162)</w:t>
            </w:r>
          </w:p>
        </w:tc>
      </w:tr>
    </w:tbl>
    <w:p>
      <w:pPr>
        <w:spacing w:after="120"/>
      </w:pPr>
    </w:p>
    <w:p>
      <w:pPr>
        <w:spacing w:before="0" w:after="0"/>
        <w:jc w:val="both"/>
      </w:pPr>
      <w:r>
        <w:rPr>
          <w:rFonts w:ascii="Times New Roman" w:hAnsi="Times New Roman"/>
          <w:b w:val="0"/>
          <w:i w:val="0"/>
        </w:rPr>
        <w:t>The estimate is stable across station assignment, study period and holiday handling. The seasonal contrast is the one material difference and is examined in S1.</w:t>
      </w:r>
    </w:p>
    <w:p>
      <w:r>
        <w:br w:type="page"/>
      </w:r>
    </w:p>
    <w:p>
      <w:pPr>
        <w:spacing w:before="280" w:after="80" w:line="360" w:lineRule="auto"/>
      </w:pPr>
      <w:r>
        <w:rPr>
          <w:rFonts w:ascii="Times New Roman" w:hAnsi="Times New Roman"/>
          <w:b/>
          <w:sz w:val="28"/>
        </w:rPr>
        <w:t>S5.2 Holiday exclusion and the shape of the curve</w:t>
      </w:r>
    </w:p>
    <w:p>
      <w:pPr>
        <w:spacing w:before="0" w:after="0"/>
        <w:jc w:val="both"/>
      </w:pPr>
      <w:r>
        <w:rPr>
          <w:rFonts w:ascii="Times New Roman" w:hAnsi="Times New Roman"/>
          <w:b w:val="0"/>
          <w:i w:val="0"/>
        </w:rPr>
        <w:t>Songkran is simultaneously the annual temperature peak and the largest road-mortality spike of the year, so adjusting for it with an indicator may not satisfy a reader. The window was therefore removed entirely (8,056 province-days; 7,168 deaths, 2.53% of the total), and then New Year as well. Constant indicator columns were dropped from those models.</w:t>
      </w:r>
    </w:p>
    <w:tbl>
      <w:tblPr>
        <w:tblStyle w:val="TableGrid"/>
        <w:tblW w:type="auto" w:w="0"/>
        <w:tblLayout w:type="autofit"/>
        <w:tblLook w:firstColumn="1" w:firstRow="1" w:lastColumn="0" w:lastRow="0" w:noHBand="0" w:noVBand="1" w:val="04A0"/>
      </w:tblPr>
      <w:tblGrid>
        <w:gridCol w:w="2340"/>
        <w:gridCol w:w="2340"/>
        <w:gridCol w:w="2340"/>
        <w:gridCol w:w="2340"/>
      </w:tblGrid>
      <w:tr>
        <w:tc>
          <w:tcPr>
            <w:tcW w:type="dxa" w:w="2340"/>
          </w:tcPr>
          <w:p>
            <w:pPr>
              <w:spacing w:line="240" w:lineRule="auto" w:after="40" w:before="40"/>
            </w:pPr>
            <w:r>
              <w:rPr>
                <w:b/>
                <w:sz w:val="19"/>
              </w:rPr>
            </w:r>
            <w:r>
              <w:rPr>
                <w:rFonts w:ascii="Times New Roman" w:hAnsi="Times New Roman"/>
                <w:b/>
                <w:i w:val="0"/>
                <w:sz w:val="19"/>
              </w:rPr>
              <w:t>Band</w:t>
            </w:r>
          </w:p>
        </w:tc>
        <w:tc>
          <w:tcPr>
            <w:tcW w:type="dxa" w:w="2340"/>
          </w:tcPr>
          <w:p>
            <w:pPr>
              <w:spacing w:line="240" w:lineRule="auto" w:after="40" w:before="40"/>
            </w:pPr>
            <w:r>
              <w:rPr>
                <w:b/>
                <w:sz w:val="19"/>
              </w:rPr>
            </w:r>
            <w:r>
              <w:rPr>
                <w:rFonts w:ascii="Times New Roman" w:hAnsi="Times New Roman"/>
                <w:b/>
                <w:i w:val="0"/>
                <w:sz w:val="19"/>
              </w:rPr>
              <w:t>Main (adjusted)</w:t>
            </w:r>
          </w:p>
        </w:tc>
        <w:tc>
          <w:tcPr>
            <w:tcW w:type="dxa" w:w="2340"/>
          </w:tcPr>
          <w:p>
            <w:pPr>
              <w:spacing w:line="240" w:lineRule="auto" w:after="40" w:before="40"/>
            </w:pPr>
            <w:r>
              <w:rPr>
                <w:b/>
                <w:sz w:val="19"/>
              </w:rPr>
            </w:r>
            <w:r>
              <w:rPr>
                <w:rFonts w:ascii="Times New Roman" w:hAnsi="Times New Roman"/>
                <w:b/>
                <w:i w:val="0"/>
                <w:sz w:val="19"/>
              </w:rPr>
              <w:t>Excluding Songkran</w:t>
            </w:r>
          </w:p>
        </w:tc>
        <w:tc>
          <w:tcPr>
            <w:tcW w:type="dxa" w:w="2340"/>
          </w:tcPr>
          <w:p>
            <w:pPr>
              <w:spacing w:line="240" w:lineRule="auto" w:after="40" w:before="40"/>
            </w:pPr>
            <w:r>
              <w:rPr>
                <w:b/>
                <w:sz w:val="19"/>
              </w:rPr>
            </w:r>
            <w:r>
              <w:rPr>
                <w:rFonts w:ascii="Times New Roman" w:hAnsi="Times New Roman"/>
                <w:b/>
                <w:i w:val="0"/>
                <w:sz w:val="19"/>
              </w:rPr>
              <w:t>Excluding both holidays</w:t>
            </w:r>
          </w:p>
        </w:tc>
      </w:tr>
      <w:tr>
        <w:tc>
          <w:tcPr>
            <w:tcW w:type="dxa" w:w="2340"/>
          </w:tcPr>
          <w:p>
            <w:pPr>
              <w:spacing w:line="240" w:lineRule="auto" w:after="40" w:before="40"/>
            </w:pPr>
            <w:r>
              <w:rPr>
                <w:sz w:val="19"/>
              </w:rPr>
            </w:r>
            <w:r>
              <w:rPr>
                <w:rFonts w:ascii="Times New Roman" w:hAnsi="Times New Roman"/>
                <w:b w:val="0"/>
                <w:i w:val="0"/>
                <w:sz w:val="19"/>
              </w:rPr>
              <w:t>&lt;P5</w:t>
            </w:r>
          </w:p>
        </w:tc>
        <w:tc>
          <w:tcPr>
            <w:tcW w:type="dxa" w:w="2340"/>
          </w:tcPr>
          <w:p>
            <w:pPr>
              <w:spacing w:line="240" w:lineRule="auto" w:after="40" w:before="40"/>
            </w:pPr>
            <w:r>
              <w:rPr>
                <w:sz w:val="19"/>
              </w:rPr>
            </w:r>
            <w:r>
              <w:rPr>
                <w:rFonts w:ascii="Times New Roman" w:hAnsi="Times New Roman"/>
                <w:b w:val="0"/>
                <w:i w:val="0"/>
                <w:sz w:val="19"/>
              </w:rPr>
              <w:t>0.950 (0.925–0.976)</w:t>
            </w:r>
          </w:p>
        </w:tc>
        <w:tc>
          <w:tcPr>
            <w:tcW w:type="dxa" w:w="2340"/>
          </w:tcPr>
          <w:p>
            <w:pPr>
              <w:spacing w:line="240" w:lineRule="auto" w:after="40" w:before="40"/>
            </w:pPr>
            <w:r>
              <w:rPr>
                <w:sz w:val="19"/>
              </w:rPr>
            </w:r>
            <w:r>
              <w:rPr>
                <w:rFonts w:ascii="Times New Roman" w:hAnsi="Times New Roman"/>
                <w:b w:val="0"/>
                <w:i w:val="0"/>
                <w:sz w:val="19"/>
              </w:rPr>
              <w:t>0.949 (0.924–0.975)</w:t>
            </w:r>
          </w:p>
        </w:tc>
        <w:tc>
          <w:tcPr>
            <w:tcW w:type="dxa" w:w="2340"/>
          </w:tcPr>
          <w:p>
            <w:pPr>
              <w:spacing w:line="240" w:lineRule="auto" w:after="40" w:before="40"/>
            </w:pPr>
            <w:r>
              <w:rPr>
                <w:sz w:val="19"/>
              </w:rPr>
            </w:r>
            <w:r>
              <w:rPr>
                <w:rFonts w:ascii="Times New Roman" w:hAnsi="Times New Roman"/>
                <w:b w:val="0"/>
                <w:i w:val="0"/>
                <w:sz w:val="19"/>
              </w:rPr>
              <w:t>0.941 (0.916–0.967)</w:t>
            </w:r>
          </w:p>
        </w:tc>
      </w:tr>
      <w:tr>
        <w:tc>
          <w:tcPr>
            <w:tcW w:type="dxa" w:w="2340"/>
          </w:tcPr>
          <w:p>
            <w:pPr>
              <w:spacing w:line="240" w:lineRule="auto" w:after="40" w:before="40"/>
            </w:pPr>
            <w:r>
              <w:rPr>
                <w:sz w:val="19"/>
              </w:rPr>
            </w:r>
            <w:r>
              <w:rPr>
                <w:rFonts w:ascii="Times New Roman" w:hAnsi="Times New Roman"/>
                <w:b w:val="0"/>
                <w:i w:val="0"/>
                <w:sz w:val="19"/>
              </w:rPr>
              <w:t>P5–25</w:t>
            </w:r>
          </w:p>
        </w:tc>
        <w:tc>
          <w:tcPr>
            <w:tcW w:type="dxa" w:w="2340"/>
          </w:tcPr>
          <w:p>
            <w:pPr>
              <w:spacing w:line="240" w:lineRule="auto" w:after="40" w:before="40"/>
            </w:pPr>
            <w:r>
              <w:rPr>
                <w:sz w:val="19"/>
              </w:rPr>
            </w:r>
            <w:r>
              <w:rPr>
                <w:rFonts w:ascii="Times New Roman" w:hAnsi="Times New Roman"/>
                <w:b w:val="0"/>
                <w:i w:val="0"/>
                <w:sz w:val="19"/>
              </w:rPr>
              <w:t>0.968 (0.952–0.985)</w:t>
            </w:r>
          </w:p>
        </w:tc>
        <w:tc>
          <w:tcPr>
            <w:tcW w:type="dxa" w:w="2340"/>
          </w:tcPr>
          <w:p>
            <w:pPr>
              <w:spacing w:line="240" w:lineRule="auto" w:after="40" w:before="40"/>
            </w:pPr>
            <w:r>
              <w:rPr>
                <w:sz w:val="19"/>
              </w:rPr>
            </w:r>
            <w:r>
              <w:rPr>
                <w:rFonts w:ascii="Times New Roman" w:hAnsi="Times New Roman"/>
                <w:b w:val="0"/>
                <w:i w:val="0"/>
                <w:sz w:val="19"/>
              </w:rPr>
              <w:t>0.967 (0.950–0.983)</w:t>
            </w:r>
          </w:p>
        </w:tc>
        <w:tc>
          <w:tcPr>
            <w:tcW w:type="dxa" w:w="2340"/>
          </w:tcPr>
          <w:p>
            <w:pPr>
              <w:spacing w:line="240" w:lineRule="auto" w:after="40" w:before="40"/>
            </w:pPr>
            <w:r>
              <w:rPr>
                <w:sz w:val="19"/>
              </w:rPr>
            </w:r>
            <w:r>
              <w:rPr>
                <w:rFonts w:ascii="Times New Roman" w:hAnsi="Times New Roman"/>
                <w:b w:val="0"/>
                <w:i w:val="0"/>
                <w:sz w:val="19"/>
              </w:rPr>
              <w:t>0.965 (0.948–0.982)</w:t>
            </w:r>
          </w:p>
        </w:tc>
      </w:tr>
      <w:tr>
        <w:tc>
          <w:tcPr>
            <w:tcW w:type="dxa" w:w="2340"/>
          </w:tcPr>
          <w:p>
            <w:pPr>
              <w:spacing w:line="240" w:lineRule="auto" w:after="40" w:before="40"/>
            </w:pPr>
            <w:r>
              <w:rPr>
                <w:sz w:val="19"/>
              </w:rPr>
            </w:r>
            <w:r>
              <w:rPr>
                <w:rFonts w:ascii="Times New Roman" w:hAnsi="Times New Roman"/>
                <w:b w:val="0"/>
                <w:i w:val="0"/>
                <w:sz w:val="19"/>
              </w:rPr>
              <w:t>P25–40</w:t>
            </w:r>
          </w:p>
        </w:tc>
        <w:tc>
          <w:tcPr>
            <w:tcW w:type="dxa" w:w="2340"/>
          </w:tcPr>
          <w:p>
            <w:pPr>
              <w:spacing w:line="240" w:lineRule="auto" w:after="40" w:before="40"/>
            </w:pPr>
            <w:r>
              <w:rPr>
                <w:sz w:val="19"/>
              </w:rPr>
            </w:r>
            <w:r>
              <w:rPr>
                <w:rFonts w:ascii="Times New Roman" w:hAnsi="Times New Roman"/>
                <w:b w:val="0"/>
                <w:i w:val="0"/>
                <w:sz w:val="19"/>
              </w:rPr>
              <w:t>0.987 (0.969–1.006)</w:t>
            </w:r>
          </w:p>
        </w:tc>
        <w:tc>
          <w:tcPr>
            <w:tcW w:type="dxa" w:w="2340"/>
          </w:tcPr>
          <w:p>
            <w:pPr>
              <w:spacing w:line="240" w:lineRule="auto" w:after="40" w:before="40"/>
            </w:pPr>
            <w:r>
              <w:rPr>
                <w:sz w:val="19"/>
              </w:rPr>
            </w:r>
            <w:r>
              <w:rPr>
                <w:rFonts w:ascii="Times New Roman" w:hAnsi="Times New Roman"/>
                <w:b w:val="0"/>
                <w:i w:val="0"/>
                <w:sz w:val="19"/>
              </w:rPr>
              <w:t>0.985 (0.967–1.004)</w:t>
            </w:r>
          </w:p>
        </w:tc>
        <w:tc>
          <w:tcPr>
            <w:tcW w:type="dxa" w:w="2340"/>
          </w:tcPr>
          <w:p>
            <w:pPr>
              <w:spacing w:line="240" w:lineRule="auto" w:after="40" w:before="40"/>
            </w:pPr>
            <w:r>
              <w:rPr>
                <w:sz w:val="19"/>
              </w:rPr>
            </w:r>
            <w:r>
              <w:rPr>
                <w:rFonts w:ascii="Times New Roman" w:hAnsi="Times New Roman"/>
                <w:b w:val="0"/>
                <w:i w:val="0"/>
                <w:sz w:val="19"/>
              </w:rPr>
              <w:t>0.985 (0.967–1.004)</w:t>
            </w:r>
          </w:p>
        </w:tc>
      </w:tr>
      <w:tr>
        <w:tc>
          <w:tcPr>
            <w:tcW w:type="dxa" w:w="2340"/>
          </w:tcPr>
          <w:p>
            <w:pPr>
              <w:spacing w:line="240" w:lineRule="auto" w:after="40" w:before="40"/>
            </w:pPr>
            <w:r>
              <w:rPr>
                <w:sz w:val="19"/>
              </w:rPr>
            </w:r>
            <w:r>
              <w:rPr>
                <w:rFonts w:ascii="Times New Roman" w:hAnsi="Times New Roman"/>
                <w:b w:val="0"/>
                <w:i w:val="0"/>
                <w:sz w:val="19"/>
              </w:rPr>
              <w:t>P40–60</w:t>
            </w:r>
          </w:p>
        </w:tc>
        <w:tc>
          <w:tcPr>
            <w:tcW w:type="dxa" w:w="2340"/>
          </w:tcPr>
          <w:p>
            <w:pPr>
              <w:spacing w:line="240" w:lineRule="auto" w:after="40" w:before="40"/>
            </w:pPr>
            <w:r>
              <w:rPr>
                <w:sz w:val="19"/>
              </w:rPr>
            </w:r>
            <w:r>
              <w:rPr>
                <w:rFonts w:ascii="Times New Roman" w:hAnsi="Times New Roman"/>
                <w:b w:val="0"/>
                <w:i w:val="0"/>
                <w:sz w:val="19"/>
              </w:rPr>
              <w:t>1.000 (reference)</w:t>
            </w:r>
          </w:p>
        </w:tc>
        <w:tc>
          <w:tcPr>
            <w:tcW w:type="dxa" w:w="2340"/>
          </w:tcPr>
          <w:p>
            <w:pPr>
              <w:spacing w:line="240" w:lineRule="auto" w:after="40" w:before="40"/>
            </w:pPr>
            <w:r>
              <w:rPr>
                <w:sz w:val="19"/>
              </w:rPr>
            </w:r>
            <w:r>
              <w:rPr>
                <w:rFonts w:ascii="Times New Roman" w:hAnsi="Times New Roman"/>
                <w:b w:val="0"/>
                <w:i w:val="0"/>
                <w:sz w:val="19"/>
              </w:rPr>
              <w:t>1.000 (reference)</w:t>
            </w:r>
          </w:p>
        </w:tc>
        <w:tc>
          <w:tcPr>
            <w:tcW w:type="dxa" w:w="2340"/>
          </w:tcPr>
          <w:p>
            <w:pPr>
              <w:spacing w:line="240" w:lineRule="auto" w:after="40" w:before="40"/>
            </w:pPr>
            <w:r>
              <w:rPr>
                <w:sz w:val="19"/>
              </w:rPr>
            </w:r>
            <w:r>
              <w:rPr>
                <w:rFonts w:ascii="Times New Roman" w:hAnsi="Times New Roman"/>
                <w:b w:val="0"/>
                <w:i w:val="0"/>
                <w:sz w:val="19"/>
              </w:rPr>
              <w:t>1.000 (reference)</w:t>
            </w:r>
          </w:p>
        </w:tc>
      </w:tr>
      <w:tr>
        <w:tc>
          <w:tcPr>
            <w:tcW w:type="dxa" w:w="2340"/>
          </w:tcPr>
          <w:p>
            <w:pPr>
              <w:spacing w:line="240" w:lineRule="auto" w:after="40" w:before="40"/>
            </w:pPr>
            <w:r>
              <w:rPr>
                <w:sz w:val="19"/>
              </w:rPr>
            </w:r>
            <w:r>
              <w:rPr>
                <w:rFonts w:ascii="Times New Roman" w:hAnsi="Times New Roman"/>
                <w:b w:val="0"/>
                <w:i w:val="0"/>
                <w:sz w:val="19"/>
              </w:rPr>
              <w:t>P60–75</w:t>
            </w:r>
          </w:p>
        </w:tc>
        <w:tc>
          <w:tcPr>
            <w:tcW w:type="dxa" w:w="2340"/>
          </w:tcPr>
          <w:p>
            <w:pPr>
              <w:spacing w:line="240" w:lineRule="auto" w:after="40" w:before="40"/>
            </w:pPr>
            <w:r>
              <w:rPr>
                <w:sz w:val="19"/>
              </w:rPr>
            </w:r>
            <w:r>
              <w:rPr>
                <w:rFonts w:ascii="Times New Roman" w:hAnsi="Times New Roman"/>
                <w:b w:val="0"/>
                <w:i w:val="0"/>
                <w:sz w:val="19"/>
              </w:rPr>
              <w:t>1.033 (1.017–1.049)</w:t>
            </w:r>
          </w:p>
        </w:tc>
        <w:tc>
          <w:tcPr>
            <w:tcW w:type="dxa" w:w="2340"/>
          </w:tcPr>
          <w:p>
            <w:pPr>
              <w:spacing w:line="240" w:lineRule="auto" w:after="40" w:before="40"/>
            </w:pPr>
            <w:r>
              <w:rPr>
                <w:sz w:val="19"/>
              </w:rPr>
            </w:r>
            <w:r>
              <w:rPr>
                <w:rFonts w:ascii="Times New Roman" w:hAnsi="Times New Roman"/>
                <w:b w:val="0"/>
                <w:i w:val="0"/>
                <w:sz w:val="19"/>
              </w:rPr>
              <w:t>1.031 (1.015–1.047)</w:t>
            </w:r>
          </w:p>
        </w:tc>
        <w:tc>
          <w:tcPr>
            <w:tcW w:type="dxa" w:w="2340"/>
          </w:tcPr>
          <w:p>
            <w:pPr>
              <w:spacing w:line="240" w:lineRule="auto" w:after="40" w:before="40"/>
            </w:pPr>
            <w:r>
              <w:rPr>
                <w:sz w:val="19"/>
              </w:rPr>
            </w:r>
            <w:r>
              <w:rPr>
                <w:rFonts w:ascii="Times New Roman" w:hAnsi="Times New Roman"/>
                <w:b w:val="0"/>
                <w:i w:val="0"/>
                <w:sz w:val="19"/>
              </w:rPr>
              <w:t>1.031 (1.015–1.047)</w:t>
            </w:r>
          </w:p>
        </w:tc>
      </w:tr>
      <w:tr>
        <w:tc>
          <w:tcPr>
            <w:tcW w:type="dxa" w:w="2340"/>
          </w:tcPr>
          <w:p>
            <w:pPr>
              <w:spacing w:line="240" w:lineRule="auto" w:after="40" w:before="40"/>
            </w:pPr>
            <w:r>
              <w:rPr>
                <w:sz w:val="19"/>
              </w:rPr>
            </w:r>
            <w:r>
              <w:rPr>
                <w:rFonts w:ascii="Times New Roman" w:hAnsi="Times New Roman"/>
                <w:b w:val="0"/>
                <w:i w:val="0"/>
                <w:sz w:val="19"/>
              </w:rPr>
              <w:t>P75–90</w:t>
            </w:r>
          </w:p>
        </w:tc>
        <w:tc>
          <w:tcPr>
            <w:tcW w:type="dxa" w:w="2340"/>
          </w:tcPr>
          <w:p>
            <w:pPr>
              <w:spacing w:line="240" w:lineRule="auto" w:after="40" w:before="40"/>
            </w:pPr>
            <w:r>
              <w:rPr>
                <w:sz w:val="19"/>
              </w:rPr>
            </w:r>
            <w:r>
              <w:rPr>
                <w:rFonts w:ascii="Times New Roman" w:hAnsi="Times New Roman"/>
                <w:b w:val="0"/>
                <w:i w:val="0"/>
                <w:sz w:val="19"/>
              </w:rPr>
              <w:t>1.045 (1.023–1.068)</w:t>
            </w:r>
          </w:p>
        </w:tc>
        <w:tc>
          <w:tcPr>
            <w:tcW w:type="dxa" w:w="2340"/>
          </w:tcPr>
          <w:p>
            <w:pPr>
              <w:spacing w:line="240" w:lineRule="auto" w:after="40" w:before="40"/>
            </w:pPr>
            <w:r>
              <w:rPr>
                <w:sz w:val="19"/>
              </w:rPr>
            </w:r>
            <w:r>
              <w:rPr>
                <w:rFonts w:ascii="Times New Roman" w:hAnsi="Times New Roman"/>
                <w:b w:val="0"/>
                <w:i w:val="0"/>
                <w:sz w:val="19"/>
              </w:rPr>
              <w:t>1.046 (1.024–1.069)</w:t>
            </w:r>
          </w:p>
        </w:tc>
        <w:tc>
          <w:tcPr>
            <w:tcW w:type="dxa" w:w="2340"/>
          </w:tcPr>
          <w:p>
            <w:pPr>
              <w:spacing w:line="240" w:lineRule="auto" w:after="40" w:before="40"/>
            </w:pPr>
            <w:r>
              <w:rPr>
                <w:sz w:val="19"/>
              </w:rPr>
            </w:r>
            <w:r>
              <w:rPr>
                <w:rFonts w:ascii="Times New Roman" w:hAnsi="Times New Roman"/>
                <w:b w:val="0"/>
                <w:i w:val="0"/>
                <w:sz w:val="19"/>
              </w:rPr>
              <w:t>1.046 (1.024–1.069)</w:t>
            </w:r>
          </w:p>
        </w:tc>
      </w:tr>
      <w:tr>
        <w:tc>
          <w:tcPr>
            <w:tcW w:type="dxa" w:w="2340"/>
          </w:tcPr>
          <w:p>
            <w:pPr>
              <w:spacing w:line="240" w:lineRule="auto" w:after="40" w:before="40"/>
            </w:pPr>
            <w:r>
              <w:rPr>
                <w:sz w:val="19"/>
              </w:rPr>
            </w:r>
            <w:r>
              <w:rPr>
                <w:rFonts w:ascii="Times New Roman" w:hAnsi="Times New Roman"/>
                <w:b w:val="0"/>
                <w:i w:val="0"/>
                <w:sz w:val="19"/>
              </w:rPr>
              <w:t>P90–95</w:t>
            </w:r>
          </w:p>
        </w:tc>
        <w:tc>
          <w:tcPr>
            <w:tcW w:type="dxa" w:w="2340"/>
          </w:tcPr>
          <w:p>
            <w:pPr>
              <w:spacing w:line="240" w:lineRule="auto" w:after="40" w:before="40"/>
            </w:pPr>
            <w:r>
              <w:rPr>
                <w:sz w:val="19"/>
              </w:rPr>
            </w:r>
            <w:r>
              <w:rPr>
                <w:rFonts w:ascii="Times New Roman" w:hAnsi="Times New Roman"/>
                <w:b w:val="0"/>
                <w:i w:val="0"/>
                <w:sz w:val="19"/>
              </w:rPr>
              <w:t>1.044 (1.015–1.073)</w:t>
            </w:r>
          </w:p>
        </w:tc>
        <w:tc>
          <w:tcPr>
            <w:tcW w:type="dxa" w:w="2340"/>
          </w:tcPr>
          <w:p>
            <w:pPr>
              <w:spacing w:line="240" w:lineRule="auto" w:after="40" w:before="40"/>
            </w:pPr>
            <w:r>
              <w:rPr>
                <w:sz w:val="19"/>
              </w:rPr>
            </w:r>
            <w:r>
              <w:rPr>
                <w:rFonts w:ascii="Times New Roman" w:hAnsi="Times New Roman"/>
                <w:b w:val="0"/>
                <w:i w:val="0"/>
                <w:sz w:val="19"/>
              </w:rPr>
              <w:t>1.033 (1.004–1.062)</w:t>
            </w:r>
          </w:p>
        </w:tc>
        <w:tc>
          <w:tcPr>
            <w:tcW w:type="dxa" w:w="2340"/>
          </w:tcPr>
          <w:p>
            <w:pPr>
              <w:spacing w:line="240" w:lineRule="auto" w:after="40" w:before="40"/>
            </w:pPr>
            <w:r>
              <w:rPr>
                <w:sz w:val="19"/>
              </w:rPr>
            </w:r>
            <w:r>
              <w:rPr>
                <w:rFonts w:ascii="Times New Roman" w:hAnsi="Times New Roman"/>
                <w:b w:val="0"/>
                <w:i w:val="0"/>
                <w:sz w:val="19"/>
              </w:rPr>
              <w:t>1.033 (1.004–1.062)</w:t>
            </w:r>
          </w:p>
        </w:tc>
      </w:tr>
      <w:tr>
        <w:tc>
          <w:tcPr>
            <w:tcW w:type="dxa" w:w="2340"/>
          </w:tcPr>
          <w:p>
            <w:pPr>
              <w:spacing w:line="240" w:lineRule="auto" w:after="40" w:before="40"/>
            </w:pPr>
            <w:r>
              <w:rPr>
                <w:sz w:val="19"/>
              </w:rPr>
            </w:r>
            <w:r>
              <w:rPr>
                <w:rFonts w:ascii="Times New Roman" w:hAnsi="Times New Roman"/>
                <w:b w:val="0"/>
                <w:i w:val="0"/>
                <w:sz w:val="19"/>
              </w:rPr>
              <w:t>P95–99</w:t>
            </w:r>
          </w:p>
        </w:tc>
        <w:tc>
          <w:tcPr>
            <w:tcW w:type="dxa" w:w="2340"/>
          </w:tcPr>
          <w:p>
            <w:pPr>
              <w:spacing w:line="240" w:lineRule="auto" w:after="40" w:before="40"/>
            </w:pPr>
            <w:r>
              <w:rPr>
                <w:sz w:val="19"/>
              </w:rPr>
            </w:r>
            <w:r>
              <w:rPr>
                <w:rFonts w:ascii="Times New Roman" w:hAnsi="Times New Roman"/>
                <w:b w:val="0"/>
                <w:i w:val="0"/>
                <w:sz w:val="19"/>
              </w:rPr>
              <w:t>1.050 (1.018–1.083)</w:t>
            </w:r>
          </w:p>
        </w:tc>
        <w:tc>
          <w:tcPr>
            <w:tcW w:type="dxa" w:w="2340"/>
          </w:tcPr>
          <w:p>
            <w:pPr>
              <w:spacing w:line="240" w:lineRule="auto" w:after="40" w:before="40"/>
            </w:pPr>
            <w:r>
              <w:rPr>
                <w:sz w:val="19"/>
              </w:rPr>
            </w:r>
            <w:r>
              <w:rPr>
                <w:rFonts w:ascii="Times New Roman" w:hAnsi="Times New Roman"/>
                <w:b w:val="0"/>
                <w:i w:val="0"/>
                <w:sz w:val="19"/>
              </w:rPr>
              <w:t>1.050 (1.016–1.084)</w:t>
            </w:r>
          </w:p>
        </w:tc>
        <w:tc>
          <w:tcPr>
            <w:tcW w:type="dxa" w:w="2340"/>
          </w:tcPr>
          <w:p>
            <w:pPr>
              <w:spacing w:line="240" w:lineRule="auto" w:after="40" w:before="40"/>
            </w:pPr>
            <w:r>
              <w:rPr>
                <w:sz w:val="19"/>
              </w:rPr>
            </w:r>
            <w:r>
              <w:rPr>
                <w:rFonts w:ascii="Times New Roman" w:hAnsi="Times New Roman"/>
                <w:b w:val="0"/>
                <w:i w:val="0"/>
                <w:sz w:val="19"/>
              </w:rPr>
              <w:t>1.049 (1.016–1.083)</w:t>
            </w:r>
          </w:p>
        </w:tc>
      </w:tr>
      <w:tr>
        <w:tc>
          <w:tcPr>
            <w:tcW w:type="dxa" w:w="2340"/>
          </w:tcPr>
          <w:p>
            <w:pPr>
              <w:spacing w:line="240" w:lineRule="auto" w:after="40" w:before="40"/>
            </w:pPr>
            <w:r>
              <w:rPr>
                <w:sz w:val="19"/>
              </w:rPr>
            </w:r>
            <w:r>
              <w:rPr>
                <w:rFonts w:ascii="Times New Roman" w:hAnsi="Times New Roman"/>
                <w:b w:val="0"/>
                <w:i w:val="0"/>
                <w:sz w:val="19"/>
              </w:rPr>
              <w:t>≥P99</w:t>
            </w:r>
          </w:p>
        </w:tc>
        <w:tc>
          <w:tcPr>
            <w:tcW w:type="dxa" w:w="2340"/>
          </w:tcPr>
          <w:p>
            <w:pPr>
              <w:spacing w:line="240" w:lineRule="auto" w:after="40" w:before="40"/>
            </w:pPr>
            <w:r>
              <w:rPr>
                <w:sz w:val="19"/>
              </w:rPr>
            </w:r>
            <w:r>
              <w:rPr>
                <w:rFonts w:ascii="Times New Roman" w:hAnsi="Times New Roman"/>
                <w:b w:val="0"/>
                <w:i w:val="0"/>
                <w:sz w:val="19"/>
              </w:rPr>
              <w:t>1.041 (0.979–1.108)</w:t>
            </w:r>
          </w:p>
        </w:tc>
        <w:tc>
          <w:tcPr>
            <w:tcW w:type="dxa" w:w="2340"/>
          </w:tcPr>
          <w:p>
            <w:pPr>
              <w:spacing w:line="240" w:lineRule="auto" w:after="40" w:before="40"/>
            </w:pPr>
            <w:r>
              <w:rPr>
                <w:sz w:val="19"/>
              </w:rPr>
            </w:r>
            <w:r>
              <w:rPr>
                <w:rFonts w:ascii="Times New Roman" w:hAnsi="Times New Roman"/>
                <w:b w:val="0"/>
                <w:i w:val="0"/>
                <w:sz w:val="19"/>
              </w:rPr>
              <w:t>1.035 (0.968–1.106)</w:t>
            </w:r>
          </w:p>
        </w:tc>
        <w:tc>
          <w:tcPr>
            <w:tcW w:type="dxa" w:w="2340"/>
          </w:tcPr>
          <w:p>
            <w:pPr>
              <w:spacing w:line="240" w:lineRule="auto" w:after="40" w:before="40"/>
            </w:pPr>
            <w:r>
              <w:rPr>
                <w:sz w:val="19"/>
              </w:rPr>
            </w:r>
            <w:r>
              <w:rPr>
                <w:rFonts w:ascii="Times New Roman" w:hAnsi="Times New Roman"/>
                <w:b w:val="0"/>
                <w:i w:val="0"/>
                <w:sz w:val="19"/>
              </w:rPr>
              <w:t>1.035 (0.969–1.106)</w:t>
            </w:r>
          </w:p>
        </w:tc>
      </w:tr>
    </w:tbl>
    <w:p>
      <w:pPr>
        <w:spacing w:after="120"/>
      </w:pPr>
    </w:p>
    <w:p>
      <w:pPr>
        <w:spacing w:before="0" w:after="0"/>
        <w:jc w:val="both"/>
      </w:pPr>
      <w:r>
        <w:rPr>
          <w:rFonts w:ascii="Times New Roman" w:hAnsi="Times New Roman"/>
          <w:b w:val="0"/>
          <w:i w:val="0"/>
        </w:rPr>
        <w:t>Contrasts against P75–90, the band at which the rise ends:</w:t>
      </w:r>
    </w:p>
    <w:tbl>
      <w:tblPr>
        <w:tblStyle w:val="TableGrid"/>
        <w:tblW w:type="auto" w:w="0"/>
        <w:tblLayout w:type="autofit"/>
        <w:tblLook w:firstColumn="1" w:firstRow="1" w:lastColumn="0" w:lastRow="0" w:noHBand="0" w:noVBand="1" w:val="04A0"/>
      </w:tblPr>
      <w:tblGrid>
        <w:gridCol w:w="2340"/>
        <w:gridCol w:w="2340"/>
        <w:gridCol w:w="2340"/>
        <w:gridCol w:w="2340"/>
      </w:tblGrid>
      <w:tr>
        <w:tc>
          <w:tcPr>
            <w:tcW w:type="dxa" w:w="2340"/>
          </w:tcPr>
          <w:p>
            <w:pPr>
              <w:spacing w:line="240" w:lineRule="auto" w:after="40" w:before="40"/>
            </w:pPr>
            <w:r>
              <w:rPr>
                <w:b/>
                <w:sz w:val="19"/>
              </w:rPr>
            </w:r>
            <w:r>
              <w:rPr>
                <w:rFonts w:ascii="Times New Roman" w:hAnsi="Times New Roman"/>
                <w:b/>
                <w:i w:val="0"/>
                <w:sz w:val="19"/>
              </w:rPr>
              <w:t>Contrast</w:t>
            </w:r>
          </w:p>
        </w:tc>
        <w:tc>
          <w:tcPr>
            <w:tcW w:type="dxa" w:w="2340"/>
          </w:tcPr>
          <w:p>
            <w:pPr>
              <w:spacing w:line="240" w:lineRule="auto" w:after="40" w:before="40"/>
            </w:pPr>
            <w:r>
              <w:rPr>
                <w:b/>
                <w:sz w:val="19"/>
              </w:rPr>
            </w:r>
            <w:r>
              <w:rPr>
                <w:rFonts w:ascii="Times New Roman" w:hAnsi="Times New Roman"/>
                <w:b/>
                <w:i w:val="0"/>
                <w:sz w:val="19"/>
              </w:rPr>
              <w:t>Main</w:t>
            </w:r>
          </w:p>
        </w:tc>
        <w:tc>
          <w:tcPr>
            <w:tcW w:type="dxa" w:w="2340"/>
          </w:tcPr>
          <w:p>
            <w:pPr>
              <w:spacing w:line="240" w:lineRule="auto" w:after="40" w:before="40"/>
            </w:pPr>
            <w:r>
              <w:rPr>
                <w:b/>
                <w:sz w:val="19"/>
              </w:rPr>
            </w:r>
            <w:r>
              <w:rPr>
                <w:rFonts w:ascii="Times New Roman" w:hAnsi="Times New Roman"/>
                <w:b/>
                <w:i w:val="0"/>
                <w:sz w:val="19"/>
              </w:rPr>
              <w:t>Excluding Songkran</w:t>
            </w:r>
          </w:p>
        </w:tc>
        <w:tc>
          <w:tcPr>
            <w:tcW w:type="dxa" w:w="2340"/>
          </w:tcPr>
          <w:p>
            <w:pPr>
              <w:spacing w:line="240" w:lineRule="auto" w:after="40" w:before="40"/>
            </w:pPr>
            <w:r>
              <w:rPr>
                <w:b/>
                <w:sz w:val="19"/>
              </w:rPr>
            </w:r>
            <w:r>
              <w:rPr>
                <w:rFonts w:ascii="Times New Roman" w:hAnsi="Times New Roman"/>
                <w:b/>
                <w:i w:val="0"/>
                <w:sz w:val="19"/>
              </w:rPr>
              <w:t>Excluding both</w:t>
            </w:r>
          </w:p>
        </w:tc>
      </w:tr>
      <w:tr>
        <w:tc>
          <w:tcPr>
            <w:tcW w:type="dxa" w:w="2340"/>
          </w:tcPr>
          <w:p>
            <w:pPr>
              <w:spacing w:line="240" w:lineRule="auto" w:after="40" w:before="40"/>
            </w:pPr>
            <w:r>
              <w:rPr>
                <w:sz w:val="19"/>
              </w:rPr>
            </w:r>
            <w:r>
              <w:rPr>
                <w:rFonts w:ascii="Times New Roman" w:hAnsi="Times New Roman"/>
                <w:b w:val="0"/>
                <w:i w:val="0"/>
                <w:sz w:val="19"/>
              </w:rPr>
              <w:t>P90–95 vs P75–90</w:t>
            </w:r>
          </w:p>
        </w:tc>
        <w:tc>
          <w:tcPr>
            <w:tcW w:type="dxa" w:w="2340"/>
          </w:tcPr>
          <w:p>
            <w:pPr>
              <w:spacing w:line="240" w:lineRule="auto" w:after="40" w:before="40"/>
            </w:pPr>
            <w:r>
              <w:rPr>
                <w:sz w:val="19"/>
              </w:rPr>
            </w:r>
            <w:r>
              <w:rPr>
                <w:rFonts w:ascii="Times New Roman" w:hAnsi="Times New Roman"/>
                <w:b w:val="0"/>
                <w:i w:val="0"/>
                <w:sz w:val="19"/>
              </w:rPr>
              <w:t>0.998 (p = 0.92)</w:t>
            </w:r>
          </w:p>
        </w:tc>
        <w:tc>
          <w:tcPr>
            <w:tcW w:type="dxa" w:w="2340"/>
          </w:tcPr>
          <w:p>
            <w:pPr>
              <w:spacing w:line="240" w:lineRule="auto" w:after="40" w:before="40"/>
            </w:pPr>
            <w:r>
              <w:rPr>
                <w:sz w:val="19"/>
              </w:rPr>
            </w:r>
            <w:r>
              <w:rPr>
                <w:rFonts w:ascii="Times New Roman" w:hAnsi="Times New Roman"/>
                <w:b w:val="0"/>
                <w:i w:val="0"/>
                <w:sz w:val="19"/>
              </w:rPr>
              <w:t>0.987 (p = 0.48)</w:t>
            </w:r>
          </w:p>
        </w:tc>
        <w:tc>
          <w:tcPr>
            <w:tcW w:type="dxa" w:w="2340"/>
          </w:tcPr>
          <w:p>
            <w:pPr>
              <w:spacing w:line="240" w:lineRule="auto" w:after="40" w:before="40"/>
            </w:pPr>
            <w:r>
              <w:rPr>
                <w:sz w:val="19"/>
              </w:rPr>
            </w:r>
            <w:r>
              <w:rPr>
                <w:rFonts w:ascii="Times New Roman" w:hAnsi="Times New Roman"/>
                <w:b w:val="0"/>
                <w:i w:val="0"/>
                <w:sz w:val="19"/>
              </w:rPr>
              <w:t>0.987 (p = 0.48)</w:t>
            </w:r>
          </w:p>
        </w:tc>
      </w:tr>
      <w:tr>
        <w:tc>
          <w:tcPr>
            <w:tcW w:type="dxa" w:w="2340"/>
          </w:tcPr>
          <w:p>
            <w:pPr>
              <w:spacing w:line="240" w:lineRule="auto" w:after="40" w:before="40"/>
            </w:pPr>
            <w:r>
              <w:rPr>
                <w:sz w:val="19"/>
              </w:rPr>
            </w:r>
            <w:r>
              <w:rPr>
                <w:rFonts w:ascii="Times New Roman" w:hAnsi="Times New Roman"/>
                <w:b w:val="0"/>
                <w:i w:val="0"/>
                <w:sz w:val="19"/>
              </w:rPr>
              <w:t>P95–99 vs P75–90</w:t>
            </w:r>
          </w:p>
        </w:tc>
        <w:tc>
          <w:tcPr>
            <w:tcW w:type="dxa" w:w="2340"/>
          </w:tcPr>
          <w:p>
            <w:pPr>
              <w:spacing w:line="240" w:lineRule="auto" w:after="40" w:before="40"/>
            </w:pPr>
            <w:r>
              <w:rPr>
                <w:sz w:val="19"/>
              </w:rPr>
            </w:r>
            <w:r>
              <w:rPr>
                <w:rFonts w:ascii="Times New Roman" w:hAnsi="Times New Roman"/>
                <w:b w:val="0"/>
                <w:i w:val="0"/>
                <w:sz w:val="19"/>
              </w:rPr>
              <w:t>1.005 (p = 0.81)</w:t>
            </w:r>
          </w:p>
        </w:tc>
        <w:tc>
          <w:tcPr>
            <w:tcW w:type="dxa" w:w="2340"/>
          </w:tcPr>
          <w:p>
            <w:pPr>
              <w:spacing w:line="240" w:lineRule="auto" w:after="40" w:before="40"/>
            </w:pPr>
            <w:r>
              <w:rPr>
                <w:sz w:val="19"/>
              </w:rPr>
            </w:r>
            <w:r>
              <w:rPr>
                <w:rFonts w:ascii="Times New Roman" w:hAnsi="Times New Roman"/>
                <w:b w:val="0"/>
                <w:i w:val="0"/>
                <w:sz w:val="19"/>
              </w:rPr>
              <w:t>1.003 (p = 0.87)</w:t>
            </w:r>
          </w:p>
        </w:tc>
        <w:tc>
          <w:tcPr>
            <w:tcW w:type="dxa" w:w="2340"/>
          </w:tcPr>
          <w:p>
            <w:pPr>
              <w:spacing w:line="240" w:lineRule="auto" w:after="40" w:before="40"/>
            </w:pPr>
            <w:r>
              <w:rPr>
                <w:sz w:val="19"/>
              </w:rPr>
            </w:r>
            <w:r>
              <w:rPr>
                <w:rFonts w:ascii="Times New Roman" w:hAnsi="Times New Roman"/>
                <w:b w:val="0"/>
                <w:i w:val="0"/>
                <w:sz w:val="19"/>
              </w:rPr>
              <w:t>1.003 (p = 0.89)</w:t>
            </w:r>
          </w:p>
        </w:tc>
      </w:tr>
      <w:tr>
        <w:tc>
          <w:tcPr>
            <w:tcW w:type="dxa" w:w="2340"/>
          </w:tcPr>
          <w:p>
            <w:pPr>
              <w:spacing w:line="240" w:lineRule="auto" w:after="40" w:before="40"/>
            </w:pPr>
            <w:r>
              <w:rPr>
                <w:sz w:val="19"/>
              </w:rPr>
            </w:r>
            <w:r>
              <w:rPr>
                <w:rFonts w:ascii="Times New Roman" w:hAnsi="Times New Roman"/>
                <w:b w:val="0"/>
                <w:i w:val="0"/>
                <w:sz w:val="19"/>
              </w:rPr>
              <w:t>≥P99 vs P75–90</w:t>
            </w:r>
          </w:p>
        </w:tc>
        <w:tc>
          <w:tcPr>
            <w:tcW w:type="dxa" w:w="2340"/>
          </w:tcPr>
          <w:p>
            <w:pPr>
              <w:spacing w:line="240" w:lineRule="auto" w:after="40" w:before="40"/>
            </w:pPr>
            <w:r>
              <w:rPr>
                <w:sz w:val="19"/>
              </w:rPr>
            </w:r>
            <w:r>
              <w:rPr>
                <w:rFonts w:ascii="Times New Roman" w:hAnsi="Times New Roman"/>
                <w:b w:val="0"/>
                <w:i w:val="0"/>
                <w:sz w:val="19"/>
              </w:rPr>
              <w:t>0.996 (p = 0.91)</w:t>
            </w:r>
          </w:p>
        </w:tc>
        <w:tc>
          <w:tcPr>
            <w:tcW w:type="dxa" w:w="2340"/>
          </w:tcPr>
          <w:p>
            <w:pPr>
              <w:spacing w:line="240" w:lineRule="auto" w:after="40" w:before="40"/>
            </w:pPr>
            <w:r>
              <w:rPr>
                <w:sz w:val="19"/>
              </w:rPr>
            </w:r>
            <w:r>
              <w:rPr>
                <w:rFonts w:ascii="Times New Roman" w:hAnsi="Times New Roman"/>
                <w:b w:val="0"/>
                <w:i w:val="0"/>
                <w:sz w:val="19"/>
              </w:rPr>
              <w:t>0.989 (p = 0.76)</w:t>
            </w:r>
          </w:p>
        </w:tc>
        <w:tc>
          <w:tcPr>
            <w:tcW w:type="dxa" w:w="2340"/>
          </w:tcPr>
          <w:p>
            <w:pPr>
              <w:spacing w:line="240" w:lineRule="auto" w:after="40" w:before="40"/>
            </w:pPr>
            <w:r>
              <w:rPr>
                <w:sz w:val="19"/>
              </w:rPr>
            </w:r>
            <w:r>
              <w:rPr>
                <w:rFonts w:ascii="Times New Roman" w:hAnsi="Times New Roman"/>
                <w:b w:val="0"/>
                <w:i w:val="0"/>
                <w:sz w:val="19"/>
              </w:rPr>
              <w:t>0.989 (p = 0.76)</w:t>
            </w:r>
          </w:p>
        </w:tc>
      </w:tr>
    </w:tbl>
    <w:p>
      <w:pPr>
        <w:spacing w:after="120"/>
      </w:pPr>
    </w:p>
    <w:p>
      <w:pPr>
        <w:spacing w:before="0" w:after="0"/>
        <w:jc w:val="both"/>
      </w:pPr>
      <w:r>
        <w:rPr>
          <w:rFonts w:ascii="Times New Roman" w:hAnsi="Times New Roman"/>
          <w:b w:val="0"/>
          <w:i w:val="0"/>
        </w:rPr>
        <w:t>Removing the country's principal road-safety holiday and annual temperature peak leaves both the level and the shape of the curve unchanged.</w:t>
      </w:r>
    </w:p>
    <w:p>
      <w:r>
        <w:br w:type="page"/>
      </w:r>
    </w:p>
    <w:p>
      <w:pPr>
        <w:spacing w:before="280" w:after="80" w:line="360" w:lineRule="auto"/>
      </w:pPr>
      <w:r>
        <w:rPr>
          <w:rFonts w:ascii="Times New Roman" w:hAnsi="Times New Roman"/>
          <w:b/>
          <w:sz w:val="28"/>
        </w:rPr>
        <w:t>S5.3 Spatial exposure resolution</w:t>
      </w:r>
    </w:p>
    <w:p>
      <w:pPr>
        <w:spacing w:before="0" w:after="0"/>
        <w:jc w:val="both"/>
      </w:pPr>
      <w:r>
        <w:rPr>
          <w:rFonts w:ascii="Times New Roman" w:hAnsi="Times New Roman"/>
          <w:b w:val="0"/>
          <w:i w:val="0"/>
        </w:rPr>
        <w:t>Reported in the main text (Table 3, Figure 3). Briefly: crash coordinates were binned to 0.1° cells and daily Tmax interpolated by inverse-distance weighting (power 2, 30 km radius) from 1,145 TMD/GSOD and HII stations. Median distance from cell to nearest station 10.3 km (7.0 km weighted by deaths; 88.7% of deaths within 15 km), against a mean province radius of roughly 45 km. Mean 3.7 contributing stations per cell-day; 95.7% of cell-days covered. On the identical 107,313 geocoded deaths the two exposure measures correlate 0.752 with a mean absolute difference of 2.95 °C, and the two exposure–response curves are indistinguishable.</w:t>
      </w:r>
    </w:p>
    <w:p>
      <w:pPr>
        <w:spacing w:before="0" w:after="0"/>
        <w:jc w:val="both"/>
      </w:pPr>
      <w:r>
        <w:rPr>
          <w:rFonts w:ascii="Times New Roman" w:hAnsi="Times New Roman"/>
          <w:b w:val="0"/>
          <w:i w:val="0"/>
        </w:rPr>
        <w:t>Period for that analysis is 2012–2023, not 2011–2025: HII telemetry starts in 2012 and RTDDI crash coordinates stop after 2023.</w:t>
      </w:r>
    </w:p>
    <w:p>
      <w:pPr>
        <w:spacing w:before="0" w:after="0"/>
        <w:jc w:val="both"/>
      </w:pPr>
      <w:r>
        <w:rPr>
          <w:rFonts w:ascii="Times New Roman" w:hAnsi="Times New Roman"/>
          <w:b w:val="0"/>
          <w:i w:val="0"/>
        </w:rPr>
        <w:t>Crash coordinates are differentially present by road-user type (motorcycle 69.9%, car 30.5%, pedestrian 26.7%), so the geocoded subsample is motorcycle-enriched and is not representative of all road deaths.</w:t>
      </w:r>
    </w:p>
    <w:p>
      <w:pPr>
        <w:spacing w:after="200" w:line="312" w:lineRule="auto"/>
        <w:jc w:val="center"/>
      </w:pPr>
      <w:r>
        <w:rPr>
          <w:rFonts w:ascii="Times New Roman" w:hAnsi="Times New Roman"/>
          <w:b/>
          <w:sz w:val="30"/>
        </w:rPr>
        <w:t>Software and reproducibility</w:t>
      </w:r>
    </w:p>
    <w:p>
      <w:pPr>
        <w:spacing w:before="0" w:after="0"/>
        <w:jc w:val="both"/>
      </w:pPr>
      <w:r>
        <w:rPr>
          <w:rFonts w:ascii="Times New Roman" w:hAnsi="Times New Roman"/>
          <w:b w:val="0"/>
          <w:i w:val="0"/>
        </w:rPr>
        <w:t>The conditional Poisson estimator was implemented directly (</w:t>
      </w:r>
      <w:r>
        <w:rPr>
          <w:rFonts w:ascii="Courier New" w:hAnsi="Courier New"/>
          <w:b w:val="0"/>
          <w:i w:val="0"/>
          <w:sz w:val="20"/>
        </w:rPr>
        <w:t>Analysis/condpois.py</w:t>
      </w:r>
      <w:r>
        <w:rPr>
          <w:rFonts w:ascii="Times New Roman" w:hAnsi="Times New Roman"/>
          <w:b w:val="0"/>
          <w:i w:val="0"/>
        </w:rPr>
        <w:t xml:space="preserve">) and </w:t>
      </w:r>
      <w:r>
        <w:rPr>
          <w:rFonts w:ascii="Times New Roman" w:hAnsi="Times New Roman"/>
          <w:b/>
          <w:i w:val="0"/>
        </w:rPr>
        <w:t xml:space="preserve">validated against a statsmodels Poisson GLM with dense stratum fixed effects on a 4-province × 3-year subset: coefficients agree to </w:t>
      </w:r>
      <w:r>
        <w:rPr>
          <w:rFonts w:ascii="Times New Roman" w:hAnsi="Times New Roman"/>
          <w:b/>
          <w:i w:val="0"/>
        </w:rPr>
        <w:t>5.8 × 10</w:t>
      </w:r>
      <w:r>
        <w:rPr>
          <w:rFonts w:ascii="Times New Roman" w:hAnsi="Times New Roman"/>
          <w:b/>
          <w:i w:val="0"/>
          <w:vertAlign w:val="superscript"/>
        </w:rPr>
        <w:t>-15</w:t>
      </w:r>
      <w:r>
        <w:rPr>
          <w:rFonts w:ascii="Times New Roman" w:hAnsi="Times New Roman"/>
          <w:b/>
          <w:i w:val="0"/>
        </w:rPr>
        <w:t>.</w:t>
      </w:r>
    </w:p>
    <w:tbl>
      <w:tblPr>
        <w:tblStyle w:val="TableGrid"/>
        <w:tblW w:type="auto" w:w="0"/>
        <w:tblLayout w:type="autofit"/>
        <w:tblLook w:firstColumn="1" w:firstRow="1" w:lastColumn="0" w:lastRow="0" w:noHBand="0" w:noVBand="1" w:val="04A0"/>
      </w:tblPr>
      <w:tblGrid>
        <w:gridCol w:w="4680"/>
        <w:gridCol w:w="4680"/>
      </w:tblGrid>
      <w:tr>
        <w:tc>
          <w:tcPr>
            <w:tcW w:type="dxa" w:w="4680"/>
          </w:tcPr>
          <w:p>
            <w:pPr>
              <w:spacing w:line="240" w:lineRule="auto" w:after="40" w:before="40"/>
            </w:pPr>
            <w:r>
              <w:rPr>
                <w:b/>
                <w:sz w:val="19"/>
              </w:rPr>
            </w:r>
            <w:r>
              <w:rPr>
                <w:rFonts w:ascii="Times New Roman" w:hAnsi="Times New Roman"/>
                <w:b/>
                <w:i w:val="0"/>
                <w:sz w:val="19"/>
              </w:rPr>
              <w:t>Script</w:t>
            </w:r>
          </w:p>
        </w:tc>
        <w:tc>
          <w:tcPr>
            <w:tcW w:type="dxa" w:w="4680"/>
          </w:tcPr>
          <w:p>
            <w:pPr>
              <w:spacing w:line="240" w:lineRule="auto" w:after="40" w:before="40"/>
            </w:pPr>
            <w:r>
              <w:rPr>
                <w:b/>
                <w:sz w:val="19"/>
              </w:rPr>
            </w:r>
            <w:r>
              <w:rPr>
                <w:rFonts w:ascii="Times New Roman" w:hAnsi="Times New Roman"/>
                <w:b/>
                <w:i w:val="0"/>
                <w:sz w:val="19"/>
              </w:rPr>
              <w:t>Produces</w:t>
            </w:r>
          </w:p>
        </w:tc>
      </w:tr>
      <w:tr>
        <w:tc>
          <w:tcPr>
            <w:tcW w:type="dxa" w:w="4680"/>
          </w:tcPr>
          <w:p>
            <w:pPr>
              <w:spacing w:line="240" w:lineRule="auto" w:after="40" w:before="40"/>
            </w:pPr>
            <w:r>
              <w:rPr>
                <w:sz w:val="19"/>
              </w:rPr>
            </w:r>
            <w:r>
              <w:rPr>
                <w:rFonts w:ascii="Courier New" w:hAnsi="Courier New"/>
                <w:b w:val="0"/>
                <w:i w:val="0"/>
                <w:sz w:val="19"/>
              </w:rPr>
              <w:t>load_rtddi.py</w:t>
            </w:r>
          </w:p>
        </w:tc>
        <w:tc>
          <w:tcPr>
            <w:tcW w:type="dxa" w:w="4680"/>
          </w:tcPr>
          <w:p>
            <w:pPr>
              <w:spacing w:line="240" w:lineRule="auto" w:after="40" w:before="40"/>
            </w:pPr>
            <w:r>
              <w:rPr>
                <w:sz w:val="19"/>
              </w:rPr>
            </w:r>
            <w:r>
              <w:rPr>
                <w:rFonts w:ascii="Times New Roman" w:hAnsi="Times New Roman"/>
                <w:b w:val="0"/>
                <w:i w:val="0"/>
                <w:sz w:val="19"/>
              </w:rPr>
              <w:t>parses the 16 RTDDI year files (mixed CP874/UTF-8, mixed date orders)</w:t>
            </w:r>
          </w:p>
        </w:tc>
      </w:tr>
      <w:tr>
        <w:tc>
          <w:tcPr>
            <w:tcW w:type="dxa" w:w="4680"/>
          </w:tcPr>
          <w:p>
            <w:pPr>
              <w:spacing w:line="240" w:lineRule="auto" w:after="40" w:before="40"/>
            </w:pPr>
            <w:r>
              <w:rPr>
                <w:sz w:val="19"/>
              </w:rPr>
            </w:r>
            <w:r>
              <w:rPr>
                <w:rFonts w:ascii="Courier New" w:hAnsi="Courier New"/>
                <w:b w:val="0"/>
                <w:i w:val="0"/>
                <w:sz w:val="19"/>
              </w:rPr>
              <w:t>build_exposure.py</w:t>
            </w:r>
          </w:p>
        </w:tc>
        <w:tc>
          <w:tcPr>
            <w:tcW w:type="dxa" w:w="4680"/>
          </w:tcPr>
          <w:p>
            <w:pPr>
              <w:spacing w:line="240" w:lineRule="auto" w:after="40" w:before="40"/>
            </w:pPr>
            <w:r>
              <w:rPr>
                <w:sz w:val="19"/>
              </w:rPr>
            </w:r>
            <w:r>
              <w:rPr>
                <w:rFonts w:ascii="Times New Roman" w:hAnsi="Times New Roman"/>
                <w:b w:val="0"/>
                <w:i w:val="0"/>
                <w:sz w:val="19"/>
              </w:rPr>
              <w:t>province-day Tmax series and station assignment</w:t>
            </w:r>
          </w:p>
        </w:tc>
      </w:tr>
      <w:tr>
        <w:tc>
          <w:tcPr>
            <w:tcW w:type="dxa" w:w="4680"/>
          </w:tcPr>
          <w:p>
            <w:pPr>
              <w:spacing w:line="240" w:lineRule="auto" w:after="40" w:before="40"/>
            </w:pPr>
            <w:r>
              <w:rPr>
                <w:sz w:val="19"/>
              </w:rPr>
            </w:r>
            <w:r>
              <w:rPr>
                <w:rFonts w:ascii="Courier New" w:hAnsi="Courier New"/>
                <w:b w:val="0"/>
                <w:i w:val="0"/>
                <w:sz w:val="19"/>
              </w:rPr>
              <w:t>build_precip.py</w:t>
            </w:r>
          </w:p>
        </w:tc>
        <w:tc>
          <w:tcPr>
            <w:tcW w:type="dxa" w:w="4680"/>
          </w:tcPr>
          <w:p>
            <w:pPr>
              <w:spacing w:line="240" w:lineRule="auto" w:after="40" w:before="40"/>
            </w:pPr>
            <w:r>
              <w:rPr>
                <w:sz w:val="19"/>
              </w:rPr>
            </w:r>
            <w:r>
              <w:rPr>
                <w:rFonts w:ascii="Times New Roman" w:hAnsi="Times New Roman"/>
                <w:b w:val="0"/>
                <w:i w:val="0"/>
                <w:sz w:val="19"/>
              </w:rPr>
              <w:t>province-day precipitation</w:t>
            </w:r>
          </w:p>
        </w:tc>
      </w:tr>
      <w:tr>
        <w:tc>
          <w:tcPr>
            <w:tcW w:type="dxa" w:w="4680"/>
          </w:tcPr>
          <w:p>
            <w:pPr>
              <w:spacing w:line="240" w:lineRule="auto" w:after="40" w:before="40"/>
            </w:pPr>
            <w:r>
              <w:rPr>
                <w:sz w:val="19"/>
              </w:rPr>
            </w:r>
            <w:r>
              <w:rPr>
                <w:rFonts w:ascii="Courier New" w:hAnsi="Courier New"/>
                <w:b w:val="0"/>
                <w:i w:val="0"/>
                <w:sz w:val="19"/>
              </w:rPr>
              <w:t>condpois.py</w:t>
            </w:r>
          </w:p>
        </w:tc>
        <w:tc>
          <w:tcPr>
            <w:tcW w:type="dxa" w:w="4680"/>
          </w:tcPr>
          <w:p>
            <w:pPr>
              <w:spacing w:line="240" w:lineRule="auto" w:after="40" w:before="40"/>
            </w:pPr>
            <w:r>
              <w:rPr>
                <w:sz w:val="19"/>
              </w:rPr>
            </w:r>
            <w:r>
              <w:rPr>
                <w:rFonts w:ascii="Times New Roman" w:hAnsi="Times New Roman"/>
                <w:b w:val="0"/>
                <w:i w:val="0"/>
                <w:sz w:val="19"/>
              </w:rPr>
              <w:t>conditional Poisson estimator with cluster-robust variance</w:t>
            </w:r>
          </w:p>
        </w:tc>
      </w:tr>
      <w:tr>
        <w:tc>
          <w:tcPr>
            <w:tcW w:type="dxa" w:w="4680"/>
          </w:tcPr>
          <w:p>
            <w:pPr>
              <w:spacing w:line="240" w:lineRule="auto" w:after="40" w:before="40"/>
            </w:pPr>
            <w:r>
              <w:rPr>
                <w:sz w:val="19"/>
              </w:rPr>
            </w:r>
            <w:r>
              <w:rPr>
                <w:rFonts w:ascii="Courier New" w:hAnsi="Courier New"/>
                <w:b w:val="0"/>
                <w:i w:val="0"/>
                <w:sz w:val="19"/>
              </w:rPr>
              <w:t>binary_heat_tests.py</w:t>
            </w:r>
          </w:p>
        </w:tc>
        <w:tc>
          <w:tcPr>
            <w:tcW w:type="dxa" w:w="4680"/>
          </w:tcPr>
          <w:p>
            <w:pPr>
              <w:spacing w:line="240" w:lineRule="auto" w:after="40" w:before="40"/>
            </w:pPr>
            <w:r>
              <w:rPr>
                <w:sz w:val="19"/>
              </w:rPr>
            </w:r>
            <w:r>
              <w:rPr>
                <w:rFonts w:ascii="Times New Roman" w:hAnsi="Times New Roman"/>
                <w:b w:val="0"/>
                <w:i w:val="0"/>
                <w:sz w:val="19"/>
              </w:rPr>
              <w:t>Table 1, binary threshold definitions</w:t>
            </w:r>
          </w:p>
        </w:tc>
      </w:tr>
      <w:tr>
        <w:tc>
          <w:tcPr>
            <w:tcW w:type="dxa" w:w="4680"/>
          </w:tcPr>
          <w:p>
            <w:pPr>
              <w:spacing w:line="240" w:lineRule="auto" w:after="40" w:before="40"/>
            </w:pPr>
            <w:r>
              <w:rPr>
                <w:sz w:val="19"/>
              </w:rPr>
            </w:r>
            <w:r>
              <w:rPr>
                <w:rFonts w:ascii="Courier New" w:hAnsi="Courier New"/>
                <w:b w:val="0"/>
                <w:i w:val="0"/>
                <w:sz w:val="19"/>
              </w:rPr>
              <w:t>exposure_response.py</w:t>
            </w:r>
          </w:p>
        </w:tc>
        <w:tc>
          <w:tcPr>
            <w:tcW w:type="dxa" w:w="4680"/>
          </w:tcPr>
          <w:p>
            <w:pPr>
              <w:spacing w:line="240" w:lineRule="auto" w:after="40" w:before="40"/>
            </w:pPr>
            <w:r>
              <w:rPr>
                <w:sz w:val="19"/>
              </w:rPr>
            </w:r>
            <w:r>
              <w:rPr>
                <w:rFonts w:ascii="Times New Roman" w:hAnsi="Times New Roman"/>
                <w:b w:val="0"/>
                <w:i w:val="0"/>
                <w:sz w:val="19"/>
              </w:rPr>
              <w:t>percentile-band exposure–response</w:t>
            </w:r>
          </w:p>
        </w:tc>
      </w:tr>
      <w:tr>
        <w:tc>
          <w:tcPr>
            <w:tcW w:type="dxa" w:w="4680"/>
          </w:tcPr>
          <w:p>
            <w:pPr>
              <w:spacing w:line="240" w:lineRule="auto" w:after="40" w:before="40"/>
            </w:pPr>
            <w:r>
              <w:rPr>
                <w:sz w:val="19"/>
              </w:rPr>
            </w:r>
            <w:r>
              <w:rPr>
                <w:rFonts w:ascii="Courier New" w:hAnsi="Courier New"/>
                <w:b w:val="0"/>
                <w:i w:val="0"/>
                <w:sz w:val="19"/>
              </w:rPr>
              <w:t>final_models.py</w:t>
            </w:r>
          </w:p>
        </w:tc>
        <w:tc>
          <w:tcPr>
            <w:tcW w:type="dxa" w:w="4680"/>
          </w:tcPr>
          <w:p>
            <w:pPr>
              <w:spacing w:line="240" w:lineRule="auto" w:after="40" w:before="40"/>
            </w:pPr>
            <w:r>
              <w:rPr>
                <w:sz w:val="19"/>
              </w:rPr>
            </w:r>
            <w:r>
              <w:rPr>
                <w:rFonts w:ascii="Times New Roman" w:hAnsi="Times New Roman"/>
                <w:b w:val="0"/>
                <w:i w:val="0"/>
                <w:sz w:val="19"/>
              </w:rPr>
              <w:t>rain-adjusted models</w:t>
            </w:r>
          </w:p>
        </w:tc>
      </w:tr>
      <w:tr>
        <w:tc>
          <w:tcPr>
            <w:tcW w:type="dxa" w:w="4680"/>
          </w:tcPr>
          <w:p>
            <w:pPr>
              <w:spacing w:line="240" w:lineRule="auto" w:after="40" w:before="40"/>
            </w:pPr>
            <w:r>
              <w:rPr>
                <w:sz w:val="19"/>
              </w:rPr>
            </w:r>
            <w:r>
              <w:rPr>
                <w:rFonts w:ascii="Courier New" w:hAnsi="Courier New"/>
                <w:b w:val="0"/>
                <w:i w:val="0"/>
                <w:sz w:val="19"/>
              </w:rPr>
              <w:t>er_by_group.py</w:t>
            </w:r>
          </w:p>
        </w:tc>
        <w:tc>
          <w:tcPr>
            <w:tcW w:type="dxa" w:w="4680"/>
          </w:tcPr>
          <w:p>
            <w:pPr>
              <w:spacing w:line="240" w:lineRule="auto" w:after="40" w:before="40"/>
            </w:pPr>
            <w:r>
              <w:rPr>
                <w:sz w:val="19"/>
              </w:rPr>
            </w:r>
            <w:r>
              <w:rPr>
                <w:rFonts w:ascii="Times New Roman" w:hAnsi="Times New Roman"/>
                <w:b w:val="0"/>
                <w:i w:val="0"/>
                <w:sz w:val="19"/>
              </w:rPr>
              <w:t>exposure–response by road-user group</w:t>
            </w:r>
          </w:p>
        </w:tc>
      </w:tr>
      <w:tr>
        <w:tc>
          <w:tcPr>
            <w:tcW w:type="dxa" w:w="4680"/>
          </w:tcPr>
          <w:p>
            <w:pPr>
              <w:spacing w:line="240" w:lineRule="auto" w:after="40" w:before="40"/>
            </w:pPr>
            <w:r>
              <w:rPr>
                <w:sz w:val="19"/>
              </w:rPr>
            </w:r>
            <w:r>
              <w:rPr>
                <w:rFonts w:ascii="Courier New" w:hAnsi="Courier New"/>
                <w:b w:val="0"/>
                <w:i w:val="0"/>
                <w:sz w:val="19"/>
              </w:rPr>
              <w:t>attributable.py</w:t>
            </w:r>
            <w:r>
              <w:rPr>
                <w:rFonts w:ascii="Times New Roman" w:hAnsi="Times New Roman"/>
                <w:b w:val="0"/>
                <w:i w:val="0"/>
                <w:sz w:val="19"/>
              </w:rPr>
              <w:t xml:space="preserve">, </w:t>
            </w:r>
            <w:r>
              <w:rPr>
                <w:rFonts w:ascii="Courier New" w:hAnsi="Courier New"/>
                <w:b w:val="0"/>
                <w:i w:val="0"/>
                <w:sz w:val="19"/>
              </w:rPr>
              <w:t>attributable_estimand.py</w:t>
            </w:r>
          </w:p>
        </w:tc>
        <w:tc>
          <w:tcPr>
            <w:tcW w:type="dxa" w:w="4680"/>
          </w:tcPr>
          <w:p>
            <w:pPr>
              <w:spacing w:line="240" w:lineRule="auto" w:after="40" w:before="40"/>
            </w:pPr>
            <w:r>
              <w:rPr>
                <w:sz w:val="19"/>
              </w:rPr>
            </w:r>
            <w:r>
              <w:rPr>
                <w:rFonts w:ascii="Times New Roman" w:hAnsi="Times New Roman"/>
                <w:b w:val="0"/>
                <w:i w:val="0"/>
                <w:sz w:val="19"/>
              </w:rPr>
              <w:t>excess deaths; estimand and covariance-based intervals</w:t>
            </w:r>
          </w:p>
        </w:tc>
      </w:tr>
      <w:tr>
        <w:tc>
          <w:tcPr>
            <w:tcW w:type="dxa" w:w="4680"/>
          </w:tcPr>
          <w:p>
            <w:pPr>
              <w:spacing w:line="240" w:lineRule="auto" w:after="40" w:before="40"/>
            </w:pPr>
            <w:r>
              <w:rPr>
                <w:sz w:val="19"/>
              </w:rPr>
            </w:r>
            <w:r>
              <w:rPr>
                <w:rFonts w:ascii="Courier New" w:hAnsi="Courier New"/>
                <w:b w:val="0"/>
                <w:i w:val="0"/>
                <w:sz w:val="19"/>
              </w:rPr>
              <w:t>build_cell_exposure.py</w:t>
            </w:r>
            <w:r>
              <w:rPr>
                <w:rFonts w:ascii="Times New Roman" w:hAnsi="Times New Roman"/>
                <w:b w:val="0"/>
                <w:i w:val="0"/>
                <w:sz w:val="19"/>
              </w:rPr>
              <w:t xml:space="preserve">, </w:t>
            </w:r>
            <w:r>
              <w:rPr>
                <w:rFonts w:ascii="Courier New" w:hAnsi="Courier New"/>
                <w:b w:val="0"/>
                <w:i w:val="0"/>
                <w:sz w:val="19"/>
              </w:rPr>
              <w:t>cell_level_analysis.py</w:t>
            </w:r>
          </w:p>
        </w:tc>
        <w:tc>
          <w:tcPr>
            <w:tcW w:type="dxa" w:w="4680"/>
          </w:tcPr>
          <w:p>
            <w:pPr>
              <w:spacing w:line="240" w:lineRule="auto" w:after="40" w:before="40"/>
            </w:pPr>
            <w:r>
              <w:rPr>
                <w:sz w:val="19"/>
              </w:rPr>
            </w:r>
            <w:r>
              <w:rPr>
                <w:rFonts w:ascii="Times New Roman" w:hAnsi="Times New Roman"/>
                <w:b w:val="0"/>
                <w:i w:val="0"/>
                <w:sz w:val="19"/>
              </w:rPr>
              <w:t>0.1° crash-site exposure; S5.3</w:t>
            </w:r>
          </w:p>
        </w:tc>
      </w:tr>
      <w:tr>
        <w:tc>
          <w:tcPr>
            <w:tcW w:type="dxa" w:w="4680"/>
          </w:tcPr>
          <w:p>
            <w:pPr>
              <w:spacing w:line="240" w:lineRule="auto" w:after="40" w:before="40"/>
            </w:pPr>
            <w:r>
              <w:rPr>
                <w:sz w:val="19"/>
              </w:rPr>
            </w:r>
            <w:r>
              <w:rPr>
                <w:rFonts w:ascii="Courier New" w:hAnsi="Courier New"/>
                <w:b w:val="0"/>
                <w:i w:val="0"/>
                <w:sz w:val="19"/>
              </w:rPr>
              <w:t>humid_heat.py</w:t>
            </w:r>
          </w:p>
        </w:tc>
        <w:tc>
          <w:tcPr>
            <w:tcW w:type="dxa" w:w="4680"/>
          </w:tcPr>
          <w:p>
            <w:pPr>
              <w:spacing w:line="240" w:lineRule="auto" w:after="40" w:before="40"/>
            </w:pPr>
            <w:r>
              <w:rPr>
                <w:sz w:val="19"/>
              </w:rPr>
            </w:r>
            <w:r>
              <w:rPr>
                <w:rFonts w:ascii="Times New Roman" w:hAnsi="Times New Roman"/>
                <w:b w:val="0"/>
                <w:i w:val="0"/>
                <w:sz w:val="19"/>
              </w:rPr>
              <w:t>S1</w:t>
            </w:r>
          </w:p>
        </w:tc>
      </w:tr>
      <w:tr>
        <w:tc>
          <w:tcPr>
            <w:tcW w:type="dxa" w:w="4680"/>
          </w:tcPr>
          <w:p>
            <w:pPr>
              <w:spacing w:line="240" w:lineRule="auto" w:after="40" w:before="40"/>
            </w:pPr>
            <w:r>
              <w:rPr>
                <w:sz w:val="19"/>
              </w:rPr>
            </w:r>
            <w:r>
              <w:rPr>
                <w:rFonts w:ascii="Courier New" w:hAnsi="Courier New"/>
                <w:b w:val="0"/>
                <w:i w:val="0"/>
                <w:sz w:val="19"/>
              </w:rPr>
              <w:t>heatwave.py</w:t>
            </w:r>
          </w:p>
        </w:tc>
        <w:tc>
          <w:tcPr>
            <w:tcW w:type="dxa" w:w="4680"/>
          </w:tcPr>
          <w:p>
            <w:pPr>
              <w:spacing w:line="240" w:lineRule="auto" w:after="40" w:before="40"/>
            </w:pPr>
            <w:r>
              <w:rPr>
                <w:sz w:val="19"/>
              </w:rPr>
            </w:r>
            <w:r>
              <w:rPr>
                <w:rFonts w:ascii="Times New Roman" w:hAnsi="Times New Roman"/>
                <w:b w:val="0"/>
                <w:i w:val="0"/>
                <w:sz w:val="19"/>
              </w:rPr>
              <w:t>S2</w:t>
            </w:r>
          </w:p>
        </w:tc>
      </w:tr>
      <w:tr>
        <w:tc>
          <w:tcPr>
            <w:tcW w:type="dxa" w:w="4680"/>
          </w:tcPr>
          <w:p>
            <w:pPr>
              <w:spacing w:line="240" w:lineRule="auto" w:after="40" w:before="40"/>
            </w:pPr>
            <w:r>
              <w:rPr>
                <w:sz w:val="19"/>
              </w:rPr>
            </w:r>
            <w:r>
              <w:rPr>
                <w:rFonts w:ascii="Courier New" w:hAnsi="Courier New"/>
                <w:b w:val="0"/>
                <w:i w:val="0"/>
                <w:sz w:val="19"/>
              </w:rPr>
              <w:t>ttd_build.py</w:t>
            </w:r>
            <w:r>
              <w:rPr>
                <w:rFonts w:ascii="Times New Roman" w:hAnsi="Times New Roman"/>
                <w:b w:val="0"/>
                <w:i w:val="0"/>
                <w:sz w:val="19"/>
              </w:rPr>
              <w:t xml:space="preserve">, </w:t>
            </w:r>
            <w:r>
              <w:rPr>
                <w:rFonts w:ascii="Courier New" w:hAnsi="Courier New"/>
                <w:b w:val="0"/>
                <w:i w:val="0"/>
                <w:sz w:val="19"/>
              </w:rPr>
              <w:t>ttd_analysis.py</w:t>
            </w:r>
            <w:r>
              <w:rPr>
                <w:rFonts w:ascii="Times New Roman" w:hAnsi="Times New Roman"/>
                <w:b w:val="0"/>
                <w:i w:val="0"/>
                <w:sz w:val="19"/>
              </w:rPr>
              <w:t xml:space="preserve">, </w:t>
            </w:r>
            <w:r>
              <w:rPr>
                <w:rFonts w:ascii="Courier New" w:hAnsi="Courier New"/>
                <w:b w:val="0"/>
                <w:i w:val="0"/>
                <w:sz w:val="19"/>
              </w:rPr>
              <w:t>ttd_models.py</w:t>
            </w:r>
            <w:r>
              <w:rPr>
                <w:rFonts w:ascii="Times New Roman" w:hAnsi="Times New Roman"/>
                <w:b w:val="0"/>
                <w:i w:val="0"/>
                <w:sz w:val="19"/>
              </w:rPr>
              <w:t xml:space="preserve">, </w:t>
            </w:r>
            <w:r>
              <w:rPr>
                <w:rFonts w:ascii="Courier New" w:hAnsi="Courier New"/>
                <w:b w:val="0"/>
                <w:i w:val="0"/>
                <w:sz w:val="19"/>
              </w:rPr>
              <w:t>ttd_misclass.py</w:t>
            </w:r>
          </w:p>
        </w:tc>
        <w:tc>
          <w:tcPr>
            <w:tcW w:type="dxa" w:w="4680"/>
          </w:tcPr>
          <w:p>
            <w:pPr>
              <w:spacing w:line="240" w:lineRule="auto" w:after="40" w:before="40"/>
            </w:pPr>
            <w:r>
              <w:rPr>
                <w:sz w:val="19"/>
              </w:rPr>
            </w:r>
            <w:r>
              <w:rPr>
                <w:rFonts w:ascii="Times New Roman" w:hAnsi="Times New Roman"/>
                <w:b w:val="0"/>
                <w:i w:val="0"/>
                <w:sz w:val="19"/>
              </w:rPr>
              <w:t>S3</w:t>
            </w:r>
          </w:p>
        </w:tc>
      </w:tr>
      <w:tr>
        <w:tc>
          <w:tcPr>
            <w:tcW w:type="dxa" w:w="4680"/>
          </w:tcPr>
          <w:p>
            <w:pPr>
              <w:spacing w:line="240" w:lineRule="auto" w:after="40" w:before="40"/>
            </w:pPr>
            <w:r>
              <w:rPr>
                <w:sz w:val="19"/>
              </w:rPr>
            </w:r>
            <w:r>
              <w:rPr>
                <w:rFonts w:ascii="Courier New" w:hAnsi="Courier New"/>
                <w:b w:val="0"/>
                <w:i w:val="0"/>
                <w:sz w:val="19"/>
              </w:rPr>
              <w:t>mmt_reference.py</w:t>
            </w:r>
            <w:r>
              <w:rPr>
                <w:rFonts w:ascii="Times New Roman" w:hAnsi="Times New Roman"/>
                <w:b w:val="0"/>
                <w:i w:val="0"/>
                <w:sz w:val="19"/>
              </w:rPr>
              <w:t xml:space="preserve">, </w:t>
            </w:r>
            <w:r>
              <w:rPr>
                <w:rFonts w:ascii="Courier New" w:hAnsi="Courier New"/>
                <w:b w:val="0"/>
                <w:i w:val="0"/>
                <w:sz w:val="19"/>
              </w:rPr>
              <w:t>mmt_by_group.py</w:t>
            </w:r>
          </w:p>
        </w:tc>
        <w:tc>
          <w:tcPr>
            <w:tcW w:type="dxa" w:w="4680"/>
          </w:tcPr>
          <w:p>
            <w:pPr>
              <w:spacing w:line="240" w:lineRule="auto" w:after="40" w:before="40"/>
            </w:pPr>
            <w:r>
              <w:rPr>
                <w:sz w:val="19"/>
              </w:rPr>
            </w:r>
            <w:r>
              <w:rPr>
                <w:rFonts w:ascii="Times New Roman" w:hAnsi="Times New Roman"/>
                <w:b w:val="0"/>
                <w:i w:val="0"/>
                <w:sz w:val="19"/>
              </w:rPr>
              <w:t>S4</w:t>
            </w:r>
          </w:p>
        </w:tc>
      </w:tr>
      <w:tr>
        <w:tc>
          <w:tcPr>
            <w:tcW w:type="dxa" w:w="4680"/>
          </w:tcPr>
          <w:p>
            <w:pPr>
              <w:spacing w:line="240" w:lineRule="auto" w:after="40" w:before="40"/>
            </w:pPr>
            <w:r>
              <w:rPr>
                <w:sz w:val="19"/>
              </w:rPr>
            </w:r>
            <w:r>
              <w:rPr>
                <w:rFonts w:ascii="Courier New" w:hAnsi="Courier New"/>
                <w:b w:val="0"/>
                <w:i w:val="0"/>
                <w:sz w:val="19"/>
              </w:rPr>
              <w:t>sensitivity_continuous.py</w:t>
            </w:r>
            <w:r>
              <w:rPr>
                <w:rFonts w:ascii="Times New Roman" w:hAnsi="Times New Roman"/>
                <w:b w:val="0"/>
                <w:i w:val="0"/>
                <w:sz w:val="19"/>
              </w:rPr>
              <w:t xml:space="preserve">, </w:t>
            </w:r>
            <w:r>
              <w:rPr>
                <w:rFonts w:ascii="Courier New" w:hAnsi="Courier New"/>
                <w:b w:val="0"/>
                <w:i w:val="0"/>
                <w:sz w:val="19"/>
              </w:rPr>
              <w:t>songkran_sensitivity.py</w:t>
            </w:r>
          </w:p>
        </w:tc>
        <w:tc>
          <w:tcPr>
            <w:tcW w:type="dxa" w:w="4680"/>
          </w:tcPr>
          <w:p>
            <w:pPr>
              <w:spacing w:line="240" w:lineRule="auto" w:after="40" w:before="40"/>
            </w:pPr>
            <w:r>
              <w:rPr>
                <w:sz w:val="19"/>
              </w:rPr>
            </w:r>
            <w:r>
              <w:rPr>
                <w:rFonts w:ascii="Times New Roman" w:hAnsi="Times New Roman"/>
                <w:b w:val="0"/>
                <w:i w:val="0"/>
                <w:sz w:val="19"/>
              </w:rPr>
              <w:t>S5.1, S5.2</w:t>
            </w:r>
          </w:p>
        </w:tc>
      </w:tr>
      <w:tr>
        <w:tc>
          <w:tcPr>
            <w:tcW w:type="dxa" w:w="4680"/>
          </w:tcPr>
          <w:p>
            <w:pPr>
              <w:spacing w:line="240" w:lineRule="auto" w:after="40" w:before="40"/>
            </w:pPr>
            <w:r>
              <w:rPr>
                <w:sz w:val="19"/>
              </w:rPr>
            </w:r>
            <w:r>
              <w:rPr>
                <w:rFonts w:ascii="Courier New" w:hAnsi="Courier New"/>
                <w:b w:val="0"/>
                <w:i w:val="0"/>
                <w:sz w:val="19"/>
              </w:rPr>
              <w:t>figures.py</w:t>
            </w:r>
          </w:p>
        </w:tc>
        <w:tc>
          <w:tcPr>
            <w:tcW w:type="dxa" w:w="4680"/>
          </w:tcPr>
          <w:p>
            <w:pPr>
              <w:spacing w:line="240" w:lineRule="auto" w:after="40" w:before="40"/>
            </w:pPr>
            <w:r>
              <w:rPr>
                <w:sz w:val="19"/>
              </w:rPr>
            </w:r>
            <w:r>
              <w:rPr>
                <w:rFonts w:ascii="Times New Roman" w:hAnsi="Times New Roman"/>
                <w:b w:val="0"/>
                <w:i w:val="0"/>
                <w:sz w:val="19"/>
              </w:rPr>
              <w:t>Figures 1–3</w:t>
            </w:r>
          </w:p>
        </w:tc>
      </w:tr>
    </w:tbl>
    <w:p>
      <w:pPr>
        <w:spacing w:after="120"/>
      </w:pP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instrText xml:space="preserve"> PAGE </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