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7A7D6" w14:textId="77777777" w:rsidR="00B74CB2" w:rsidRPr="00385BD5" w:rsidRDefault="00000000">
      <w:pPr>
        <w:spacing w:after="80"/>
        <w:jc w:val="center"/>
        <w:rPr>
          <w:rFonts w:asciiTheme="majorHAnsi" w:hAnsiTheme="majorHAnsi" w:cstheme="majorHAnsi"/>
          <w:sz w:val="24"/>
          <w:szCs w:val="24"/>
        </w:rPr>
      </w:pPr>
      <w:r w:rsidRPr="00385BD5">
        <w:rPr>
          <w:rFonts w:asciiTheme="majorHAnsi" w:hAnsiTheme="majorHAnsi" w:cstheme="majorHAnsi"/>
          <w:b/>
          <w:sz w:val="24"/>
          <w:szCs w:val="24"/>
        </w:rPr>
        <w:t>Supplemental Statistical Analyses</w:t>
      </w:r>
    </w:p>
    <w:p w14:paraId="3E463C32" w14:textId="77777777" w:rsidR="00B74CB2" w:rsidRPr="00385BD5" w:rsidRDefault="00000000">
      <w:pPr>
        <w:pStyle w:val="Heading1"/>
        <w:rPr>
          <w:rFonts w:cstheme="majorHAnsi"/>
          <w:color w:val="auto"/>
          <w:szCs w:val="24"/>
        </w:rPr>
      </w:pPr>
      <w:r w:rsidRPr="00385BD5">
        <w:rPr>
          <w:rFonts w:cstheme="majorHAnsi"/>
          <w:color w:val="auto"/>
          <w:szCs w:val="24"/>
        </w:rPr>
        <w:t>Supplemental Methods</w:t>
      </w:r>
    </w:p>
    <w:p w14:paraId="2780158B" w14:textId="77777777" w:rsidR="00B74CB2" w:rsidRPr="00385BD5" w:rsidRDefault="00000000">
      <w:pPr>
        <w:spacing w:line="259" w:lineRule="auto"/>
        <w:rPr>
          <w:rFonts w:asciiTheme="majorHAnsi" w:hAnsiTheme="majorHAnsi" w:cstheme="majorHAnsi"/>
          <w:sz w:val="24"/>
          <w:szCs w:val="24"/>
        </w:rPr>
      </w:pPr>
      <w:r w:rsidRPr="00385BD5">
        <w:rPr>
          <w:rFonts w:asciiTheme="majorHAnsi" w:hAnsiTheme="majorHAnsi" w:cstheme="majorHAnsi"/>
          <w:sz w:val="24"/>
          <w:szCs w:val="24"/>
        </w:rPr>
        <w:t>For each reader pair, association was summarized with Pearson correlation, and agreement was summarized with the mean absolute difference, Bland-Altman mean bias, and 95% limits of agreement. Proportional bias was explored by linear regression of reader difference on pair mean. Spearman correlation between absolute pairwise difference and pair mean assessed whether dispersion increased with longer ETT. Each pair-specific analysis included one independent difference per examination; pooled limits across correlated reader pairs were not used for inference.</w:t>
      </w:r>
    </w:p>
    <w:p w14:paraId="77C744FE" w14:textId="77777777" w:rsidR="00B74CB2" w:rsidRPr="00385BD5" w:rsidRDefault="00000000">
      <w:pPr>
        <w:spacing w:line="259" w:lineRule="auto"/>
        <w:rPr>
          <w:rFonts w:asciiTheme="majorHAnsi" w:hAnsiTheme="majorHAnsi" w:cstheme="majorHAnsi"/>
          <w:sz w:val="24"/>
          <w:szCs w:val="24"/>
        </w:rPr>
      </w:pPr>
      <w:r w:rsidRPr="00385BD5">
        <w:rPr>
          <w:rFonts w:asciiTheme="majorHAnsi" w:hAnsiTheme="majorHAnsi" w:cstheme="majorHAnsi"/>
          <w:sz w:val="24"/>
          <w:szCs w:val="24"/>
        </w:rPr>
        <w:t>Frame-rate robustness was evaluated using Spearman correlation between acquisition frame rate and the examination-level mean absolute pairwise difference. Mean disagreement was also summarized for examinations acquired below 10 frames per second versus 10 frames per second or higher. A sensitivity analysis repeated the ICC calculation after excluding the four examinations acquired at 3 frames per second.</w:t>
      </w:r>
    </w:p>
    <w:p w14:paraId="32AEB9C3" w14:textId="77777777" w:rsidR="00B74CB2" w:rsidRPr="00385BD5" w:rsidRDefault="00000000">
      <w:pPr>
        <w:pStyle w:val="Heading1"/>
        <w:rPr>
          <w:rFonts w:cstheme="majorHAnsi"/>
          <w:color w:val="auto"/>
          <w:szCs w:val="24"/>
        </w:rPr>
      </w:pPr>
      <w:r w:rsidRPr="00385BD5">
        <w:rPr>
          <w:rFonts w:cstheme="majorHAnsi"/>
          <w:color w:val="auto"/>
          <w:szCs w:val="24"/>
        </w:rPr>
        <w:t>Supplemental Results</w:t>
      </w:r>
    </w:p>
    <w:p w14:paraId="7419407C" w14:textId="77777777" w:rsidR="00B74CB2" w:rsidRPr="00385BD5" w:rsidRDefault="00000000">
      <w:pPr>
        <w:spacing w:line="259" w:lineRule="auto"/>
        <w:rPr>
          <w:rFonts w:asciiTheme="majorHAnsi" w:hAnsiTheme="majorHAnsi" w:cstheme="majorHAnsi"/>
          <w:sz w:val="24"/>
          <w:szCs w:val="24"/>
        </w:rPr>
      </w:pPr>
      <w:r w:rsidRPr="00385BD5">
        <w:rPr>
          <w:rFonts w:asciiTheme="majorHAnsi" w:hAnsiTheme="majorHAnsi" w:cstheme="majorHAnsi"/>
          <w:sz w:val="24"/>
          <w:szCs w:val="24"/>
        </w:rPr>
        <w:t>Pairwise Pearson correlations ranged from 0.753 to 0.815, and mean absolute differences ranged from 0.48 to 0.50 seconds. Mean biases were small (−0.19 to +0.07 seconds). Proportional bias was detected for Readers 1 and 2 but not for the other reader pairs. Absolute disagreement increased with mean ETT for Readers 1 and 2 and more weakly for Readers 1 and 3; the Readers 2 and 3 association did not reach statistical significance. These exploratory findings suggest that fixed limits of agreement should be interpreted cautiously at longer ETT values.</w:t>
      </w:r>
    </w:p>
    <w:tbl>
      <w:tblPr>
        <w:tblStyle w:val="TableGrid"/>
        <w:tblW w:w="13032" w:type="dxa"/>
        <w:jc w:val="center"/>
        <w:tblLayout w:type="fixed"/>
        <w:tblLook w:val="04A0" w:firstRow="1" w:lastRow="0" w:firstColumn="1" w:lastColumn="0" w:noHBand="0" w:noVBand="1"/>
      </w:tblPr>
      <w:tblGrid>
        <w:gridCol w:w="1944"/>
        <w:gridCol w:w="1080"/>
        <w:gridCol w:w="1944"/>
        <w:gridCol w:w="1296"/>
        <w:gridCol w:w="2088"/>
        <w:gridCol w:w="2232"/>
        <w:gridCol w:w="2448"/>
      </w:tblGrid>
      <w:tr w:rsidR="00B74CB2" w:rsidRPr="00385BD5" w14:paraId="173CFC93" w14:textId="77777777">
        <w:trPr>
          <w:tblHeader/>
          <w:jc w:val="center"/>
        </w:trPr>
        <w:tc>
          <w:tcPr>
            <w:tcW w:w="1944" w:type="dxa"/>
            <w:shd w:val="clear" w:color="auto" w:fill="D9E6F9"/>
            <w:tcMar>
              <w:top w:w="90" w:type="dxa"/>
              <w:left w:w="110" w:type="dxa"/>
              <w:bottom w:w="90" w:type="dxa"/>
              <w:right w:w="110" w:type="dxa"/>
            </w:tcMar>
            <w:vAlign w:val="center"/>
          </w:tcPr>
          <w:p w14:paraId="07CBBC4D"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Reader pair</w:t>
            </w:r>
          </w:p>
        </w:tc>
        <w:tc>
          <w:tcPr>
            <w:tcW w:w="1080" w:type="dxa"/>
            <w:shd w:val="clear" w:color="auto" w:fill="D9E6F9"/>
            <w:tcMar>
              <w:top w:w="90" w:type="dxa"/>
              <w:left w:w="110" w:type="dxa"/>
              <w:bottom w:w="90" w:type="dxa"/>
              <w:right w:w="110" w:type="dxa"/>
            </w:tcMar>
            <w:vAlign w:val="center"/>
          </w:tcPr>
          <w:p w14:paraId="2E039523"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Pearson r</w:t>
            </w:r>
          </w:p>
        </w:tc>
        <w:tc>
          <w:tcPr>
            <w:tcW w:w="1944" w:type="dxa"/>
            <w:shd w:val="clear" w:color="auto" w:fill="D9E6F9"/>
            <w:tcMar>
              <w:top w:w="90" w:type="dxa"/>
              <w:left w:w="110" w:type="dxa"/>
              <w:bottom w:w="90" w:type="dxa"/>
              <w:right w:w="110" w:type="dxa"/>
            </w:tcMar>
            <w:vAlign w:val="center"/>
          </w:tcPr>
          <w:p w14:paraId="5A7D3E46"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Mean absolute difference (s)</w:t>
            </w:r>
          </w:p>
        </w:tc>
        <w:tc>
          <w:tcPr>
            <w:tcW w:w="1296" w:type="dxa"/>
            <w:shd w:val="clear" w:color="auto" w:fill="D9E6F9"/>
            <w:tcMar>
              <w:top w:w="90" w:type="dxa"/>
              <w:left w:w="110" w:type="dxa"/>
              <w:bottom w:w="90" w:type="dxa"/>
              <w:right w:w="110" w:type="dxa"/>
            </w:tcMar>
            <w:vAlign w:val="center"/>
          </w:tcPr>
          <w:p w14:paraId="11CAE61D"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Mean bias (s)</w:t>
            </w:r>
          </w:p>
        </w:tc>
        <w:tc>
          <w:tcPr>
            <w:tcW w:w="2088" w:type="dxa"/>
            <w:shd w:val="clear" w:color="auto" w:fill="D9E6F9"/>
            <w:tcMar>
              <w:top w:w="90" w:type="dxa"/>
              <w:left w:w="110" w:type="dxa"/>
              <w:bottom w:w="90" w:type="dxa"/>
              <w:right w:w="110" w:type="dxa"/>
            </w:tcMar>
            <w:vAlign w:val="center"/>
          </w:tcPr>
          <w:p w14:paraId="2FEAA27B"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95% limits of agreement (s)</w:t>
            </w:r>
          </w:p>
        </w:tc>
        <w:tc>
          <w:tcPr>
            <w:tcW w:w="2232" w:type="dxa"/>
            <w:shd w:val="clear" w:color="auto" w:fill="D9E6F9"/>
            <w:tcMar>
              <w:top w:w="90" w:type="dxa"/>
              <w:left w:w="110" w:type="dxa"/>
              <w:bottom w:w="90" w:type="dxa"/>
              <w:right w:w="110" w:type="dxa"/>
            </w:tcMar>
            <w:vAlign w:val="center"/>
          </w:tcPr>
          <w:p w14:paraId="57680826"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Difference-vs-mean slope (P)</w:t>
            </w:r>
          </w:p>
        </w:tc>
        <w:tc>
          <w:tcPr>
            <w:tcW w:w="2448" w:type="dxa"/>
            <w:shd w:val="clear" w:color="auto" w:fill="D9E6F9"/>
            <w:tcMar>
              <w:top w:w="90" w:type="dxa"/>
              <w:left w:w="110" w:type="dxa"/>
              <w:bottom w:w="90" w:type="dxa"/>
              <w:right w:w="110" w:type="dxa"/>
            </w:tcMar>
            <w:vAlign w:val="center"/>
          </w:tcPr>
          <w:p w14:paraId="4D0D6DE0"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 xml:space="preserve">Absolute difference vs </w:t>
            </w:r>
            <w:proofErr w:type="gramStart"/>
            <w:r w:rsidRPr="00385BD5">
              <w:rPr>
                <w:rFonts w:asciiTheme="majorHAnsi" w:hAnsiTheme="majorHAnsi" w:cstheme="majorHAnsi"/>
                <w:b/>
                <w:sz w:val="24"/>
                <w:szCs w:val="24"/>
              </w:rPr>
              <w:t>mean</w:t>
            </w:r>
            <w:proofErr w:type="gramEnd"/>
            <w:r w:rsidRPr="00385BD5">
              <w:rPr>
                <w:rFonts w:asciiTheme="majorHAnsi" w:hAnsiTheme="majorHAnsi" w:cstheme="majorHAnsi"/>
                <w:b/>
                <w:sz w:val="24"/>
                <w:szCs w:val="24"/>
              </w:rPr>
              <w:t>, ρ (P)</w:t>
            </w:r>
          </w:p>
        </w:tc>
      </w:tr>
      <w:tr w:rsidR="00B74CB2" w:rsidRPr="00385BD5" w14:paraId="721443C8" w14:textId="77777777">
        <w:trPr>
          <w:jc w:val="center"/>
        </w:trPr>
        <w:tc>
          <w:tcPr>
            <w:tcW w:w="1944" w:type="dxa"/>
            <w:tcMar>
              <w:top w:w="90" w:type="dxa"/>
              <w:left w:w="110" w:type="dxa"/>
              <w:bottom w:w="90" w:type="dxa"/>
              <w:right w:w="110" w:type="dxa"/>
            </w:tcMar>
            <w:vAlign w:val="center"/>
          </w:tcPr>
          <w:p w14:paraId="19B250D9"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Reader 1 - Reader 2</w:t>
            </w:r>
          </w:p>
        </w:tc>
        <w:tc>
          <w:tcPr>
            <w:tcW w:w="1080" w:type="dxa"/>
            <w:tcMar>
              <w:top w:w="90" w:type="dxa"/>
              <w:left w:w="110" w:type="dxa"/>
              <w:bottom w:w="90" w:type="dxa"/>
              <w:right w:w="110" w:type="dxa"/>
            </w:tcMar>
            <w:vAlign w:val="center"/>
          </w:tcPr>
          <w:p w14:paraId="68D44635"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0.815</w:t>
            </w:r>
          </w:p>
        </w:tc>
        <w:tc>
          <w:tcPr>
            <w:tcW w:w="1944" w:type="dxa"/>
            <w:tcMar>
              <w:top w:w="90" w:type="dxa"/>
              <w:left w:w="110" w:type="dxa"/>
              <w:bottom w:w="90" w:type="dxa"/>
              <w:right w:w="110" w:type="dxa"/>
            </w:tcMar>
            <w:vAlign w:val="center"/>
          </w:tcPr>
          <w:p w14:paraId="329653FE"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0.48</w:t>
            </w:r>
          </w:p>
        </w:tc>
        <w:tc>
          <w:tcPr>
            <w:tcW w:w="1296" w:type="dxa"/>
            <w:tcMar>
              <w:top w:w="90" w:type="dxa"/>
              <w:left w:w="110" w:type="dxa"/>
              <w:bottom w:w="90" w:type="dxa"/>
              <w:right w:w="110" w:type="dxa"/>
            </w:tcMar>
            <w:vAlign w:val="center"/>
          </w:tcPr>
          <w:p w14:paraId="4C2110F6"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-0.19</w:t>
            </w:r>
          </w:p>
        </w:tc>
        <w:tc>
          <w:tcPr>
            <w:tcW w:w="2088" w:type="dxa"/>
            <w:tcMar>
              <w:top w:w="90" w:type="dxa"/>
              <w:left w:w="110" w:type="dxa"/>
              <w:bottom w:w="90" w:type="dxa"/>
              <w:right w:w="110" w:type="dxa"/>
            </w:tcMar>
            <w:vAlign w:val="center"/>
          </w:tcPr>
          <w:p w14:paraId="2B949778"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-1.57 to 1.19</w:t>
            </w:r>
          </w:p>
        </w:tc>
        <w:tc>
          <w:tcPr>
            <w:tcW w:w="2232" w:type="dxa"/>
            <w:tcMar>
              <w:top w:w="90" w:type="dxa"/>
              <w:left w:w="110" w:type="dxa"/>
              <w:bottom w:w="90" w:type="dxa"/>
              <w:right w:w="110" w:type="dxa"/>
            </w:tcMar>
            <w:vAlign w:val="center"/>
          </w:tcPr>
          <w:p w14:paraId="7E8391DC"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-0.210 (.010)</w:t>
            </w:r>
          </w:p>
        </w:tc>
        <w:tc>
          <w:tcPr>
            <w:tcW w:w="2448" w:type="dxa"/>
            <w:tcMar>
              <w:top w:w="90" w:type="dxa"/>
              <w:left w:w="110" w:type="dxa"/>
              <w:bottom w:w="90" w:type="dxa"/>
              <w:right w:w="110" w:type="dxa"/>
            </w:tcMar>
            <w:vAlign w:val="center"/>
          </w:tcPr>
          <w:p w14:paraId="187F98C4"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0.465 (&lt;.001)</w:t>
            </w:r>
          </w:p>
        </w:tc>
      </w:tr>
      <w:tr w:rsidR="00B74CB2" w:rsidRPr="00385BD5" w14:paraId="0C61C6F8" w14:textId="77777777">
        <w:trPr>
          <w:jc w:val="center"/>
        </w:trPr>
        <w:tc>
          <w:tcPr>
            <w:tcW w:w="1944" w:type="dxa"/>
            <w:shd w:val="clear" w:color="auto" w:fill="F5F8FC"/>
            <w:tcMar>
              <w:top w:w="90" w:type="dxa"/>
              <w:left w:w="110" w:type="dxa"/>
              <w:bottom w:w="90" w:type="dxa"/>
              <w:right w:w="110" w:type="dxa"/>
            </w:tcMar>
            <w:vAlign w:val="center"/>
          </w:tcPr>
          <w:p w14:paraId="0E7952C9"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Reader 1 - Reader 3</w:t>
            </w:r>
          </w:p>
        </w:tc>
        <w:tc>
          <w:tcPr>
            <w:tcW w:w="1080" w:type="dxa"/>
            <w:shd w:val="clear" w:color="auto" w:fill="F5F8FC"/>
            <w:tcMar>
              <w:top w:w="90" w:type="dxa"/>
              <w:left w:w="110" w:type="dxa"/>
              <w:bottom w:w="90" w:type="dxa"/>
              <w:right w:w="110" w:type="dxa"/>
            </w:tcMar>
            <w:vAlign w:val="center"/>
          </w:tcPr>
          <w:p w14:paraId="5F6997B3"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0.802</w:t>
            </w:r>
          </w:p>
        </w:tc>
        <w:tc>
          <w:tcPr>
            <w:tcW w:w="1944" w:type="dxa"/>
            <w:shd w:val="clear" w:color="auto" w:fill="F5F8FC"/>
            <w:tcMar>
              <w:top w:w="90" w:type="dxa"/>
              <w:left w:w="110" w:type="dxa"/>
              <w:bottom w:w="90" w:type="dxa"/>
              <w:right w:w="110" w:type="dxa"/>
            </w:tcMar>
            <w:vAlign w:val="center"/>
          </w:tcPr>
          <w:p w14:paraId="70ED8E15"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0.49</w:t>
            </w:r>
          </w:p>
        </w:tc>
        <w:tc>
          <w:tcPr>
            <w:tcW w:w="1296" w:type="dxa"/>
            <w:shd w:val="clear" w:color="auto" w:fill="F5F8FC"/>
            <w:tcMar>
              <w:top w:w="90" w:type="dxa"/>
              <w:left w:w="110" w:type="dxa"/>
              <w:bottom w:w="90" w:type="dxa"/>
              <w:right w:w="110" w:type="dxa"/>
            </w:tcMar>
            <w:vAlign w:val="center"/>
          </w:tcPr>
          <w:p w14:paraId="6470B696"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-0.12</w:t>
            </w:r>
          </w:p>
        </w:tc>
        <w:tc>
          <w:tcPr>
            <w:tcW w:w="2088" w:type="dxa"/>
            <w:shd w:val="clear" w:color="auto" w:fill="F5F8FC"/>
            <w:tcMar>
              <w:top w:w="90" w:type="dxa"/>
              <w:left w:w="110" w:type="dxa"/>
              <w:bottom w:w="90" w:type="dxa"/>
              <w:right w:w="110" w:type="dxa"/>
            </w:tcMar>
            <w:vAlign w:val="center"/>
          </w:tcPr>
          <w:p w14:paraId="5319752D"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-1.39 to 1.14</w:t>
            </w:r>
          </w:p>
        </w:tc>
        <w:tc>
          <w:tcPr>
            <w:tcW w:w="2232" w:type="dxa"/>
            <w:shd w:val="clear" w:color="auto" w:fill="F5F8FC"/>
            <w:tcMar>
              <w:top w:w="90" w:type="dxa"/>
              <w:left w:w="110" w:type="dxa"/>
              <w:bottom w:w="90" w:type="dxa"/>
              <w:right w:w="110" w:type="dxa"/>
            </w:tcMar>
            <w:vAlign w:val="center"/>
          </w:tcPr>
          <w:p w14:paraId="12B133A4"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-0.042 (.613)</w:t>
            </w:r>
          </w:p>
        </w:tc>
        <w:tc>
          <w:tcPr>
            <w:tcW w:w="2448" w:type="dxa"/>
            <w:shd w:val="clear" w:color="auto" w:fill="F5F8FC"/>
            <w:tcMar>
              <w:top w:w="90" w:type="dxa"/>
              <w:left w:w="110" w:type="dxa"/>
              <w:bottom w:w="90" w:type="dxa"/>
              <w:right w:w="110" w:type="dxa"/>
            </w:tcMar>
            <w:vAlign w:val="center"/>
          </w:tcPr>
          <w:p w14:paraId="3316CA75"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0.253 (.040)</w:t>
            </w:r>
          </w:p>
        </w:tc>
      </w:tr>
      <w:tr w:rsidR="00B74CB2" w:rsidRPr="00385BD5" w14:paraId="62C35495" w14:textId="77777777">
        <w:trPr>
          <w:jc w:val="center"/>
        </w:trPr>
        <w:tc>
          <w:tcPr>
            <w:tcW w:w="1944" w:type="dxa"/>
            <w:tcMar>
              <w:top w:w="90" w:type="dxa"/>
              <w:left w:w="110" w:type="dxa"/>
              <w:bottom w:w="90" w:type="dxa"/>
              <w:right w:w="110" w:type="dxa"/>
            </w:tcMar>
            <w:vAlign w:val="center"/>
          </w:tcPr>
          <w:p w14:paraId="1E1AD11E"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Reader 2 - Reader 3</w:t>
            </w:r>
          </w:p>
        </w:tc>
        <w:tc>
          <w:tcPr>
            <w:tcW w:w="1080" w:type="dxa"/>
            <w:tcMar>
              <w:top w:w="90" w:type="dxa"/>
              <w:left w:w="110" w:type="dxa"/>
              <w:bottom w:w="90" w:type="dxa"/>
              <w:right w:w="110" w:type="dxa"/>
            </w:tcMar>
            <w:vAlign w:val="center"/>
          </w:tcPr>
          <w:p w14:paraId="05D52825"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0.753</w:t>
            </w:r>
          </w:p>
        </w:tc>
        <w:tc>
          <w:tcPr>
            <w:tcW w:w="1944" w:type="dxa"/>
            <w:tcMar>
              <w:top w:w="90" w:type="dxa"/>
              <w:left w:w="110" w:type="dxa"/>
              <w:bottom w:w="90" w:type="dxa"/>
              <w:right w:w="110" w:type="dxa"/>
            </w:tcMar>
            <w:vAlign w:val="center"/>
          </w:tcPr>
          <w:p w14:paraId="5D71C86A"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0.50</w:t>
            </w:r>
          </w:p>
        </w:tc>
        <w:tc>
          <w:tcPr>
            <w:tcW w:w="1296" w:type="dxa"/>
            <w:tcMar>
              <w:top w:w="90" w:type="dxa"/>
              <w:left w:w="110" w:type="dxa"/>
              <w:bottom w:w="90" w:type="dxa"/>
              <w:right w:w="110" w:type="dxa"/>
            </w:tcMar>
            <w:vAlign w:val="center"/>
          </w:tcPr>
          <w:p w14:paraId="71227474"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+0.07</w:t>
            </w:r>
          </w:p>
        </w:tc>
        <w:tc>
          <w:tcPr>
            <w:tcW w:w="2088" w:type="dxa"/>
            <w:tcMar>
              <w:top w:w="90" w:type="dxa"/>
              <w:left w:w="110" w:type="dxa"/>
              <w:bottom w:w="90" w:type="dxa"/>
              <w:right w:w="110" w:type="dxa"/>
            </w:tcMar>
            <w:vAlign w:val="center"/>
          </w:tcPr>
          <w:p w14:paraId="51DA8033"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-1.52 to 1.65</w:t>
            </w:r>
          </w:p>
        </w:tc>
        <w:tc>
          <w:tcPr>
            <w:tcW w:w="2232" w:type="dxa"/>
            <w:tcMar>
              <w:top w:w="90" w:type="dxa"/>
              <w:left w:w="110" w:type="dxa"/>
              <w:bottom w:w="90" w:type="dxa"/>
              <w:right w:w="110" w:type="dxa"/>
            </w:tcMar>
            <w:vAlign w:val="center"/>
          </w:tcPr>
          <w:p w14:paraId="4674FA5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+0.174 (.066)</w:t>
            </w:r>
          </w:p>
        </w:tc>
        <w:tc>
          <w:tcPr>
            <w:tcW w:w="2448" w:type="dxa"/>
            <w:tcMar>
              <w:top w:w="90" w:type="dxa"/>
              <w:left w:w="110" w:type="dxa"/>
              <w:bottom w:w="90" w:type="dxa"/>
              <w:right w:w="110" w:type="dxa"/>
            </w:tcMar>
            <w:vAlign w:val="center"/>
          </w:tcPr>
          <w:p w14:paraId="10B3F4CF"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0.235 (.058)</w:t>
            </w:r>
          </w:p>
        </w:tc>
      </w:tr>
    </w:tbl>
    <w:p w14:paraId="7A90B87C" w14:textId="77777777" w:rsidR="00B74CB2" w:rsidRPr="00385BD5" w:rsidRDefault="00000000">
      <w:pPr>
        <w:spacing w:before="100" w:after="160"/>
        <w:rPr>
          <w:rFonts w:asciiTheme="majorHAnsi" w:hAnsiTheme="majorHAnsi" w:cstheme="majorHAnsi"/>
          <w:sz w:val="24"/>
          <w:szCs w:val="24"/>
        </w:rPr>
      </w:pPr>
      <w:r w:rsidRPr="00385BD5">
        <w:rPr>
          <w:rFonts w:asciiTheme="majorHAnsi" w:hAnsiTheme="majorHAnsi" w:cstheme="majorHAnsi"/>
          <w:b/>
          <w:sz w:val="24"/>
          <w:szCs w:val="24"/>
        </w:rPr>
        <w:t xml:space="preserve">Table S1. </w:t>
      </w:r>
      <w:r w:rsidRPr="00385BD5">
        <w:rPr>
          <w:rFonts w:asciiTheme="majorHAnsi" w:hAnsiTheme="majorHAnsi" w:cstheme="majorHAnsi"/>
          <w:sz w:val="24"/>
          <w:szCs w:val="24"/>
        </w:rPr>
        <w:t xml:space="preserve">Detailed pair-specific association, agreement, proportional-bias, and magnitude-dependent dispersion analyses. Difference is first-listed reader minus second-listed reader. Analyses were </w:t>
      </w:r>
      <w:proofErr w:type="gramStart"/>
      <w:r w:rsidRPr="00385BD5">
        <w:rPr>
          <w:rFonts w:asciiTheme="majorHAnsi" w:hAnsiTheme="majorHAnsi" w:cstheme="majorHAnsi"/>
          <w:sz w:val="24"/>
          <w:szCs w:val="24"/>
        </w:rPr>
        <w:t>exploratory</w:t>
      </w:r>
      <w:proofErr w:type="gramEnd"/>
      <w:r w:rsidRPr="00385BD5">
        <w:rPr>
          <w:rFonts w:asciiTheme="majorHAnsi" w:hAnsiTheme="majorHAnsi" w:cstheme="majorHAnsi"/>
          <w:sz w:val="24"/>
          <w:szCs w:val="24"/>
        </w:rPr>
        <w:t xml:space="preserve"> and were not adjusted for multiple testing.</w:t>
      </w:r>
    </w:p>
    <w:p w14:paraId="1D025D84" w14:textId="77777777" w:rsidR="00B74CB2" w:rsidRPr="00385BD5" w:rsidRDefault="00000000">
      <w:pPr>
        <w:rPr>
          <w:rFonts w:asciiTheme="majorHAnsi" w:hAnsiTheme="majorHAnsi" w:cstheme="majorHAnsi"/>
          <w:sz w:val="24"/>
          <w:szCs w:val="24"/>
        </w:rPr>
      </w:pPr>
      <w:r w:rsidRPr="00385BD5">
        <w:rPr>
          <w:rFonts w:asciiTheme="majorHAnsi" w:hAnsiTheme="majorHAnsi" w:cstheme="majorHAnsi"/>
          <w:sz w:val="24"/>
          <w:szCs w:val="24"/>
        </w:rPr>
        <w:br w:type="page"/>
      </w:r>
    </w:p>
    <w:p w14:paraId="7ECA5D27" w14:textId="77777777" w:rsidR="00B74CB2" w:rsidRPr="00385BD5" w:rsidRDefault="00000000">
      <w:pPr>
        <w:keepNext/>
        <w:spacing w:after="60"/>
        <w:jc w:val="center"/>
        <w:rPr>
          <w:rFonts w:asciiTheme="majorHAnsi" w:hAnsiTheme="majorHAnsi" w:cstheme="majorHAnsi"/>
          <w:sz w:val="24"/>
          <w:szCs w:val="24"/>
        </w:rPr>
      </w:pPr>
      <w:r w:rsidRPr="00385BD5">
        <w:rPr>
          <w:rFonts w:asciiTheme="majorHAnsi" w:hAnsiTheme="majorHAnsi" w:cstheme="majorHAnsi"/>
          <w:b/>
          <w:sz w:val="24"/>
          <w:szCs w:val="24"/>
        </w:rPr>
        <w:lastRenderedPageBreak/>
        <w:t>Supplemental Figure</w:t>
      </w:r>
    </w:p>
    <w:p w14:paraId="346496F5" w14:textId="77777777" w:rsidR="00B74CB2" w:rsidRPr="00385BD5" w:rsidRDefault="00000000">
      <w:pPr>
        <w:keepNext/>
        <w:keepLines/>
        <w:spacing w:after="120"/>
        <w:jc w:val="center"/>
        <w:rPr>
          <w:rFonts w:asciiTheme="majorHAnsi" w:hAnsiTheme="majorHAnsi" w:cstheme="majorHAnsi"/>
          <w:sz w:val="24"/>
          <w:szCs w:val="24"/>
        </w:rPr>
      </w:pPr>
      <w:r w:rsidRPr="00385BD5">
        <w:rPr>
          <w:rFonts w:asciiTheme="majorHAnsi" w:hAnsiTheme="majorHAnsi" w:cstheme="majorHAnsi"/>
          <w:noProof/>
          <w:sz w:val="24"/>
          <w:szCs w:val="24"/>
        </w:rPr>
        <w:drawing>
          <wp:inline distT="0" distB="0" distL="0" distR="0" wp14:anchorId="49A3B433" wp14:editId="2844EC09">
            <wp:extent cx="6441834" cy="5257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S1_detailed_agreement.png"/>
                    <pic:cNvPicPr/>
                  </pic:nvPicPr>
                  <pic:blipFill>
                    <a:blip r:embed="rId8"/>
                    <a:stretch>
                      <a:fillRect/>
                    </a:stretch>
                  </pic:blipFill>
                  <pic:spPr>
                    <a:xfrm>
                      <a:off x="0" y="0"/>
                      <a:ext cx="6441834" cy="5257800"/>
                    </a:xfrm>
                    <a:prstGeom prst="rect">
                      <a:avLst/>
                    </a:prstGeom>
                  </pic:spPr>
                </pic:pic>
              </a:graphicData>
            </a:graphic>
          </wp:inline>
        </w:drawing>
      </w:r>
    </w:p>
    <w:p w14:paraId="11FFFD2A" w14:textId="77777777" w:rsidR="00B74CB2" w:rsidRPr="00385BD5" w:rsidRDefault="00000000">
      <w:pPr>
        <w:keepLines/>
        <w:spacing w:after="0"/>
        <w:rPr>
          <w:rFonts w:asciiTheme="majorHAnsi" w:hAnsiTheme="majorHAnsi" w:cstheme="majorHAnsi"/>
          <w:sz w:val="24"/>
          <w:szCs w:val="24"/>
        </w:rPr>
      </w:pPr>
      <w:r w:rsidRPr="00385BD5">
        <w:rPr>
          <w:rFonts w:asciiTheme="majorHAnsi" w:hAnsiTheme="majorHAnsi" w:cstheme="majorHAnsi"/>
          <w:b/>
          <w:sz w:val="24"/>
          <w:szCs w:val="24"/>
        </w:rPr>
        <w:t xml:space="preserve">Figure S1. </w:t>
      </w:r>
      <w:r w:rsidRPr="00385BD5">
        <w:rPr>
          <w:rFonts w:asciiTheme="majorHAnsi" w:hAnsiTheme="majorHAnsi" w:cstheme="majorHAnsi"/>
          <w:sz w:val="24"/>
          <w:szCs w:val="24"/>
        </w:rPr>
        <w:t>Detailed inter-reader analysis of quantitative, frame-based ETT. Panel A shows paired reader measurements and the line of identity. Panels B-D show pair-specific Bland-Altman plots with mean bias (black), 95% limits of agreement (red dashed), and fitted difference-vs-mean regression (purple dash-dot).</w:t>
      </w:r>
    </w:p>
    <w:p w14:paraId="249FE4AA" w14:textId="77777777" w:rsidR="00B74CB2" w:rsidRPr="00385BD5" w:rsidRDefault="00000000">
      <w:pPr>
        <w:pStyle w:val="Heading1"/>
        <w:pageBreakBefore/>
        <w:rPr>
          <w:rFonts w:cstheme="majorHAnsi"/>
          <w:color w:val="auto"/>
          <w:szCs w:val="24"/>
        </w:rPr>
      </w:pPr>
      <w:r w:rsidRPr="00385BD5">
        <w:rPr>
          <w:rFonts w:cstheme="majorHAnsi"/>
          <w:color w:val="auto"/>
          <w:szCs w:val="24"/>
        </w:rPr>
        <w:lastRenderedPageBreak/>
        <w:t>Frame-Rate Robustness</w:t>
      </w:r>
    </w:p>
    <w:p w14:paraId="25140E46" w14:textId="77777777" w:rsidR="00B74CB2" w:rsidRPr="00385BD5" w:rsidRDefault="00000000">
      <w:pPr>
        <w:spacing w:line="259" w:lineRule="auto"/>
        <w:rPr>
          <w:rFonts w:asciiTheme="majorHAnsi" w:hAnsiTheme="majorHAnsi" w:cstheme="majorHAnsi"/>
          <w:sz w:val="24"/>
          <w:szCs w:val="24"/>
        </w:rPr>
      </w:pPr>
      <w:r w:rsidRPr="00385BD5">
        <w:rPr>
          <w:rFonts w:asciiTheme="majorHAnsi" w:hAnsiTheme="majorHAnsi" w:cstheme="majorHAnsi"/>
          <w:sz w:val="24"/>
          <w:szCs w:val="24"/>
        </w:rPr>
        <w:t>Acquisition frame rate was not associated with examination-level mean absolute pairwise disagreement (ρ = 0.002; P = .988). Mean disagreement was 0.489 seconds below 10 frames per second and 0.492 seconds at 10 frames per second or higher. Subgroup summaries are descriptive because several frame-rate groups were small.</w:t>
      </w:r>
    </w:p>
    <w:tbl>
      <w:tblPr>
        <w:tblStyle w:val="TableGrid"/>
        <w:tblW w:w="13247" w:type="dxa"/>
        <w:jc w:val="center"/>
        <w:tblLayout w:type="fixed"/>
        <w:tblLook w:val="04A0" w:firstRow="1" w:lastRow="0" w:firstColumn="1" w:lastColumn="0" w:noHBand="0" w:noVBand="1"/>
      </w:tblPr>
      <w:tblGrid>
        <w:gridCol w:w="3383"/>
        <w:gridCol w:w="1944"/>
        <w:gridCol w:w="3960"/>
        <w:gridCol w:w="3960"/>
      </w:tblGrid>
      <w:tr w:rsidR="00B74CB2" w:rsidRPr="00385BD5" w14:paraId="2A12A346" w14:textId="77777777">
        <w:trPr>
          <w:tblHeader/>
          <w:jc w:val="center"/>
        </w:trPr>
        <w:tc>
          <w:tcPr>
            <w:tcW w:w="3384" w:type="dxa"/>
            <w:shd w:val="clear" w:color="auto" w:fill="D9E6F9"/>
            <w:tcMar>
              <w:top w:w="90" w:type="dxa"/>
              <w:left w:w="110" w:type="dxa"/>
              <w:bottom w:w="90" w:type="dxa"/>
              <w:right w:w="110" w:type="dxa"/>
            </w:tcMar>
            <w:vAlign w:val="center"/>
          </w:tcPr>
          <w:p w14:paraId="0D7455F8"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Acquisition frame rate (frames/s)</w:t>
            </w:r>
          </w:p>
        </w:tc>
        <w:tc>
          <w:tcPr>
            <w:tcW w:w="1944" w:type="dxa"/>
            <w:shd w:val="clear" w:color="auto" w:fill="D9E6F9"/>
            <w:tcMar>
              <w:top w:w="90" w:type="dxa"/>
              <w:left w:w="110" w:type="dxa"/>
              <w:bottom w:w="90" w:type="dxa"/>
              <w:right w:w="110" w:type="dxa"/>
            </w:tcMar>
            <w:vAlign w:val="center"/>
          </w:tcPr>
          <w:p w14:paraId="4312C9F5"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Examinations, n</w:t>
            </w:r>
          </w:p>
        </w:tc>
        <w:tc>
          <w:tcPr>
            <w:tcW w:w="3960" w:type="dxa"/>
            <w:shd w:val="clear" w:color="auto" w:fill="D9E6F9"/>
            <w:tcMar>
              <w:top w:w="90" w:type="dxa"/>
              <w:left w:w="110" w:type="dxa"/>
              <w:bottom w:w="90" w:type="dxa"/>
              <w:right w:w="110" w:type="dxa"/>
            </w:tcMar>
            <w:vAlign w:val="center"/>
          </w:tcPr>
          <w:p w14:paraId="42DAA50E"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Mean case-level pairwise absolute difference (s)</w:t>
            </w:r>
          </w:p>
        </w:tc>
        <w:tc>
          <w:tcPr>
            <w:tcW w:w="3960" w:type="dxa"/>
            <w:shd w:val="clear" w:color="auto" w:fill="D9E6F9"/>
            <w:tcMar>
              <w:top w:w="90" w:type="dxa"/>
              <w:left w:w="110" w:type="dxa"/>
              <w:bottom w:w="90" w:type="dxa"/>
              <w:right w:w="110" w:type="dxa"/>
            </w:tcMar>
            <w:vAlign w:val="center"/>
          </w:tcPr>
          <w:p w14:paraId="58FAD6E3"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Median case-level pairwise absolute difference (s)</w:t>
            </w:r>
          </w:p>
        </w:tc>
      </w:tr>
      <w:tr w:rsidR="00B74CB2" w:rsidRPr="00385BD5" w14:paraId="538A3F84" w14:textId="77777777">
        <w:trPr>
          <w:jc w:val="center"/>
        </w:trPr>
        <w:tc>
          <w:tcPr>
            <w:tcW w:w="3384" w:type="dxa"/>
            <w:tcMar>
              <w:top w:w="90" w:type="dxa"/>
              <w:left w:w="110" w:type="dxa"/>
              <w:bottom w:w="90" w:type="dxa"/>
              <w:right w:w="110" w:type="dxa"/>
            </w:tcMar>
            <w:vAlign w:val="center"/>
          </w:tcPr>
          <w:p w14:paraId="280E81FB"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3</w:t>
            </w:r>
          </w:p>
        </w:tc>
        <w:tc>
          <w:tcPr>
            <w:tcW w:w="1944" w:type="dxa"/>
            <w:tcMar>
              <w:top w:w="90" w:type="dxa"/>
              <w:left w:w="110" w:type="dxa"/>
              <w:bottom w:w="90" w:type="dxa"/>
              <w:right w:w="110" w:type="dxa"/>
            </w:tcMar>
            <w:vAlign w:val="center"/>
          </w:tcPr>
          <w:p w14:paraId="4F9D53F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4</w:t>
            </w:r>
          </w:p>
        </w:tc>
        <w:tc>
          <w:tcPr>
            <w:tcW w:w="3960" w:type="dxa"/>
            <w:tcMar>
              <w:top w:w="90" w:type="dxa"/>
              <w:left w:w="110" w:type="dxa"/>
              <w:bottom w:w="90" w:type="dxa"/>
              <w:right w:w="110" w:type="dxa"/>
            </w:tcMar>
            <w:vAlign w:val="center"/>
          </w:tcPr>
          <w:p w14:paraId="61AA5BFB"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0.500</w:t>
            </w:r>
          </w:p>
        </w:tc>
        <w:tc>
          <w:tcPr>
            <w:tcW w:w="3960" w:type="dxa"/>
            <w:tcMar>
              <w:top w:w="90" w:type="dxa"/>
              <w:left w:w="110" w:type="dxa"/>
              <w:bottom w:w="90" w:type="dxa"/>
              <w:right w:w="110" w:type="dxa"/>
            </w:tcMar>
            <w:vAlign w:val="center"/>
          </w:tcPr>
          <w:p w14:paraId="5F9789B1"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0.444</w:t>
            </w:r>
          </w:p>
        </w:tc>
      </w:tr>
      <w:tr w:rsidR="00B74CB2" w:rsidRPr="00385BD5" w14:paraId="04E4102A" w14:textId="77777777">
        <w:trPr>
          <w:jc w:val="center"/>
        </w:trPr>
        <w:tc>
          <w:tcPr>
            <w:tcW w:w="3384" w:type="dxa"/>
            <w:shd w:val="clear" w:color="auto" w:fill="F5F8FC"/>
            <w:tcMar>
              <w:top w:w="90" w:type="dxa"/>
              <w:left w:w="110" w:type="dxa"/>
              <w:bottom w:w="90" w:type="dxa"/>
              <w:right w:w="110" w:type="dxa"/>
            </w:tcMar>
            <w:vAlign w:val="center"/>
          </w:tcPr>
          <w:p w14:paraId="79B37A39"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8</w:t>
            </w:r>
          </w:p>
        </w:tc>
        <w:tc>
          <w:tcPr>
            <w:tcW w:w="1944" w:type="dxa"/>
            <w:shd w:val="clear" w:color="auto" w:fill="F5F8FC"/>
            <w:tcMar>
              <w:top w:w="90" w:type="dxa"/>
              <w:left w:w="110" w:type="dxa"/>
              <w:bottom w:w="90" w:type="dxa"/>
              <w:right w:w="110" w:type="dxa"/>
            </w:tcMar>
            <w:vAlign w:val="center"/>
          </w:tcPr>
          <w:p w14:paraId="7564E3A6"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43</w:t>
            </w:r>
          </w:p>
        </w:tc>
        <w:tc>
          <w:tcPr>
            <w:tcW w:w="3960" w:type="dxa"/>
            <w:shd w:val="clear" w:color="auto" w:fill="F5F8FC"/>
            <w:tcMar>
              <w:top w:w="90" w:type="dxa"/>
              <w:left w:w="110" w:type="dxa"/>
              <w:bottom w:w="90" w:type="dxa"/>
              <w:right w:w="110" w:type="dxa"/>
            </w:tcMar>
            <w:vAlign w:val="center"/>
          </w:tcPr>
          <w:p w14:paraId="3A7E5CC1"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0.488</w:t>
            </w:r>
          </w:p>
        </w:tc>
        <w:tc>
          <w:tcPr>
            <w:tcW w:w="3960" w:type="dxa"/>
            <w:shd w:val="clear" w:color="auto" w:fill="F5F8FC"/>
            <w:tcMar>
              <w:top w:w="90" w:type="dxa"/>
              <w:left w:w="110" w:type="dxa"/>
              <w:bottom w:w="90" w:type="dxa"/>
              <w:right w:w="110" w:type="dxa"/>
            </w:tcMar>
            <w:vAlign w:val="center"/>
          </w:tcPr>
          <w:p w14:paraId="1CB91EEC"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0.333</w:t>
            </w:r>
          </w:p>
        </w:tc>
      </w:tr>
      <w:tr w:rsidR="00B74CB2" w:rsidRPr="00385BD5" w14:paraId="37AF61B7" w14:textId="77777777">
        <w:trPr>
          <w:jc w:val="center"/>
        </w:trPr>
        <w:tc>
          <w:tcPr>
            <w:tcW w:w="3384" w:type="dxa"/>
            <w:tcMar>
              <w:top w:w="90" w:type="dxa"/>
              <w:left w:w="110" w:type="dxa"/>
              <w:bottom w:w="90" w:type="dxa"/>
              <w:right w:w="110" w:type="dxa"/>
            </w:tcMar>
            <w:vAlign w:val="center"/>
          </w:tcPr>
          <w:p w14:paraId="3C4CD939"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10</w:t>
            </w:r>
          </w:p>
        </w:tc>
        <w:tc>
          <w:tcPr>
            <w:tcW w:w="1944" w:type="dxa"/>
            <w:tcMar>
              <w:top w:w="90" w:type="dxa"/>
              <w:left w:w="110" w:type="dxa"/>
              <w:bottom w:w="90" w:type="dxa"/>
              <w:right w:w="110" w:type="dxa"/>
            </w:tcMar>
            <w:vAlign w:val="center"/>
          </w:tcPr>
          <w:p w14:paraId="6B3641DC"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8</w:t>
            </w:r>
          </w:p>
        </w:tc>
        <w:tc>
          <w:tcPr>
            <w:tcW w:w="3960" w:type="dxa"/>
            <w:tcMar>
              <w:top w:w="90" w:type="dxa"/>
              <w:left w:w="110" w:type="dxa"/>
              <w:bottom w:w="90" w:type="dxa"/>
              <w:right w:w="110" w:type="dxa"/>
            </w:tcMar>
            <w:vAlign w:val="center"/>
          </w:tcPr>
          <w:p w14:paraId="1B89932E"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0.492</w:t>
            </w:r>
          </w:p>
        </w:tc>
        <w:tc>
          <w:tcPr>
            <w:tcW w:w="3960" w:type="dxa"/>
            <w:tcMar>
              <w:top w:w="90" w:type="dxa"/>
              <w:left w:w="110" w:type="dxa"/>
              <w:bottom w:w="90" w:type="dxa"/>
              <w:right w:w="110" w:type="dxa"/>
            </w:tcMar>
            <w:vAlign w:val="center"/>
          </w:tcPr>
          <w:p w14:paraId="07E001BD"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0.400</w:t>
            </w:r>
          </w:p>
        </w:tc>
      </w:tr>
      <w:tr w:rsidR="00B74CB2" w:rsidRPr="00385BD5" w14:paraId="1CBB84B0" w14:textId="77777777">
        <w:trPr>
          <w:jc w:val="center"/>
        </w:trPr>
        <w:tc>
          <w:tcPr>
            <w:tcW w:w="3384" w:type="dxa"/>
            <w:shd w:val="clear" w:color="auto" w:fill="F5F8FC"/>
            <w:tcMar>
              <w:top w:w="90" w:type="dxa"/>
              <w:left w:w="110" w:type="dxa"/>
              <w:bottom w:w="90" w:type="dxa"/>
              <w:right w:w="110" w:type="dxa"/>
            </w:tcMar>
            <w:vAlign w:val="center"/>
          </w:tcPr>
          <w:p w14:paraId="5E4469D8"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13</w:t>
            </w:r>
          </w:p>
        </w:tc>
        <w:tc>
          <w:tcPr>
            <w:tcW w:w="1944" w:type="dxa"/>
            <w:shd w:val="clear" w:color="auto" w:fill="F5F8FC"/>
            <w:tcMar>
              <w:top w:w="90" w:type="dxa"/>
              <w:left w:w="110" w:type="dxa"/>
              <w:bottom w:w="90" w:type="dxa"/>
              <w:right w:w="110" w:type="dxa"/>
            </w:tcMar>
            <w:vAlign w:val="center"/>
          </w:tcPr>
          <w:p w14:paraId="019D5E70"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w:t>
            </w:r>
          </w:p>
        </w:tc>
        <w:tc>
          <w:tcPr>
            <w:tcW w:w="3960" w:type="dxa"/>
            <w:shd w:val="clear" w:color="auto" w:fill="F5F8FC"/>
            <w:tcMar>
              <w:top w:w="90" w:type="dxa"/>
              <w:left w:w="110" w:type="dxa"/>
              <w:bottom w:w="90" w:type="dxa"/>
              <w:right w:w="110" w:type="dxa"/>
            </w:tcMar>
            <w:vAlign w:val="center"/>
          </w:tcPr>
          <w:p w14:paraId="0D3C8F6F"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1.231</w:t>
            </w:r>
          </w:p>
        </w:tc>
        <w:tc>
          <w:tcPr>
            <w:tcW w:w="3960" w:type="dxa"/>
            <w:shd w:val="clear" w:color="auto" w:fill="F5F8FC"/>
            <w:tcMar>
              <w:top w:w="90" w:type="dxa"/>
              <w:left w:w="110" w:type="dxa"/>
              <w:bottom w:w="90" w:type="dxa"/>
              <w:right w:w="110" w:type="dxa"/>
            </w:tcMar>
            <w:vAlign w:val="center"/>
          </w:tcPr>
          <w:p w14:paraId="67575743"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1.231</w:t>
            </w:r>
          </w:p>
        </w:tc>
      </w:tr>
      <w:tr w:rsidR="00B74CB2" w:rsidRPr="00385BD5" w14:paraId="14471BE7" w14:textId="77777777">
        <w:trPr>
          <w:jc w:val="center"/>
        </w:trPr>
        <w:tc>
          <w:tcPr>
            <w:tcW w:w="3384" w:type="dxa"/>
            <w:tcMar>
              <w:top w:w="90" w:type="dxa"/>
              <w:left w:w="110" w:type="dxa"/>
              <w:bottom w:w="90" w:type="dxa"/>
              <w:right w:w="110" w:type="dxa"/>
            </w:tcMar>
            <w:vAlign w:val="center"/>
          </w:tcPr>
          <w:p w14:paraId="60DE1FEA"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15</w:t>
            </w:r>
          </w:p>
        </w:tc>
        <w:tc>
          <w:tcPr>
            <w:tcW w:w="1944" w:type="dxa"/>
            <w:tcMar>
              <w:top w:w="90" w:type="dxa"/>
              <w:left w:w="110" w:type="dxa"/>
              <w:bottom w:w="90" w:type="dxa"/>
              <w:right w:w="110" w:type="dxa"/>
            </w:tcMar>
            <w:vAlign w:val="center"/>
          </w:tcPr>
          <w:p w14:paraId="447B34E4"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10</w:t>
            </w:r>
          </w:p>
        </w:tc>
        <w:tc>
          <w:tcPr>
            <w:tcW w:w="3960" w:type="dxa"/>
            <w:tcMar>
              <w:top w:w="90" w:type="dxa"/>
              <w:left w:w="110" w:type="dxa"/>
              <w:bottom w:w="90" w:type="dxa"/>
              <w:right w:w="110" w:type="dxa"/>
            </w:tcMar>
            <w:vAlign w:val="center"/>
          </w:tcPr>
          <w:p w14:paraId="45A8E359"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0.418</w:t>
            </w:r>
          </w:p>
        </w:tc>
        <w:tc>
          <w:tcPr>
            <w:tcW w:w="3960" w:type="dxa"/>
            <w:tcMar>
              <w:top w:w="90" w:type="dxa"/>
              <w:left w:w="110" w:type="dxa"/>
              <w:bottom w:w="90" w:type="dxa"/>
              <w:right w:w="110" w:type="dxa"/>
            </w:tcMar>
            <w:vAlign w:val="center"/>
          </w:tcPr>
          <w:p w14:paraId="7B26A2F9"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0.267</w:t>
            </w:r>
          </w:p>
        </w:tc>
      </w:tr>
    </w:tbl>
    <w:p w14:paraId="070620B2" w14:textId="77777777" w:rsidR="00B74CB2" w:rsidRPr="00385BD5" w:rsidRDefault="00000000">
      <w:pPr>
        <w:spacing w:before="100" w:after="160"/>
        <w:rPr>
          <w:rFonts w:asciiTheme="majorHAnsi" w:hAnsiTheme="majorHAnsi" w:cstheme="majorHAnsi"/>
          <w:sz w:val="24"/>
          <w:szCs w:val="24"/>
        </w:rPr>
      </w:pPr>
      <w:r w:rsidRPr="00385BD5">
        <w:rPr>
          <w:rFonts w:asciiTheme="majorHAnsi" w:hAnsiTheme="majorHAnsi" w:cstheme="majorHAnsi"/>
          <w:b/>
          <w:sz w:val="24"/>
          <w:szCs w:val="24"/>
        </w:rPr>
        <w:t xml:space="preserve">Table S2. </w:t>
      </w:r>
      <w:r w:rsidRPr="00385BD5">
        <w:rPr>
          <w:rFonts w:asciiTheme="majorHAnsi" w:hAnsiTheme="majorHAnsi" w:cstheme="majorHAnsi"/>
          <w:sz w:val="24"/>
          <w:szCs w:val="24"/>
        </w:rPr>
        <w:t>Descriptive reader disagreement by acquisition frame rate. Case-level disagreement is the mean absolute difference across the three reader pairs for each examination.</w:t>
      </w:r>
    </w:p>
    <w:p w14:paraId="112113D9" w14:textId="77777777" w:rsidR="00B74CB2" w:rsidRPr="00385BD5" w:rsidRDefault="00000000">
      <w:pPr>
        <w:pStyle w:val="Heading2"/>
        <w:rPr>
          <w:rFonts w:cstheme="majorHAnsi"/>
          <w:color w:val="auto"/>
          <w:sz w:val="24"/>
          <w:szCs w:val="24"/>
        </w:rPr>
      </w:pPr>
      <w:r w:rsidRPr="00385BD5">
        <w:rPr>
          <w:rFonts w:cstheme="majorHAnsi"/>
          <w:color w:val="auto"/>
          <w:sz w:val="24"/>
          <w:szCs w:val="24"/>
        </w:rPr>
        <w:t>Sensitivity Analysis Excluding 3-Frames-per-Second Examinations</w:t>
      </w:r>
    </w:p>
    <w:tbl>
      <w:tblPr>
        <w:tblStyle w:val="TableGrid"/>
        <w:tblW w:w="13247" w:type="dxa"/>
        <w:jc w:val="center"/>
        <w:tblLayout w:type="fixed"/>
        <w:tblLook w:val="04A0" w:firstRow="1" w:lastRow="0" w:firstColumn="1" w:lastColumn="0" w:noHBand="0" w:noVBand="1"/>
      </w:tblPr>
      <w:tblGrid>
        <w:gridCol w:w="8063"/>
        <w:gridCol w:w="2592"/>
        <w:gridCol w:w="2592"/>
      </w:tblGrid>
      <w:tr w:rsidR="00B74CB2" w:rsidRPr="00385BD5" w14:paraId="29112A23" w14:textId="77777777">
        <w:trPr>
          <w:tblHeader/>
          <w:jc w:val="center"/>
        </w:trPr>
        <w:tc>
          <w:tcPr>
            <w:tcW w:w="8063" w:type="dxa"/>
            <w:shd w:val="clear" w:color="auto" w:fill="D9E6F9"/>
            <w:tcMar>
              <w:top w:w="90" w:type="dxa"/>
              <w:left w:w="110" w:type="dxa"/>
              <w:bottom w:w="90" w:type="dxa"/>
              <w:right w:w="110" w:type="dxa"/>
            </w:tcMar>
            <w:vAlign w:val="center"/>
          </w:tcPr>
          <w:p w14:paraId="3D0334BD"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Analysis set</w:t>
            </w:r>
          </w:p>
        </w:tc>
        <w:tc>
          <w:tcPr>
            <w:tcW w:w="2592" w:type="dxa"/>
            <w:shd w:val="clear" w:color="auto" w:fill="D9E6F9"/>
            <w:tcMar>
              <w:top w:w="90" w:type="dxa"/>
              <w:left w:w="110" w:type="dxa"/>
              <w:bottom w:w="90" w:type="dxa"/>
              <w:right w:w="110" w:type="dxa"/>
            </w:tcMar>
            <w:vAlign w:val="center"/>
          </w:tcPr>
          <w:p w14:paraId="3F0B066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ICC(A,1)</w:t>
            </w:r>
          </w:p>
        </w:tc>
        <w:tc>
          <w:tcPr>
            <w:tcW w:w="2592" w:type="dxa"/>
            <w:shd w:val="clear" w:color="auto" w:fill="D9E6F9"/>
            <w:tcMar>
              <w:top w:w="90" w:type="dxa"/>
              <w:left w:w="110" w:type="dxa"/>
              <w:bottom w:w="90" w:type="dxa"/>
              <w:right w:w="110" w:type="dxa"/>
            </w:tcMar>
            <w:vAlign w:val="center"/>
          </w:tcPr>
          <w:p w14:paraId="2500C1A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b/>
                <w:sz w:val="24"/>
                <w:szCs w:val="24"/>
              </w:rPr>
              <w:t>ICC(A,3)</w:t>
            </w:r>
          </w:p>
        </w:tc>
      </w:tr>
      <w:tr w:rsidR="00B74CB2" w:rsidRPr="00385BD5" w14:paraId="7BDE4FE4" w14:textId="77777777">
        <w:trPr>
          <w:jc w:val="center"/>
        </w:trPr>
        <w:tc>
          <w:tcPr>
            <w:tcW w:w="8063" w:type="dxa"/>
            <w:tcMar>
              <w:top w:w="90" w:type="dxa"/>
              <w:left w:w="110" w:type="dxa"/>
              <w:bottom w:w="90" w:type="dxa"/>
              <w:right w:w="110" w:type="dxa"/>
            </w:tcMar>
            <w:vAlign w:val="center"/>
          </w:tcPr>
          <w:p w14:paraId="128A42BB"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Full cohort (n = 66)</w:t>
            </w:r>
          </w:p>
        </w:tc>
        <w:tc>
          <w:tcPr>
            <w:tcW w:w="2592" w:type="dxa"/>
            <w:tcMar>
              <w:top w:w="90" w:type="dxa"/>
              <w:left w:w="110" w:type="dxa"/>
              <w:bottom w:w="90" w:type="dxa"/>
              <w:right w:w="110" w:type="dxa"/>
            </w:tcMar>
            <w:vAlign w:val="center"/>
          </w:tcPr>
          <w:p w14:paraId="5D2EB46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0.777</w:t>
            </w:r>
          </w:p>
        </w:tc>
        <w:tc>
          <w:tcPr>
            <w:tcW w:w="2592" w:type="dxa"/>
            <w:tcMar>
              <w:top w:w="90" w:type="dxa"/>
              <w:left w:w="110" w:type="dxa"/>
              <w:bottom w:w="90" w:type="dxa"/>
              <w:right w:w="110" w:type="dxa"/>
            </w:tcMar>
            <w:vAlign w:val="center"/>
          </w:tcPr>
          <w:p w14:paraId="63CAF322"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0.913</w:t>
            </w:r>
          </w:p>
        </w:tc>
      </w:tr>
      <w:tr w:rsidR="00B74CB2" w:rsidRPr="00385BD5" w14:paraId="47090966" w14:textId="77777777">
        <w:trPr>
          <w:jc w:val="center"/>
        </w:trPr>
        <w:tc>
          <w:tcPr>
            <w:tcW w:w="8063" w:type="dxa"/>
            <w:shd w:val="clear" w:color="auto" w:fill="F5F8FC"/>
            <w:tcMar>
              <w:top w:w="90" w:type="dxa"/>
              <w:left w:w="110" w:type="dxa"/>
              <w:bottom w:w="90" w:type="dxa"/>
              <w:right w:w="110" w:type="dxa"/>
            </w:tcMar>
            <w:vAlign w:val="center"/>
          </w:tcPr>
          <w:p w14:paraId="1AABD74A" w14:textId="77777777" w:rsidR="00B74CB2" w:rsidRPr="00385BD5" w:rsidRDefault="00000000">
            <w:pPr>
              <w:spacing w:after="0"/>
              <w:rPr>
                <w:rFonts w:asciiTheme="majorHAnsi" w:hAnsiTheme="majorHAnsi" w:cstheme="majorHAnsi"/>
                <w:sz w:val="24"/>
                <w:szCs w:val="24"/>
              </w:rPr>
            </w:pPr>
            <w:r w:rsidRPr="00385BD5">
              <w:rPr>
                <w:rFonts w:asciiTheme="majorHAnsi" w:hAnsiTheme="majorHAnsi" w:cstheme="majorHAnsi"/>
                <w:sz w:val="24"/>
                <w:szCs w:val="24"/>
              </w:rPr>
              <w:t>Excluding 3-frames-per-second examinations (n = 62)</w:t>
            </w:r>
          </w:p>
        </w:tc>
        <w:tc>
          <w:tcPr>
            <w:tcW w:w="2592" w:type="dxa"/>
            <w:shd w:val="clear" w:color="auto" w:fill="F5F8FC"/>
            <w:tcMar>
              <w:top w:w="90" w:type="dxa"/>
              <w:left w:w="110" w:type="dxa"/>
              <w:bottom w:w="90" w:type="dxa"/>
              <w:right w:w="110" w:type="dxa"/>
            </w:tcMar>
            <w:vAlign w:val="center"/>
          </w:tcPr>
          <w:p w14:paraId="4D6EF64B"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0.766</w:t>
            </w:r>
          </w:p>
        </w:tc>
        <w:tc>
          <w:tcPr>
            <w:tcW w:w="2592" w:type="dxa"/>
            <w:shd w:val="clear" w:color="auto" w:fill="F5F8FC"/>
            <w:tcMar>
              <w:top w:w="90" w:type="dxa"/>
              <w:left w:w="110" w:type="dxa"/>
              <w:bottom w:w="90" w:type="dxa"/>
              <w:right w:w="110" w:type="dxa"/>
            </w:tcMar>
            <w:vAlign w:val="center"/>
          </w:tcPr>
          <w:p w14:paraId="34EB6EDE" w14:textId="77777777" w:rsidR="00B74CB2" w:rsidRPr="00385BD5" w:rsidRDefault="00000000">
            <w:pPr>
              <w:spacing w:after="0"/>
              <w:jc w:val="center"/>
              <w:rPr>
                <w:rFonts w:asciiTheme="majorHAnsi" w:hAnsiTheme="majorHAnsi" w:cstheme="majorHAnsi"/>
                <w:sz w:val="24"/>
                <w:szCs w:val="24"/>
              </w:rPr>
            </w:pPr>
            <w:r w:rsidRPr="00385BD5">
              <w:rPr>
                <w:rFonts w:asciiTheme="majorHAnsi" w:hAnsiTheme="majorHAnsi" w:cstheme="majorHAnsi"/>
                <w:sz w:val="24"/>
                <w:szCs w:val="24"/>
              </w:rPr>
              <w:t>0.908</w:t>
            </w:r>
          </w:p>
        </w:tc>
      </w:tr>
    </w:tbl>
    <w:p w14:paraId="40BA6439" w14:textId="77777777" w:rsidR="00B74CB2" w:rsidRPr="00385BD5" w:rsidRDefault="00000000">
      <w:pPr>
        <w:spacing w:before="100" w:after="160"/>
        <w:rPr>
          <w:rFonts w:asciiTheme="majorHAnsi" w:hAnsiTheme="majorHAnsi" w:cstheme="majorHAnsi"/>
          <w:sz w:val="24"/>
          <w:szCs w:val="24"/>
        </w:rPr>
      </w:pPr>
      <w:r w:rsidRPr="00385BD5">
        <w:rPr>
          <w:rFonts w:asciiTheme="majorHAnsi" w:hAnsiTheme="majorHAnsi" w:cstheme="majorHAnsi"/>
          <w:b/>
          <w:sz w:val="24"/>
          <w:szCs w:val="24"/>
        </w:rPr>
        <w:t xml:space="preserve">Table S3. </w:t>
      </w:r>
      <w:r w:rsidRPr="00385BD5">
        <w:rPr>
          <w:rFonts w:asciiTheme="majorHAnsi" w:hAnsiTheme="majorHAnsi" w:cstheme="majorHAnsi"/>
          <w:sz w:val="24"/>
          <w:szCs w:val="24"/>
        </w:rPr>
        <w:t>Sensitivity analysis of continuous quantitative ETT reliability. Excluding the four 3-frames-per-second examinations left the ICC estimates essentially unchanged.</w:t>
      </w:r>
    </w:p>
    <w:sectPr w:rsidR="00B74CB2" w:rsidRPr="00385BD5" w:rsidSect="00034616">
      <w:pgSz w:w="15840" w:h="12240" w:orient="landscape"/>
      <w:pgMar w:top="893" w:right="936" w:bottom="893"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E561E" w14:textId="77777777" w:rsidR="00CD53B4" w:rsidRDefault="00CD53B4">
      <w:pPr>
        <w:spacing w:after="0" w:line="240" w:lineRule="auto"/>
      </w:pPr>
      <w:r>
        <w:separator/>
      </w:r>
    </w:p>
  </w:endnote>
  <w:endnote w:type="continuationSeparator" w:id="0">
    <w:p w14:paraId="08626732" w14:textId="77777777" w:rsidR="00CD53B4" w:rsidRDefault="00CD53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2A09F" w14:textId="77777777" w:rsidR="00CD53B4" w:rsidRDefault="00CD53B4">
      <w:pPr>
        <w:spacing w:after="0" w:line="240" w:lineRule="auto"/>
      </w:pPr>
      <w:r>
        <w:separator/>
      </w:r>
    </w:p>
  </w:footnote>
  <w:footnote w:type="continuationSeparator" w:id="0">
    <w:p w14:paraId="06E37044" w14:textId="77777777" w:rsidR="00CD53B4" w:rsidRDefault="00CD53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4554160">
    <w:abstractNumId w:val="8"/>
  </w:num>
  <w:num w:numId="2" w16cid:durableId="1849757357">
    <w:abstractNumId w:val="6"/>
  </w:num>
  <w:num w:numId="3" w16cid:durableId="1972595876">
    <w:abstractNumId w:val="5"/>
  </w:num>
  <w:num w:numId="4" w16cid:durableId="2078475860">
    <w:abstractNumId w:val="4"/>
  </w:num>
  <w:num w:numId="5" w16cid:durableId="1395665143">
    <w:abstractNumId w:val="7"/>
  </w:num>
  <w:num w:numId="6" w16cid:durableId="1206799047">
    <w:abstractNumId w:val="3"/>
  </w:num>
  <w:num w:numId="7" w16cid:durableId="981227194">
    <w:abstractNumId w:val="2"/>
  </w:num>
  <w:num w:numId="8" w16cid:durableId="317224736">
    <w:abstractNumId w:val="1"/>
  </w:num>
  <w:num w:numId="9" w16cid:durableId="1615091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360CB"/>
    <w:rsid w:val="00385BD5"/>
    <w:rsid w:val="00AA1D8D"/>
    <w:rsid w:val="00B27EFE"/>
    <w:rsid w:val="00B47730"/>
    <w:rsid w:val="00B74CB2"/>
    <w:rsid w:val="00B9137C"/>
    <w:rsid w:val="00CB0664"/>
    <w:rsid w:val="00CD53B4"/>
    <w:rsid w:val="00D250D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C77E52"/>
  <w14:defaultImageDpi w14:val="300"/>
  <w15:docId w15:val="{D27D0A01-4F31-46B1-BA9A-BB705F64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2F5597"/>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2F5597"/>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ETT Supplemental Statistical Analyses</dc:title>
  <dc:subject>Supplemental exploratory analyses for the ETT reproducibility manuscript</dc:subject>
  <dc:creator>Peter Fernandez</dc:creator>
  <cp:keywords/>
  <dc:description>generated by python-docx</dc:description>
  <cp:lastModifiedBy>PEDRO FERNANDEZ</cp:lastModifiedBy>
  <cp:revision>4</cp:revision>
  <dcterms:created xsi:type="dcterms:W3CDTF">2013-12-23T23:15:00Z</dcterms:created>
  <dcterms:modified xsi:type="dcterms:W3CDTF">2026-09-30T22:59:00Z</dcterms:modified>
  <cp:category/>
</cp:coreProperties>
</file>