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8267CC" w14:textId="77777777" w:rsidR="003C0AA6" w:rsidRPr="00060603" w:rsidRDefault="003C0AA6" w:rsidP="003C0AA6">
      <w:pPr>
        <w:pStyle w:val="Nagwek1"/>
        <w:spacing w:line="480" w:lineRule="auto"/>
        <w:rPr>
          <w:b/>
          <w:bCs/>
          <w:i/>
          <w:iCs/>
          <w:lang w:val="en-US"/>
        </w:rPr>
      </w:pPr>
      <w:r>
        <w:rPr>
          <w:lang w:val="en-US"/>
        </w:rPr>
        <w:t>Supplementary Materials</w:t>
      </w:r>
    </w:p>
    <w:p w14:paraId="13D4D800" w14:textId="551DA8E8" w:rsidR="003C0AA6" w:rsidRDefault="00D25715" w:rsidP="003C0AA6">
      <w:pPr>
        <w:spacing w:before="240" w:after="240" w:line="480" w:lineRule="auto"/>
        <w:rPr>
          <w:i/>
          <w:iCs/>
          <w:lang w:val="en-US"/>
        </w:rPr>
      </w:pPr>
      <w:r w:rsidRPr="00D25715">
        <w:rPr>
          <w:b/>
          <w:bCs/>
          <w:i/>
          <w:iCs/>
          <w:noProof/>
          <w:lang w:val="en-US"/>
        </w:rPr>
        <w:drawing>
          <wp:inline distT="0" distB="0" distL="0" distR="0" wp14:anchorId="6DE5BFD1" wp14:editId="2B5A0938">
            <wp:extent cx="5760720" cy="5084956"/>
            <wp:effectExtent l="0" t="0" r="5080" b="0"/>
            <wp:docPr id="179452728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527282" name=""/>
                    <pic:cNvPicPr/>
                  </pic:nvPicPr>
                  <pic:blipFill rotWithShape="1">
                    <a:blip r:embed="rId4"/>
                    <a:srcRect b="11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84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C0AA6" w:rsidRPr="00281A3D">
        <w:rPr>
          <w:b/>
          <w:bCs/>
          <w:i/>
          <w:iCs/>
          <w:lang w:val="en-US"/>
        </w:rPr>
        <w:t>Supplementary Fig</w:t>
      </w:r>
      <w:r w:rsidR="003C0AA6">
        <w:rPr>
          <w:b/>
          <w:bCs/>
          <w:i/>
          <w:iCs/>
          <w:lang w:val="en-US"/>
        </w:rPr>
        <w:t>ure</w:t>
      </w:r>
      <w:r w:rsidR="003C0AA6" w:rsidRPr="00281A3D">
        <w:rPr>
          <w:b/>
          <w:bCs/>
          <w:i/>
          <w:iCs/>
          <w:lang w:val="en-US"/>
        </w:rPr>
        <w:t xml:space="preserve"> 1. </w:t>
      </w:r>
      <w:r w:rsidR="003C0AA6" w:rsidRPr="00D27FED">
        <w:rPr>
          <w:i/>
          <w:iCs/>
          <w:lang w:val="en-US"/>
        </w:rPr>
        <w:t>Pedigree of the families of FAD cases with P117L mutation (A), and with I213F mutation (B).</w:t>
      </w:r>
    </w:p>
    <w:p w14:paraId="7A1771A5" w14:textId="77777777" w:rsidR="00350C29" w:rsidRDefault="00350C29" w:rsidP="00350C29">
      <w:pPr>
        <w:widowControl w:val="0"/>
        <w:rPr>
          <w:lang w:val="en-US"/>
        </w:rPr>
      </w:pPr>
      <w:r w:rsidRPr="006C0D32">
        <w:lastRenderedPageBreak/>
        <w:drawing>
          <wp:inline distT="0" distB="0" distL="0" distR="0" wp14:anchorId="2992C152" wp14:editId="7E0F207B">
            <wp:extent cx="5688965" cy="8229600"/>
            <wp:effectExtent l="0" t="0" r="635" b="0"/>
            <wp:docPr id="16099575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95752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89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FB9CE" w14:textId="77777777" w:rsidR="00350C29" w:rsidRPr="006C0D32" w:rsidRDefault="00350C29" w:rsidP="00350C29">
      <w:pPr>
        <w:pBdr>
          <w:top w:val="nil"/>
          <w:left w:val="nil"/>
          <w:bottom w:val="nil"/>
          <w:right w:val="nil"/>
          <w:between w:val="nil"/>
        </w:pBdr>
        <w:spacing w:before="240" w:after="240" w:line="480" w:lineRule="auto"/>
        <w:jc w:val="both"/>
      </w:pPr>
      <w:r w:rsidRPr="00281A3D">
        <w:rPr>
          <w:b/>
          <w:bCs/>
          <w:i/>
          <w:iCs/>
          <w:lang w:val="en-US"/>
        </w:rPr>
        <w:t xml:space="preserve">Supplementary </w:t>
      </w:r>
      <w:r w:rsidRPr="007C1E97">
        <w:rPr>
          <w:b/>
          <w:bCs/>
          <w:i/>
          <w:iCs/>
          <w:lang w:val="en-US"/>
        </w:rPr>
        <w:t xml:space="preserve">Figure </w:t>
      </w:r>
      <w:r>
        <w:rPr>
          <w:b/>
          <w:bCs/>
          <w:i/>
          <w:iCs/>
          <w:lang w:val="en-US"/>
        </w:rPr>
        <w:t xml:space="preserve">2. </w:t>
      </w:r>
      <w:r w:rsidRPr="006C0D32">
        <w:rPr>
          <w:b/>
          <w:bCs/>
          <w:i/>
          <w:iCs/>
          <w:lang w:val="en-US"/>
        </w:rPr>
        <w:t xml:space="preserve">KEGG pathway enrichment analysis of predicted miRNA targets. </w:t>
      </w:r>
      <w:r w:rsidRPr="006C0D32">
        <w:rPr>
          <w:i/>
          <w:iCs/>
          <w:lang w:val="en-US"/>
        </w:rPr>
        <w:t xml:space="preserve">Enrichment of selected pathways associated with neuronal function and neurodegeneration, including axon guidance (hsa04360), synaptic vesicle cycle (hsa04721), glutamatergic synapse (hsa04724), GABAergic synapse (hsa04727), Alzheimer disease (hsa05010), long-term potentiation (hsa04720), long-term depression (hsa04730), </w:t>
      </w:r>
      <w:proofErr w:type="spellStart"/>
      <w:r w:rsidRPr="006C0D32">
        <w:rPr>
          <w:i/>
          <w:iCs/>
          <w:lang w:val="en-US"/>
        </w:rPr>
        <w:t>neurotrophin</w:t>
      </w:r>
      <w:proofErr w:type="spellEnd"/>
      <w:r w:rsidRPr="006C0D32">
        <w:rPr>
          <w:i/>
          <w:iCs/>
          <w:lang w:val="en-US"/>
        </w:rPr>
        <w:t xml:space="preserve"> signaling pathway (hsa04722), pathways of neurodegeneration—multiple diseases (hsa05022), cholinergic synapse (hsa04725), neuroactive ligand–receptor interaction (hsa04080), and neuroactive ligand signaling (hsa04082). These pathways highlight the potential involvement of </w:t>
      </w:r>
      <w:proofErr w:type="spellStart"/>
      <w:r w:rsidRPr="006C0D32">
        <w:rPr>
          <w:i/>
          <w:iCs/>
          <w:lang w:val="en-US"/>
        </w:rPr>
        <w:t>exosomal</w:t>
      </w:r>
      <w:proofErr w:type="spellEnd"/>
      <w:r w:rsidRPr="006C0D32">
        <w:rPr>
          <w:i/>
          <w:iCs/>
          <w:lang w:val="en-US"/>
        </w:rPr>
        <w:t xml:space="preserve"> miRNA targets in neuronal function, synaptic transmission and plasticity, and molecular processes relevant to learning, memory, and neurodegenerative disease.</w:t>
      </w:r>
    </w:p>
    <w:p w14:paraId="0937FF36" w14:textId="77777777" w:rsidR="00350C29" w:rsidRDefault="00350C29" w:rsidP="00350C29">
      <w:pPr>
        <w:widowControl w:val="0"/>
        <w:rPr>
          <w:lang w:val="en-US"/>
        </w:rPr>
      </w:pPr>
    </w:p>
    <w:p w14:paraId="44467955" w14:textId="77777777" w:rsidR="00350C29" w:rsidRDefault="00350C29" w:rsidP="00350C29">
      <w:pPr>
        <w:widowControl w:val="0"/>
        <w:rPr>
          <w:lang w:val="en-US"/>
        </w:rPr>
      </w:pPr>
      <w:r w:rsidRPr="006C0D32">
        <w:drawing>
          <wp:inline distT="0" distB="0" distL="0" distR="0" wp14:anchorId="255E09A5" wp14:editId="23A4B544">
            <wp:extent cx="4012442" cy="2914593"/>
            <wp:effectExtent l="0" t="0" r="0" b="0"/>
            <wp:docPr id="175261657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61657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22930" cy="292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714C9" w14:textId="10AC32F3" w:rsidR="00BB3C5A" w:rsidRDefault="00350C29" w:rsidP="00350C29">
      <w:pPr>
        <w:pBdr>
          <w:top w:val="nil"/>
          <w:left w:val="nil"/>
          <w:bottom w:val="nil"/>
          <w:right w:val="nil"/>
          <w:between w:val="nil"/>
        </w:pBdr>
        <w:spacing w:before="240" w:after="240" w:line="480" w:lineRule="auto"/>
        <w:jc w:val="both"/>
      </w:pPr>
      <w:r w:rsidRPr="00281A3D">
        <w:rPr>
          <w:b/>
          <w:bCs/>
          <w:i/>
          <w:iCs/>
          <w:lang w:val="en-US"/>
        </w:rPr>
        <w:t xml:space="preserve">Supplementary </w:t>
      </w:r>
      <w:r w:rsidRPr="007C1E97">
        <w:rPr>
          <w:b/>
          <w:bCs/>
          <w:i/>
          <w:iCs/>
          <w:lang w:val="en-US"/>
        </w:rPr>
        <w:t xml:space="preserve">Figure </w:t>
      </w:r>
      <w:r>
        <w:rPr>
          <w:b/>
          <w:bCs/>
          <w:i/>
          <w:iCs/>
          <w:lang w:val="en-US"/>
        </w:rPr>
        <w:t>3.</w:t>
      </w:r>
      <w:r w:rsidRPr="007C1E97">
        <w:rPr>
          <w:b/>
          <w:bCs/>
          <w:i/>
          <w:iCs/>
          <w:lang w:val="en-US"/>
        </w:rPr>
        <w:t xml:space="preserve"> Potential toxicity evaluations via colorimetric MTT assays.</w:t>
      </w:r>
      <w:r w:rsidRPr="00A5392C">
        <w:rPr>
          <w:i/>
          <w:iCs/>
          <w:lang w:val="en-US"/>
        </w:rPr>
        <w:t xml:space="preserve"> Bar charts illustrate absolute absorbance measurements at 570 nm mapping CTRL, FAD, and SAD cohorts, evaluating environments with SHED (grey) versus NO_SHED (white) backdrops. Metabolic activity measurements re</w:t>
      </w:r>
      <w:r>
        <w:rPr>
          <w:i/>
          <w:iCs/>
          <w:lang w:val="en-US"/>
        </w:rPr>
        <w:t>main</w:t>
      </w:r>
      <w:r w:rsidRPr="00A5392C">
        <w:rPr>
          <w:i/>
          <w:iCs/>
          <w:lang w:val="en-US"/>
        </w:rPr>
        <w:t xml:space="preserve"> stabl</w:t>
      </w:r>
      <w:r>
        <w:rPr>
          <w:i/>
          <w:iCs/>
          <w:lang w:val="en-US"/>
        </w:rPr>
        <w:t>e</w:t>
      </w:r>
      <w:r w:rsidRPr="00A5392C">
        <w:rPr>
          <w:i/>
          <w:iCs/>
          <w:lang w:val="en-US"/>
        </w:rPr>
        <w:t xml:space="preserve"> within </w:t>
      </w:r>
      <w:r>
        <w:rPr>
          <w:i/>
          <w:iCs/>
          <w:lang w:val="en-US"/>
        </w:rPr>
        <w:t xml:space="preserve">the </w:t>
      </w:r>
      <w:r w:rsidRPr="00A5392C">
        <w:rPr>
          <w:i/>
          <w:iCs/>
          <w:lang w:val="en-US"/>
        </w:rPr>
        <w:t>standard 1.0 to 1.7 thresholds across groups.</w:t>
      </w:r>
    </w:p>
    <w:sectPr w:rsidR="00BB3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AA6"/>
    <w:rsid w:val="000F15FA"/>
    <w:rsid w:val="00350C29"/>
    <w:rsid w:val="003C0AA6"/>
    <w:rsid w:val="003F7098"/>
    <w:rsid w:val="00977FE4"/>
    <w:rsid w:val="009A65C4"/>
    <w:rsid w:val="00AD401C"/>
    <w:rsid w:val="00B84F40"/>
    <w:rsid w:val="00BB3C5A"/>
    <w:rsid w:val="00D25715"/>
    <w:rsid w:val="00D9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F3C20"/>
  <w15:chartTrackingRefBased/>
  <w15:docId w15:val="{608A98E8-58CF-F940-8FB9-4872907A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0AA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0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A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A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A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AA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AA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AA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AA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0A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0A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0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0A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0A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0A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0A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0A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0A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A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C0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AA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C0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AA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C0A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0AA6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C0A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0A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A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</Words>
  <Characters>1182</Characters>
  <Application>Microsoft Office Word</Application>
  <DocSecurity>0</DocSecurity>
  <Lines>30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Supplementary Materials</vt:lpstr>
    </vt:vector>
  </TitlesOfParts>
  <Manager/>
  <Company/>
  <LinksUpToDate>false</LinksUpToDate>
  <CharactersWithSpaces>1361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Michalina Wezyk</dc:creator>
  <cp:keywords/>
  <dc:description/>
  <cp:lastModifiedBy>Michalina Wezyk</cp:lastModifiedBy>
  <cp:revision>2</cp:revision>
  <dcterms:created xsi:type="dcterms:W3CDTF">2026-10-09T10:21:00Z</dcterms:created>
  <dcterms:modified xsi:type="dcterms:W3CDTF">2026-10-09T10:21:00Z</dcterms:modified>
  <cp:category/>
</cp:coreProperties>
</file>