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110DD" w14:textId="0C0A7893" w:rsidR="00391287" w:rsidRDefault="00CB4345" w:rsidP="00160041">
      <w:pPr>
        <w:spacing w:before="100" w:beforeAutospacing="1" w:after="100" w:afterAutospacing="1" w:line="480" w:lineRule="auto"/>
        <w:jc w:val="both"/>
        <w:outlineLvl w:val="2"/>
        <w:rPr>
          <w:rFonts w:ascii="Times New Roman" w:eastAsia="Times New Roman" w:hAnsi="Times New Roman" w:cs="Times New Roman"/>
          <w:b/>
          <w:bCs/>
          <w:kern w:val="0"/>
          <w:sz w:val="27"/>
          <w:szCs w:val="27"/>
          <w14:ligatures w14:val="none"/>
        </w:rPr>
      </w:pPr>
      <w:r w:rsidRPr="00CB4345">
        <w:rPr>
          <w:rFonts w:ascii="Times New Roman" w:eastAsia="Times New Roman" w:hAnsi="Times New Roman" w:cs="Times New Roman"/>
          <w:b/>
          <w:bCs/>
          <w:kern w:val="0"/>
          <w:sz w:val="27"/>
          <w:szCs w:val="27"/>
          <w14:ligatures w14:val="none"/>
        </w:rPr>
        <w:t>Supplementary Appendix S</w:t>
      </w:r>
      <w:r>
        <w:rPr>
          <w:rFonts w:ascii="Times New Roman" w:eastAsia="Times New Roman" w:hAnsi="Times New Roman" w:cs="Times New Roman"/>
          <w:b/>
          <w:bCs/>
          <w:kern w:val="0"/>
          <w:sz w:val="27"/>
          <w:szCs w:val="27"/>
          <w14:ligatures w14:val="none"/>
        </w:rPr>
        <w:t>1</w:t>
      </w:r>
      <w:r w:rsidR="00A21F6F">
        <w:rPr>
          <w:rFonts w:ascii="Times New Roman" w:eastAsia="Times New Roman" w:hAnsi="Times New Roman" w:cs="Times New Roman"/>
          <w:b/>
          <w:bCs/>
          <w:kern w:val="0"/>
          <w:sz w:val="27"/>
          <w:szCs w:val="27"/>
          <w14:ligatures w14:val="none"/>
        </w:rPr>
        <w:t>:</w:t>
      </w:r>
      <w:r w:rsidR="0013214C">
        <w:rPr>
          <w:rFonts w:ascii="Times New Roman" w:eastAsia="Times New Roman" w:hAnsi="Times New Roman" w:cs="Times New Roman"/>
          <w:b/>
          <w:bCs/>
          <w:kern w:val="0"/>
          <w:sz w:val="27"/>
          <w:szCs w:val="27"/>
          <w14:ligatures w14:val="none"/>
        </w:rPr>
        <w:t xml:space="preserve"> </w:t>
      </w:r>
      <w:r w:rsidR="0013214C" w:rsidRPr="0013214C">
        <w:rPr>
          <w:rFonts w:ascii="Times New Roman" w:eastAsia="Times New Roman" w:hAnsi="Times New Roman" w:cs="Times New Roman"/>
          <w:b/>
          <w:bCs/>
          <w:kern w:val="0"/>
          <w:sz w:val="27"/>
          <w:szCs w:val="27"/>
          <w14:ligatures w14:val="none"/>
        </w:rPr>
        <w:t>Search terms and strategies</w:t>
      </w:r>
    </w:p>
    <w:p w14:paraId="0195158B" w14:textId="7A6EBCD8" w:rsidR="00174320" w:rsidRDefault="00174320" w:rsidP="00174320">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084525">
        <w:rPr>
          <w:rFonts w:ascii="Times New Roman" w:eastAsia="Times New Roman" w:hAnsi="Times New Roman" w:cs="Times New Roman"/>
          <w:b/>
          <w:bCs/>
          <w:kern w:val="0"/>
          <w:sz w:val="27"/>
          <w:szCs w:val="27"/>
          <w14:ligatures w14:val="none"/>
        </w:rPr>
        <w:t>Protocol and registration</w:t>
      </w:r>
    </w:p>
    <w:p w14:paraId="50BC78D5" w14:textId="37B89678" w:rsidR="00964C4B" w:rsidRDefault="00964C4B" w:rsidP="00964C4B">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964C4B">
        <w:rPr>
          <w:rFonts w:ascii="Times New Roman" w:eastAsia="Times New Roman" w:hAnsi="Times New Roman" w:cs="Times New Roman"/>
          <w:kern w:val="0"/>
          <w:sz w:val="24"/>
          <w:szCs w:val="24"/>
          <w14:ligatures w14:val="none"/>
        </w:rPr>
        <w:t>A review protocol was registered on the Open Science Framework (OSF): Basualdo et al., 2025 (OSF: https://osf.io/34nmp; DOI: 10.17605/OSF.IO/34NMP). The protocol guided the review process, with methodological refinements made during subsequent search updates described below.</w:t>
      </w:r>
    </w:p>
    <w:p w14:paraId="5B749168" w14:textId="6F83C789" w:rsidR="00ED1E90" w:rsidRPr="00964C4B" w:rsidRDefault="00ED1E90" w:rsidP="00964C4B">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ED1E90">
        <w:rPr>
          <w:rFonts w:ascii="Times New Roman" w:eastAsia="Times New Roman" w:hAnsi="Times New Roman" w:cs="Times New Roman"/>
          <w:kern w:val="0"/>
          <w:sz w:val="24"/>
          <w:szCs w:val="24"/>
          <w14:ligatures w14:val="none"/>
        </w:rPr>
        <w:t>During conduct of the review, the search strategy was refined and updated to reflect the focused salivary 1,5-AG question. The publication window was expanded to include 2014 and extended through September 23, 2026, and the focused Stage 2 search incorporated PubMed, Google Scholar, and citation chasing. These refinements preserved the protocol’s original focus on salivary 1,5-AG for T2DM diagnosis or monitoring and its potential integration into biosensor technologies.</w:t>
      </w:r>
    </w:p>
    <w:p w14:paraId="66C84EDB" w14:textId="7857AD63" w:rsidR="00174320" w:rsidRPr="00084525" w:rsidRDefault="00174320" w:rsidP="00174320">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084525">
        <w:rPr>
          <w:rFonts w:ascii="Times New Roman" w:eastAsia="Times New Roman" w:hAnsi="Times New Roman" w:cs="Times New Roman"/>
          <w:b/>
          <w:bCs/>
          <w:kern w:val="0"/>
          <w:sz w:val="27"/>
          <w:szCs w:val="27"/>
          <w14:ligatures w14:val="none"/>
        </w:rPr>
        <w:t>Information sources and search details</w:t>
      </w:r>
    </w:p>
    <w:p w14:paraId="72BB6D1B" w14:textId="77777777" w:rsidR="00F4757B" w:rsidRDefault="00174320" w:rsidP="005E6E18">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084525">
        <w:rPr>
          <w:rFonts w:ascii="Times New Roman" w:eastAsia="Times New Roman" w:hAnsi="Times New Roman" w:cs="Times New Roman"/>
          <w:kern w:val="0"/>
          <w:sz w:val="24"/>
          <w:szCs w:val="24"/>
          <w14:ligatures w14:val="none"/>
        </w:rPr>
        <w:t>We used a two-stage search focusing on peer-reviewed English-language literature; grey literature and preprints were excluded.</w:t>
      </w:r>
    </w:p>
    <w:p w14:paraId="2CAA315E" w14:textId="472B94E5" w:rsidR="00CB4345" w:rsidRDefault="00174320" w:rsidP="005E6E18">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084525">
        <w:rPr>
          <w:rFonts w:ascii="Times New Roman" w:eastAsia="Times New Roman" w:hAnsi="Times New Roman" w:cs="Times New Roman"/>
          <w:kern w:val="0"/>
          <w:sz w:val="24"/>
          <w:szCs w:val="24"/>
          <w14:ligatures w14:val="none"/>
        </w:rPr>
        <w:br/>
      </w:r>
      <w:r w:rsidRPr="00084525">
        <w:rPr>
          <w:rFonts w:ascii="Times New Roman" w:eastAsia="Times New Roman" w:hAnsi="Times New Roman" w:cs="Times New Roman"/>
          <w:b/>
          <w:bCs/>
          <w:kern w:val="0"/>
          <w:sz w:val="24"/>
          <w:szCs w:val="24"/>
          <w14:ligatures w14:val="none"/>
        </w:rPr>
        <w:t>Stage 1 (biomarker nomination):</w:t>
      </w:r>
      <w:r w:rsidRPr="00084525">
        <w:rPr>
          <w:rFonts w:ascii="Times New Roman" w:eastAsia="Times New Roman" w:hAnsi="Times New Roman" w:cs="Times New Roman"/>
          <w:kern w:val="0"/>
          <w:sz w:val="24"/>
          <w:szCs w:val="24"/>
          <w14:ligatures w14:val="none"/>
        </w:rPr>
        <w:t xml:space="preserve"> </w:t>
      </w:r>
      <w:r w:rsidR="00882F17" w:rsidRPr="00882F17">
        <w:rPr>
          <w:rFonts w:ascii="Times New Roman" w:eastAsia="Times New Roman" w:hAnsi="Times New Roman" w:cs="Times New Roman"/>
          <w:kern w:val="0"/>
          <w:sz w:val="24"/>
          <w:szCs w:val="24"/>
          <w14:ligatures w14:val="none"/>
        </w:rPr>
        <w:t xml:space="preserve">An exploratory (non-structured) landscape search was conducted on November 26, 2024 (A.B.A.) in PubMed/MEDLINE, Embase, and the Cochrane Library, covering literature published from January 2020 through the search date. The aim was signal detection (biomarker nomination), not evidence quantification. Based on biological plausibility, </w:t>
      </w:r>
      <w:r w:rsidR="00882F17" w:rsidRPr="00882F17">
        <w:rPr>
          <w:rFonts w:ascii="Times New Roman" w:eastAsia="Times New Roman" w:hAnsi="Times New Roman" w:cs="Times New Roman"/>
          <w:kern w:val="0"/>
          <w:sz w:val="24"/>
          <w:szCs w:val="24"/>
          <w14:ligatures w14:val="none"/>
        </w:rPr>
        <w:lastRenderedPageBreak/>
        <w:t>feasibility in saliva, and apparent under-representation, 1,5-AG was selected for targeted evaluation in Stage 2.</w:t>
      </w:r>
    </w:p>
    <w:p w14:paraId="0ED9C1ED" w14:textId="26E7CAB3" w:rsidR="0099280C" w:rsidRDefault="00174320" w:rsidP="005E6E18">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EA62C9">
        <w:rPr>
          <w:rFonts w:ascii="Times New Roman" w:eastAsia="Times New Roman" w:hAnsi="Times New Roman" w:cs="Times New Roman"/>
          <w:b/>
          <w:bCs/>
          <w:kern w:val="0"/>
          <w:sz w:val="24"/>
          <w:szCs w:val="24"/>
          <w14:ligatures w14:val="none"/>
        </w:rPr>
        <w:br/>
      </w:r>
      <w:r w:rsidR="00157A64" w:rsidRPr="00EA62C9">
        <w:rPr>
          <w:rFonts w:ascii="Times New Roman" w:eastAsia="Times New Roman" w:hAnsi="Times New Roman" w:cs="Times New Roman"/>
          <w:b/>
          <w:bCs/>
          <w:kern w:val="0"/>
          <w:sz w:val="24"/>
          <w:szCs w:val="24"/>
          <w14:ligatures w14:val="none"/>
        </w:rPr>
        <w:t>Stage 2 (targeted 1,5-AG and translation search):</w:t>
      </w:r>
      <w:r w:rsidR="00157A64" w:rsidRPr="00157A64">
        <w:rPr>
          <w:rFonts w:ascii="Times New Roman" w:eastAsia="Times New Roman" w:hAnsi="Times New Roman" w:cs="Times New Roman"/>
          <w:kern w:val="0"/>
          <w:sz w:val="24"/>
          <w:szCs w:val="24"/>
          <w14:ligatures w14:val="none"/>
        </w:rPr>
        <w:t xml:space="preserve"> </w:t>
      </w:r>
      <w:r w:rsidR="00964C4B" w:rsidRPr="00964C4B">
        <w:rPr>
          <w:rFonts w:ascii="Times New Roman" w:eastAsia="Times New Roman" w:hAnsi="Times New Roman" w:cs="Times New Roman"/>
          <w:kern w:val="0"/>
          <w:sz w:val="24"/>
          <w:szCs w:val="24"/>
          <w14:ligatures w14:val="none"/>
        </w:rPr>
        <w:t>A structured targeted search was performed</w:t>
      </w:r>
      <w:r w:rsidR="00964C4B">
        <w:rPr>
          <w:rFonts w:ascii="Times New Roman" w:eastAsia="Times New Roman" w:hAnsi="Times New Roman" w:cs="Times New Roman"/>
          <w:kern w:val="0"/>
          <w:sz w:val="24"/>
          <w:szCs w:val="24"/>
          <w14:ligatures w14:val="none"/>
        </w:rPr>
        <w:t xml:space="preserve"> </w:t>
      </w:r>
      <w:r w:rsidR="0099280C" w:rsidRPr="0099280C">
        <w:rPr>
          <w:rFonts w:ascii="Times New Roman" w:eastAsia="Times New Roman" w:hAnsi="Times New Roman" w:cs="Times New Roman"/>
          <w:kern w:val="0"/>
          <w:sz w:val="24"/>
          <w:szCs w:val="24"/>
          <w14:ligatures w14:val="none"/>
        </w:rPr>
        <w:t>on February 12, 2025 by two reviewers (A.B.A. and S.E.), updated on October 10, 2025 and June 16, 2026, and last updated on September 23, 2026. Search was conducted in PubMed and Google Scholar for records published from January 1, 2014 to September 23, 2026, with citation chasing used to capture additional relevant studies.</w:t>
      </w:r>
    </w:p>
    <w:p w14:paraId="624E938C" w14:textId="4B7004BF" w:rsidR="00B72F3C" w:rsidRDefault="00CB4345" w:rsidP="00174320">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t>S</w:t>
      </w:r>
      <w:r w:rsidR="00174320" w:rsidRPr="00084525">
        <w:rPr>
          <w:rFonts w:ascii="Times New Roman" w:eastAsia="Times New Roman" w:hAnsi="Times New Roman" w:cs="Times New Roman"/>
          <w:b/>
          <w:bCs/>
          <w:kern w:val="0"/>
          <w:sz w:val="27"/>
          <w:szCs w:val="27"/>
          <w14:ligatures w14:val="none"/>
        </w:rPr>
        <w:t>earch term</w:t>
      </w:r>
      <w:r>
        <w:rPr>
          <w:rFonts w:ascii="Times New Roman" w:eastAsia="Times New Roman" w:hAnsi="Times New Roman" w:cs="Times New Roman"/>
          <w:b/>
          <w:bCs/>
          <w:kern w:val="0"/>
          <w:sz w:val="27"/>
          <w:szCs w:val="27"/>
          <w14:ligatures w14:val="none"/>
        </w:rPr>
        <w:t>s</w:t>
      </w:r>
    </w:p>
    <w:p w14:paraId="47E5C368" w14:textId="2650DE17" w:rsidR="00A6640F" w:rsidRPr="00F06A08" w:rsidRDefault="00611F6D" w:rsidP="00FB10BE">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611F6D">
        <w:rPr>
          <w:rFonts w:ascii="Times New Roman" w:eastAsia="Times New Roman" w:hAnsi="Times New Roman" w:cs="Times New Roman"/>
          <w:kern w:val="0"/>
          <w:sz w:val="24"/>
          <w:szCs w:val="24"/>
          <w14:ligatures w14:val="none"/>
        </w:rPr>
        <w:t>Database-specific search strings, date limits, filters, and result counts are provided below.</w:t>
      </w:r>
      <w:r w:rsidR="003F4D5D" w:rsidRPr="003F4D5D">
        <w:t xml:space="preserve"> </w:t>
      </w:r>
      <w:r w:rsidR="003F4D5D" w:rsidRPr="003F4D5D">
        <w:rPr>
          <w:rFonts w:ascii="Times New Roman" w:eastAsia="Times New Roman" w:hAnsi="Times New Roman" w:cs="Times New Roman"/>
          <w:kern w:val="0"/>
          <w:sz w:val="24"/>
          <w:szCs w:val="24"/>
          <w14:ligatures w14:val="none"/>
        </w:rPr>
        <w:t>Search concepts included 1,5-anhydroglucitol and related terminology; type 2 diabetes mellitus; saliva and salivary biomarkers; diagnosis and screening; and biosensor and wearable applications relevant to point-of-care translation. Individual searches combined these concepts according to the purpose of each query. Where applicable, exclusion terms were used to reduce retrieval of non-salivary matrices, other diabetes types, and non-human studies</w:t>
      </w:r>
    </w:p>
    <w:p w14:paraId="766732AA" w14:textId="4E84CB98" w:rsidR="00F25FD0" w:rsidRPr="00D70FA9" w:rsidRDefault="00F25FD0" w:rsidP="00203C56">
      <w:pPr>
        <w:keepNext/>
        <w:keepLines/>
        <w:spacing w:before="480" w:after="0" w:line="480" w:lineRule="auto"/>
        <w:jc w:val="center"/>
        <w:outlineLvl w:val="0"/>
        <w:rPr>
          <w:rFonts w:ascii="Times New Roman" w:eastAsia="MS Gothic" w:hAnsi="Times New Roman" w:cs="Times New Roman"/>
          <w:b/>
          <w:bCs/>
          <w:kern w:val="0"/>
          <w:sz w:val="28"/>
          <w:szCs w:val="28"/>
          <w14:ligatures w14:val="none"/>
        </w:rPr>
      </w:pPr>
      <w:r w:rsidRPr="00D70FA9">
        <w:rPr>
          <w:rFonts w:ascii="Times New Roman" w:eastAsia="MS Gothic" w:hAnsi="Times New Roman" w:cs="Times New Roman"/>
          <w:b/>
          <w:bCs/>
          <w:kern w:val="0"/>
          <w:sz w:val="28"/>
          <w:szCs w:val="28"/>
          <w14:ligatures w14:val="none"/>
        </w:rPr>
        <w:t xml:space="preserve">Search Log </w:t>
      </w:r>
      <w:r w:rsidR="00787838" w:rsidRPr="00D70FA9">
        <w:rPr>
          <w:rFonts w:ascii="Times New Roman" w:eastAsia="MS Gothic" w:hAnsi="Times New Roman" w:cs="Times New Roman"/>
          <w:b/>
          <w:bCs/>
          <w:kern w:val="0"/>
          <w:sz w:val="28"/>
          <w:szCs w:val="28"/>
          <w14:ligatures w14:val="none"/>
        </w:rPr>
        <w:t xml:space="preserve"> </w:t>
      </w:r>
      <w:r w:rsidRPr="00D70FA9">
        <w:rPr>
          <w:rFonts w:ascii="Times New Roman" w:eastAsia="MS Gothic" w:hAnsi="Times New Roman" w:cs="Times New Roman"/>
          <w:b/>
          <w:bCs/>
          <w:kern w:val="0"/>
          <w:sz w:val="28"/>
          <w:szCs w:val="28"/>
          <w14:ligatures w14:val="none"/>
        </w:rPr>
        <w:t>1,5-Anhydroglucitol (1,5-AG), Saliva, T2DM</w:t>
      </w:r>
    </w:p>
    <w:p w14:paraId="24BC73B7" w14:textId="12E1B09D" w:rsidR="00987C06" w:rsidRPr="00987C06" w:rsidRDefault="00987C06" w:rsidP="00987C06">
      <w:pPr>
        <w:spacing w:after="200" w:line="480" w:lineRule="auto"/>
        <w:jc w:val="both"/>
        <w:rPr>
          <w:rFonts w:ascii="Times New Roman" w:eastAsia="MS Mincho" w:hAnsi="Times New Roman" w:cs="Times New Roman"/>
          <w:kern w:val="0"/>
          <w:sz w:val="24"/>
          <w:szCs w:val="24"/>
          <w14:ligatures w14:val="none"/>
        </w:rPr>
      </w:pPr>
      <w:r w:rsidRPr="00987C06">
        <w:rPr>
          <w:rFonts w:ascii="Times New Roman" w:eastAsia="MS Mincho" w:hAnsi="Times New Roman" w:cs="Times New Roman"/>
          <w:kern w:val="0"/>
          <w:sz w:val="24"/>
          <w:szCs w:val="24"/>
          <w14:ligatures w14:val="none"/>
        </w:rPr>
        <w:t xml:space="preserve">Searches were conducted on February 12, 2025, updated on October 10, 2025 and June 16, 2026, and last updated on September 23, 2026. The search log below </w:t>
      </w:r>
      <w:r w:rsidRPr="00987C06">
        <w:rPr>
          <w:rFonts w:ascii="Times New Roman" w:eastAsia="MS Mincho" w:hAnsi="Times New Roman" w:cs="Times New Roman"/>
          <w:kern w:val="0"/>
          <w:sz w:val="24"/>
          <w:szCs w:val="24"/>
          <w14:ligatures w14:val="none"/>
        </w:rPr>
        <w:lastRenderedPageBreak/>
        <w:t>reports the search strings and result counts from the final update conducted on September 23, 2026.</w:t>
      </w:r>
    </w:p>
    <w:p w14:paraId="4BE65BF6" w14:textId="77777777" w:rsidR="00F25FD0" w:rsidRPr="00F25FD0" w:rsidRDefault="00F25FD0" w:rsidP="00F25FD0">
      <w:pPr>
        <w:spacing w:after="200" w:line="276" w:lineRule="auto"/>
        <w:rPr>
          <w:rFonts w:ascii="Cambria" w:eastAsia="MS Mincho" w:hAnsi="Cambria" w:cs="Times New Roman"/>
          <w:kern w:val="0"/>
          <w14:ligatures w14:val="none"/>
        </w:rPr>
      </w:pPr>
    </w:p>
    <w:tbl>
      <w:tblPr>
        <w:tblStyle w:val="Tablaconcuadrcula1clara"/>
        <w:tblW w:w="0" w:type="auto"/>
        <w:tblLook w:val="04A0" w:firstRow="1" w:lastRow="0" w:firstColumn="1" w:lastColumn="0" w:noHBand="0" w:noVBand="1"/>
      </w:tblPr>
      <w:tblGrid>
        <w:gridCol w:w="1136"/>
        <w:gridCol w:w="1243"/>
        <w:gridCol w:w="1245"/>
        <w:gridCol w:w="1914"/>
        <w:gridCol w:w="883"/>
        <w:gridCol w:w="963"/>
      </w:tblGrid>
      <w:tr w:rsidR="004A649D" w:rsidRPr="00D70FA9" w14:paraId="3575FDD4" w14:textId="77777777" w:rsidTr="004A6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dxa"/>
          </w:tcPr>
          <w:p w14:paraId="5F62C23C"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Platform</w:t>
            </w:r>
          </w:p>
        </w:tc>
        <w:tc>
          <w:tcPr>
            <w:tcW w:w="1195" w:type="dxa"/>
          </w:tcPr>
          <w:p w14:paraId="6AC257C7" w14:textId="77777777" w:rsidR="004A649D" w:rsidRPr="00D70FA9" w:rsidRDefault="004A649D" w:rsidP="00F25F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Search date</w:t>
            </w:r>
          </w:p>
        </w:tc>
        <w:tc>
          <w:tcPr>
            <w:tcW w:w="1245" w:type="dxa"/>
          </w:tcPr>
          <w:p w14:paraId="3CAE6148" w14:textId="77777777" w:rsidR="004A649D" w:rsidRPr="00D70FA9" w:rsidRDefault="004A649D" w:rsidP="00F25F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Query label</w:t>
            </w:r>
          </w:p>
        </w:tc>
        <w:tc>
          <w:tcPr>
            <w:tcW w:w="1834" w:type="dxa"/>
          </w:tcPr>
          <w:p w14:paraId="08D6E7E4" w14:textId="77777777" w:rsidR="004A649D" w:rsidRPr="00D70FA9" w:rsidRDefault="004A649D" w:rsidP="00F25F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Exact query</w:t>
            </w:r>
          </w:p>
        </w:tc>
        <w:tc>
          <w:tcPr>
            <w:tcW w:w="852" w:type="dxa"/>
          </w:tcPr>
          <w:p w14:paraId="378ADC69" w14:textId="77777777" w:rsidR="004A649D" w:rsidRPr="00D70FA9" w:rsidRDefault="004A649D" w:rsidP="00F25F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Date range / Filters</w:t>
            </w:r>
          </w:p>
        </w:tc>
        <w:tc>
          <w:tcPr>
            <w:tcW w:w="928" w:type="dxa"/>
          </w:tcPr>
          <w:p w14:paraId="65368607" w14:textId="77777777" w:rsidR="004A649D" w:rsidRPr="00D70FA9" w:rsidRDefault="004A649D" w:rsidP="00F25FD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Results found</w:t>
            </w:r>
          </w:p>
        </w:tc>
      </w:tr>
      <w:tr w:rsidR="004A649D" w:rsidRPr="00D70FA9" w14:paraId="058619D3"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0A97908D"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Google Scholar</w:t>
            </w:r>
          </w:p>
        </w:tc>
        <w:tc>
          <w:tcPr>
            <w:tcW w:w="1195" w:type="dxa"/>
          </w:tcPr>
          <w:p w14:paraId="73911F3A" w14:textId="0DA216BB"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A649D">
              <w:rPr>
                <w:rFonts w:ascii="Times New Roman" w:hAnsi="Times New Roman" w:cs="Times New Roman"/>
                <w:sz w:val="24"/>
                <w:szCs w:val="24"/>
              </w:rPr>
              <w:t>September 23, 2026</w:t>
            </w:r>
          </w:p>
        </w:tc>
        <w:tc>
          <w:tcPr>
            <w:tcW w:w="1245" w:type="dxa"/>
          </w:tcPr>
          <w:p w14:paraId="2167E224"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Query 1</w:t>
            </w:r>
          </w:p>
        </w:tc>
        <w:tc>
          <w:tcPr>
            <w:tcW w:w="1834" w:type="dxa"/>
          </w:tcPr>
          <w:p w14:paraId="295B527A"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("1,5-anhydroglucitol" OR "1,5-anhydro-D-glucitol") AND (saliva OR salivary OR "oral fluid") AND ("type 2 diabetes" OR T2DM OR "diabetes mellitus type 2") AND (diagnos* OR screen* OR "early detect*" OR "early diagnos*") AND (patient OR humans OR clinical OR cohort OR "cross-sectional" OR trial) -gestational -"type 1" -(mouse OR mice OR rat OR rats) -(serum OR plasma OR urine OR tear OR sweat OR "gingival crevicular fluid" OR GCF)</w:t>
            </w:r>
          </w:p>
        </w:tc>
        <w:tc>
          <w:tcPr>
            <w:tcW w:w="852" w:type="dxa"/>
          </w:tcPr>
          <w:p w14:paraId="2F77CC2B"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 xml:space="preserve">Since 2014 </w:t>
            </w:r>
          </w:p>
        </w:tc>
        <w:tc>
          <w:tcPr>
            <w:tcW w:w="928" w:type="dxa"/>
          </w:tcPr>
          <w:p w14:paraId="21E049CA" w14:textId="14D84EBA"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00C7">
              <w:rPr>
                <w:rFonts w:ascii="Times New Roman" w:hAnsi="Times New Roman" w:cs="Times New Roman"/>
                <w:sz w:val="24"/>
                <w:szCs w:val="24"/>
              </w:rPr>
              <w:t>56</w:t>
            </w:r>
          </w:p>
        </w:tc>
      </w:tr>
      <w:tr w:rsidR="004A649D" w:rsidRPr="00D70FA9" w14:paraId="68850DCD"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0499609D"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Google Scholar</w:t>
            </w:r>
          </w:p>
        </w:tc>
        <w:tc>
          <w:tcPr>
            <w:tcW w:w="1195" w:type="dxa"/>
          </w:tcPr>
          <w:p w14:paraId="0B1C19EA" w14:textId="6602D42E"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A649D">
              <w:rPr>
                <w:rFonts w:ascii="Times New Roman" w:hAnsi="Times New Roman" w:cs="Times New Roman"/>
                <w:sz w:val="24"/>
                <w:szCs w:val="24"/>
              </w:rPr>
              <w:t>September 23, 2026</w:t>
            </w:r>
          </w:p>
        </w:tc>
        <w:tc>
          <w:tcPr>
            <w:tcW w:w="1245" w:type="dxa"/>
          </w:tcPr>
          <w:p w14:paraId="501AE64C"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Query 2</w:t>
            </w:r>
          </w:p>
        </w:tc>
        <w:tc>
          <w:tcPr>
            <w:tcW w:w="1834" w:type="dxa"/>
          </w:tcPr>
          <w:p w14:paraId="3301C59B"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 xml:space="preserve">("1,5-anhydroglucitol") </w:t>
            </w:r>
            <w:r w:rsidRPr="00D70FA9">
              <w:rPr>
                <w:rFonts w:ascii="Times New Roman" w:hAnsi="Times New Roman" w:cs="Times New Roman"/>
                <w:sz w:val="24"/>
                <w:szCs w:val="24"/>
              </w:rPr>
              <w:lastRenderedPageBreak/>
              <w:t>AND (saliva) AND (wearable)</w:t>
            </w:r>
          </w:p>
        </w:tc>
        <w:tc>
          <w:tcPr>
            <w:tcW w:w="852" w:type="dxa"/>
          </w:tcPr>
          <w:p w14:paraId="66069689"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lastRenderedPageBreak/>
              <w:t>2014-2026</w:t>
            </w:r>
          </w:p>
        </w:tc>
        <w:tc>
          <w:tcPr>
            <w:tcW w:w="928" w:type="dxa"/>
          </w:tcPr>
          <w:p w14:paraId="25C9EDB2" w14:textId="363686CD"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C00C7">
              <w:rPr>
                <w:rFonts w:ascii="Times New Roman" w:hAnsi="Times New Roman" w:cs="Times New Roman"/>
                <w:sz w:val="24"/>
                <w:szCs w:val="24"/>
              </w:rPr>
              <w:t xml:space="preserve">59 </w:t>
            </w:r>
            <w:r w:rsidRPr="00D70FA9">
              <w:rPr>
                <w:rFonts w:ascii="Times New Roman" w:hAnsi="Times New Roman" w:cs="Times New Roman"/>
                <w:sz w:val="24"/>
                <w:szCs w:val="24"/>
              </w:rPr>
              <w:t xml:space="preserve">                </w:t>
            </w:r>
          </w:p>
        </w:tc>
      </w:tr>
      <w:tr w:rsidR="004A649D" w:rsidRPr="00D70FA9" w14:paraId="1B4821B7"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536F5FC4" w14:textId="352910A1"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Google Scholar</w:t>
            </w:r>
          </w:p>
        </w:tc>
        <w:tc>
          <w:tcPr>
            <w:tcW w:w="1195" w:type="dxa"/>
          </w:tcPr>
          <w:p w14:paraId="72B9CA6D" w14:textId="1B8F71C9"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5C97AAD6" w14:textId="19360B8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Query 3</w:t>
            </w:r>
          </w:p>
        </w:tc>
        <w:tc>
          <w:tcPr>
            <w:tcW w:w="1834" w:type="dxa"/>
          </w:tcPr>
          <w:p w14:paraId="4181BBAB" w14:textId="07235A52" w:rsidR="004A649D" w:rsidRPr="00D70FA9" w:rsidRDefault="00323374"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23374">
              <w:rPr>
                <w:rFonts w:ascii="Times New Roman" w:hAnsi="Times New Roman" w:cs="Times New Roman"/>
                <w:sz w:val="24"/>
                <w:szCs w:val="24"/>
              </w:rPr>
              <w:t>"</w:t>
            </w:r>
            <w:r w:rsidR="003D324F">
              <w:rPr>
                <w:rFonts w:ascii="Times New Roman" w:hAnsi="Times New Roman" w:cs="Times New Roman"/>
                <w:sz w:val="24"/>
                <w:szCs w:val="24"/>
              </w:rPr>
              <w:t>s</w:t>
            </w:r>
            <w:r w:rsidR="003D324F" w:rsidRPr="00323374">
              <w:rPr>
                <w:rFonts w:ascii="Times New Roman" w:hAnsi="Times New Roman" w:cs="Times New Roman"/>
                <w:sz w:val="24"/>
                <w:szCs w:val="24"/>
              </w:rPr>
              <w:t>alivary</w:t>
            </w:r>
            <w:r w:rsidRPr="00323374">
              <w:rPr>
                <w:rFonts w:ascii="Times New Roman" w:hAnsi="Times New Roman" w:cs="Times New Roman"/>
                <w:sz w:val="24"/>
                <w:szCs w:val="24"/>
              </w:rPr>
              <w:t xml:space="preserve"> 1,5-anhydroglucitol"</w:t>
            </w:r>
          </w:p>
        </w:tc>
        <w:tc>
          <w:tcPr>
            <w:tcW w:w="852" w:type="dxa"/>
          </w:tcPr>
          <w:p w14:paraId="2909667D" w14:textId="4DFE0BE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68AD9B4E" w14:textId="18558B8B" w:rsidR="004A649D" w:rsidRPr="00D70FA9" w:rsidRDefault="00323374"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r>
      <w:tr w:rsidR="004A649D" w:rsidRPr="00D70FA9" w14:paraId="108E2570"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3942365C" w14:textId="082E4D08"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Google Scholar</w:t>
            </w:r>
          </w:p>
        </w:tc>
        <w:tc>
          <w:tcPr>
            <w:tcW w:w="1195" w:type="dxa"/>
          </w:tcPr>
          <w:p w14:paraId="3C2C28D6" w14:textId="4BA4A301"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0527632D" w14:textId="611D48FF"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Query 4</w:t>
            </w:r>
          </w:p>
        </w:tc>
        <w:tc>
          <w:tcPr>
            <w:tcW w:w="1834" w:type="dxa"/>
          </w:tcPr>
          <w:p w14:paraId="5314691F" w14:textId="2AE3D437" w:rsidR="004A649D" w:rsidRPr="00D70FA9" w:rsidRDefault="00317B41"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41">
              <w:rPr>
                <w:rFonts w:ascii="Times New Roman" w:hAnsi="Times New Roman" w:cs="Times New Roman"/>
                <w:sz w:val="24"/>
                <w:szCs w:val="24"/>
              </w:rPr>
              <w:t>"1,5-anhydroglucitol biomarkers"</w:t>
            </w:r>
          </w:p>
        </w:tc>
        <w:tc>
          <w:tcPr>
            <w:tcW w:w="852" w:type="dxa"/>
          </w:tcPr>
          <w:p w14:paraId="5111B7CE" w14:textId="2470DA62"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2FC5491B" w14:textId="6A9AAEC5" w:rsidR="004A649D" w:rsidRPr="00D70FA9" w:rsidRDefault="00317B41"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r>
      <w:tr w:rsidR="004A649D" w:rsidRPr="00D70FA9" w14:paraId="49A8238D"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383EFFF9"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PubMed</w:t>
            </w:r>
          </w:p>
        </w:tc>
        <w:tc>
          <w:tcPr>
            <w:tcW w:w="1195" w:type="dxa"/>
          </w:tcPr>
          <w:p w14:paraId="63EEB578" w14:textId="7828E7E7"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57B49768" w14:textId="0AFA4215" w:rsidR="004A649D" w:rsidRPr="00D70FA9" w:rsidRDefault="006D0BBA"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Query 1</w:t>
            </w:r>
          </w:p>
        </w:tc>
        <w:tc>
          <w:tcPr>
            <w:tcW w:w="1834" w:type="dxa"/>
          </w:tcPr>
          <w:p w14:paraId="46215051"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"1,5-Anhydroglucitol" AND "diabetes mellitus type 2"</w:t>
            </w:r>
          </w:p>
        </w:tc>
        <w:tc>
          <w:tcPr>
            <w:tcW w:w="852" w:type="dxa"/>
          </w:tcPr>
          <w:p w14:paraId="0712FD9C" w14:textId="1C4143E6"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7E97F667" w14:textId="5E30CB85"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0A2B">
              <w:rPr>
                <w:rFonts w:ascii="Times New Roman" w:hAnsi="Times New Roman" w:cs="Times New Roman"/>
                <w:sz w:val="24"/>
                <w:szCs w:val="24"/>
              </w:rPr>
              <w:t>95</w:t>
            </w:r>
          </w:p>
        </w:tc>
      </w:tr>
      <w:tr w:rsidR="004A649D" w:rsidRPr="00D70FA9" w14:paraId="42143713"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5268AB18"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PubMed</w:t>
            </w:r>
          </w:p>
        </w:tc>
        <w:tc>
          <w:tcPr>
            <w:tcW w:w="1195" w:type="dxa"/>
          </w:tcPr>
          <w:p w14:paraId="14788D84" w14:textId="107BA435"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6FD9B39A" w14:textId="309DE339" w:rsidR="004A649D" w:rsidRPr="00D70FA9" w:rsidRDefault="006D0BBA"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Query </w:t>
            </w:r>
            <w:r w:rsidR="007942B7">
              <w:rPr>
                <w:rFonts w:ascii="Times New Roman" w:hAnsi="Times New Roman" w:cs="Times New Roman"/>
                <w:sz w:val="24"/>
                <w:szCs w:val="24"/>
              </w:rPr>
              <w:t>2</w:t>
            </w:r>
          </w:p>
        </w:tc>
        <w:tc>
          <w:tcPr>
            <w:tcW w:w="1834" w:type="dxa"/>
          </w:tcPr>
          <w:p w14:paraId="0DCC130F"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"diabetes type 2" AND " biosensors"</w:t>
            </w:r>
          </w:p>
        </w:tc>
        <w:tc>
          <w:tcPr>
            <w:tcW w:w="852" w:type="dxa"/>
          </w:tcPr>
          <w:p w14:paraId="6903E084" w14:textId="5A914D2D"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54C91F63"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w:t>
            </w:r>
          </w:p>
        </w:tc>
      </w:tr>
      <w:tr w:rsidR="004A649D" w:rsidRPr="00D70FA9" w14:paraId="0692AF04"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1C919CA9"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PubMed</w:t>
            </w:r>
          </w:p>
        </w:tc>
        <w:tc>
          <w:tcPr>
            <w:tcW w:w="1195" w:type="dxa"/>
          </w:tcPr>
          <w:p w14:paraId="7186EDFB" w14:textId="3F42FE3E"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6064A214" w14:textId="36A6CE8B" w:rsidR="004A649D" w:rsidRPr="00D70FA9" w:rsidRDefault="006D0BBA"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Query </w:t>
            </w:r>
            <w:r w:rsidR="007942B7">
              <w:rPr>
                <w:rFonts w:ascii="Times New Roman" w:hAnsi="Times New Roman" w:cs="Times New Roman"/>
                <w:sz w:val="24"/>
                <w:szCs w:val="24"/>
              </w:rPr>
              <w:t>3</w:t>
            </w:r>
          </w:p>
        </w:tc>
        <w:tc>
          <w:tcPr>
            <w:tcW w:w="1834" w:type="dxa"/>
          </w:tcPr>
          <w:p w14:paraId="0FAAC8B0"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"saliva biomarkers for diabetes" AND "biosensors"</w:t>
            </w:r>
          </w:p>
        </w:tc>
        <w:tc>
          <w:tcPr>
            <w:tcW w:w="852" w:type="dxa"/>
          </w:tcPr>
          <w:p w14:paraId="25E1BF3D" w14:textId="2E6BB33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60723C95" w14:textId="2551D8BE"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00A2B">
              <w:rPr>
                <w:rFonts w:ascii="Times New Roman" w:hAnsi="Times New Roman" w:cs="Times New Roman"/>
                <w:sz w:val="24"/>
                <w:szCs w:val="24"/>
              </w:rPr>
              <w:t>16</w:t>
            </w:r>
          </w:p>
        </w:tc>
      </w:tr>
      <w:tr w:rsidR="004A649D" w:rsidRPr="00D70FA9" w14:paraId="2A251ADA" w14:textId="77777777" w:rsidTr="004A649D">
        <w:tc>
          <w:tcPr>
            <w:cnfStyle w:val="001000000000" w:firstRow="0" w:lastRow="0" w:firstColumn="1" w:lastColumn="0" w:oddVBand="0" w:evenVBand="0" w:oddHBand="0" w:evenHBand="0" w:firstRowFirstColumn="0" w:firstRowLastColumn="0" w:lastRowFirstColumn="0" w:lastRowLastColumn="0"/>
            <w:tcW w:w="1093" w:type="dxa"/>
          </w:tcPr>
          <w:p w14:paraId="4450DE0E" w14:textId="77777777" w:rsidR="004A649D" w:rsidRPr="00D70FA9" w:rsidRDefault="004A649D" w:rsidP="00F25FD0">
            <w:pPr>
              <w:rPr>
                <w:rFonts w:ascii="Times New Roman" w:hAnsi="Times New Roman" w:cs="Times New Roman"/>
                <w:sz w:val="24"/>
                <w:szCs w:val="24"/>
              </w:rPr>
            </w:pPr>
            <w:r w:rsidRPr="00D70FA9">
              <w:rPr>
                <w:rFonts w:ascii="Times New Roman" w:hAnsi="Times New Roman" w:cs="Times New Roman"/>
                <w:sz w:val="24"/>
                <w:szCs w:val="24"/>
              </w:rPr>
              <w:t>PubMed</w:t>
            </w:r>
          </w:p>
        </w:tc>
        <w:tc>
          <w:tcPr>
            <w:tcW w:w="1195" w:type="dxa"/>
          </w:tcPr>
          <w:p w14:paraId="6D63A25D" w14:textId="4634A6CB" w:rsidR="004A649D" w:rsidRPr="00D70FA9" w:rsidRDefault="00DE40E6"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E40E6">
              <w:rPr>
                <w:rFonts w:ascii="Times New Roman" w:hAnsi="Times New Roman" w:cs="Times New Roman"/>
                <w:sz w:val="24"/>
                <w:szCs w:val="24"/>
              </w:rPr>
              <w:t>September 23, 2026</w:t>
            </w:r>
          </w:p>
        </w:tc>
        <w:tc>
          <w:tcPr>
            <w:tcW w:w="1245" w:type="dxa"/>
          </w:tcPr>
          <w:p w14:paraId="2258BD7A" w14:textId="35F2D787" w:rsidR="004A649D" w:rsidRPr="00D70FA9" w:rsidRDefault="006D0BBA"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Query </w:t>
            </w:r>
            <w:r w:rsidR="007942B7">
              <w:rPr>
                <w:rFonts w:ascii="Times New Roman" w:hAnsi="Times New Roman" w:cs="Times New Roman"/>
                <w:sz w:val="24"/>
                <w:szCs w:val="24"/>
              </w:rPr>
              <w:t>4</w:t>
            </w:r>
          </w:p>
        </w:tc>
        <w:tc>
          <w:tcPr>
            <w:tcW w:w="1834" w:type="dxa"/>
          </w:tcPr>
          <w:p w14:paraId="4169B62E"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"1,5-Anhydroglucitol" AND "biosensors"</w:t>
            </w:r>
          </w:p>
        </w:tc>
        <w:tc>
          <w:tcPr>
            <w:tcW w:w="852" w:type="dxa"/>
          </w:tcPr>
          <w:p w14:paraId="0F7ED9C8" w14:textId="13780CAD"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2014-2026</w:t>
            </w:r>
          </w:p>
        </w:tc>
        <w:tc>
          <w:tcPr>
            <w:tcW w:w="928" w:type="dxa"/>
          </w:tcPr>
          <w:p w14:paraId="107583AF" w14:textId="77777777" w:rsidR="004A649D" w:rsidRPr="00D70FA9" w:rsidRDefault="004A649D" w:rsidP="00F25FD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70FA9">
              <w:rPr>
                <w:rFonts w:ascii="Times New Roman" w:hAnsi="Times New Roman" w:cs="Times New Roman"/>
                <w:sz w:val="24"/>
                <w:szCs w:val="24"/>
              </w:rPr>
              <w:t>2</w:t>
            </w:r>
          </w:p>
        </w:tc>
      </w:tr>
    </w:tbl>
    <w:p w14:paraId="303056E9" w14:textId="77777777" w:rsidR="00F25FD0" w:rsidRPr="00FB10BE" w:rsidRDefault="00F25FD0" w:rsidP="00FB10BE">
      <w:pPr>
        <w:spacing w:before="100" w:beforeAutospacing="1" w:after="100" w:afterAutospacing="1" w:line="480" w:lineRule="auto"/>
        <w:jc w:val="both"/>
        <w:outlineLvl w:val="2"/>
        <w:rPr>
          <w:rFonts w:ascii="Times New Roman" w:eastAsia="Times New Roman" w:hAnsi="Times New Roman" w:cs="Times New Roman"/>
          <w:kern w:val="0"/>
          <w:sz w:val="27"/>
          <w:szCs w:val="27"/>
          <w14:ligatures w14:val="none"/>
        </w:rPr>
      </w:pPr>
    </w:p>
    <w:p w14:paraId="45E26A63" w14:textId="13434654" w:rsidR="00AB7DC3" w:rsidRPr="00AB7DC3" w:rsidRDefault="00174320" w:rsidP="00AB7DC3">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r w:rsidRPr="008D254C">
        <w:rPr>
          <w:rFonts w:ascii="Times New Roman" w:eastAsia="Times New Roman" w:hAnsi="Times New Roman" w:cs="Times New Roman"/>
          <w:b/>
          <w:bCs/>
          <w:kern w:val="0"/>
          <w:sz w:val="24"/>
          <w:szCs w:val="24"/>
          <w14:ligatures w14:val="none"/>
        </w:rPr>
        <w:t>Eligibility criteria</w:t>
      </w:r>
    </w:p>
    <w:p w14:paraId="2FE1DEFD" w14:textId="1738F768" w:rsidR="00AB7DC3" w:rsidRPr="00AB7DC3" w:rsidRDefault="00AB7DC3" w:rsidP="00AB7DC3">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AB7DC3">
        <w:rPr>
          <w:rFonts w:ascii="Times New Roman" w:eastAsia="Times New Roman" w:hAnsi="Times New Roman" w:cs="Times New Roman"/>
          <w:kern w:val="0"/>
          <w:sz w:val="24"/>
          <w:szCs w:val="24"/>
          <w14:ligatures w14:val="none"/>
        </w:rPr>
        <w:t xml:space="preserve">Peer-reviewed primary studies published in English from January 1, 2014 to September 23, 2026 were eligible if they met either of the following criteria: (1) </w:t>
      </w:r>
      <w:r w:rsidR="00C87BA6" w:rsidRPr="00C87BA6">
        <w:rPr>
          <w:rFonts w:ascii="Times New Roman" w:eastAsia="Times New Roman" w:hAnsi="Times New Roman" w:cs="Times New Roman"/>
          <w:kern w:val="0"/>
          <w:sz w:val="24"/>
          <w:szCs w:val="24"/>
          <w14:ligatures w14:val="none"/>
        </w:rPr>
        <w:t>clinical studies evaluating salivary 1,5-AG in adult populations for T2DM screening, case-finding, diagnostic discrimination, or clinically oriented glycemic monitoring</w:t>
      </w:r>
      <w:r w:rsidRPr="00AB7DC3">
        <w:rPr>
          <w:rFonts w:ascii="Times New Roman" w:eastAsia="Times New Roman" w:hAnsi="Times New Roman" w:cs="Times New Roman"/>
          <w:kern w:val="0"/>
          <w:sz w:val="24"/>
          <w:szCs w:val="24"/>
          <w14:ligatures w14:val="none"/>
        </w:rPr>
        <w:t>; or (2) original saliva-based biosensor, point-of-care testing, or wearable studies relevant to T2DM diagnosis, screening, or monitoring that reported performance data or primary feasibility outcomes.</w:t>
      </w:r>
    </w:p>
    <w:p w14:paraId="7EB31479" w14:textId="5FA32D8B" w:rsidR="00AB7DC3" w:rsidRPr="00AB7DC3" w:rsidRDefault="00AB7DC3" w:rsidP="00AB7DC3">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AB7DC3">
        <w:rPr>
          <w:rFonts w:ascii="Times New Roman" w:eastAsia="Times New Roman" w:hAnsi="Times New Roman" w:cs="Times New Roman"/>
          <w:kern w:val="0"/>
          <w:sz w:val="24"/>
          <w:szCs w:val="24"/>
          <w14:ligatures w14:val="none"/>
        </w:rPr>
        <w:t xml:space="preserve">Studies were excluded if they were secondary literature, including reviews or bibliometric analyses; conference abstracts; editorials, commentaries, or letters </w:t>
      </w:r>
      <w:r w:rsidRPr="00AB7DC3">
        <w:rPr>
          <w:rFonts w:ascii="Times New Roman" w:eastAsia="Times New Roman" w:hAnsi="Times New Roman" w:cs="Times New Roman"/>
          <w:kern w:val="0"/>
          <w:sz w:val="24"/>
          <w:szCs w:val="24"/>
          <w14:ligatures w14:val="none"/>
        </w:rPr>
        <w:lastRenderedPageBreak/>
        <w:t>without primary data; grey literature or preprints; focused exclusively on type 1 diabetes mellitus; included gestational-only cohorts without separately extractable T2DM data; or included mixed diabetes populations without extractable T2DM-specific results.</w:t>
      </w:r>
    </w:p>
    <w:p w14:paraId="372564F6" w14:textId="18242A0A" w:rsidR="00AB7DC3" w:rsidRPr="00AB7DC3" w:rsidRDefault="00AB7DC3" w:rsidP="00AB7DC3">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AB7DC3">
        <w:rPr>
          <w:rFonts w:ascii="Times New Roman" w:eastAsia="Times New Roman" w:hAnsi="Times New Roman" w:cs="Times New Roman"/>
          <w:kern w:val="0"/>
          <w:sz w:val="24"/>
          <w:szCs w:val="24"/>
          <w14:ligatures w14:val="none"/>
        </w:rPr>
        <w:t xml:space="preserve">For the direct clinical salivary 1,5-AG evidence stream, non-human studies were excluded. Studies focused primarily on mechanistic or physiological associations without clinically evaluable screening, diagnostic, case-finding, or monitoring outcomes were also excluded from the primary evidence synthesis. Analytical-method studies without clinically evaluable biomarker-performance outcomes were retained as contextual evidence but were not included in the primary clinical evidence table. </w:t>
      </w:r>
      <w:r w:rsidR="00C8335F" w:rsidRPr="00C8335F">
        <w:rPr>
          <w:rFonts w:ascii="Times New Roman" w:eastAsia="Times New Roman" w:hAnsi="Times New Roman" w:cs="Times New Roman"/>
          <w:kern w:val="0"/>
          <w:sz w:val="24"/>
          <w:szCs w:val="24"/>
          <w14:ligatures w14:val="none"/>
        </w:rPr>
        <w:t>Studies specifically involving populations with periodontitis or in which periodontitis was a defining study condition were excluded to reduce potential oral-inflammatory confounding of salivary biomarker measurements and to better isolate the T2DM-related salivary 1,5-AG signal.</w:t>
      </w:r>
    </w:p>
    <w:p w14:paraId="309F06B6" w14:textId="77777777" w:rsidR="00AB7DC3" w:rsidRPr="00AB7DC3" w:rsidRDefault="00AB7DC3" w:rsidP="00AB7DC3">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p>
    <w:p w14:paraId="65E5020F" w14:textId="5FD149AF" w:rsidR="00AB7DC3" w:rsidRPr="00AB7DC3" w:rsidRDefault="00AB7DC3" w:rsidP="00AB7DC3">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AB7DC3">
        <w:rPr>
          <w:rFonts w:ascii="Times New Roman" w:eastAsia="Times New Roman" w:hAnsi="Times New Roman" w:cs="Times New Roman"/>
          <w:kern w:val="0"/>
          <w:sz w:val="24"/>
          <w:szCs w:val="24"/>
          <w14:ligatures w14:val="none"/>
        </w:rPr>
        <w:t>For the biosensor/POCT/wearable stream, studies were excluded if they did not evaluate saliva or did not report original analytical, performance, or feasibility data.</w:t>
      </w:r>
    </w:p>
    <w:p w14:paraId="402D9D10" w14:textId="77777777" w:rsidR="00AB7DC3" w:rsidRDefault="00AB7DC3" w:rsidP="002963A6">
      <w:pPr>
        <w:spacing w:before="100" w:beforeAutospacing="1" w:after="100" w:afterAutospacing="1" w:line="240" w:lineRule="auto"/>
        <w:jc w:val="both"/>
        <w:outlineLvl w:val="2"/>
        <w:rPr>
          <w:rFonts w:ascii="Times New Roman" w:eastAsia="Times New Roman" w:hAnsi="Times New Roman" w:cs="Times New Roman"/>
          <w:b/>
          <w:bCs/>
          <w:kern w:val="0"/>
          <w:sz w:val="24"/>
          <w:szCs w:val="24"/>
          <w14:ligatures w14:val="none"/>
        </w:rPr>
      </w:pPr>
    </w:p>
    <w:p w14:paraId="6BB2FE09" w14:textId="77777777" w:rsidR="00C113CB" w:rsidRPr="008D254C" w:rsidRDefault="00C113CB" w:rsidP="00C113CB">
      <w:pPr>
        <w:spacing w:before="100" w:beforeAutospacing="1" w:after="100" w:afterAutospacing="1" w:line="480" w:lineRule="auto"/>
        <w:jc w:val="both"/>
        <w:outlineLvl w:val="2"/>
        <w:rPr>
          <w:rFonts w:ascii="Times New Roman" w:eastAsia="Times New Roman" w:hAnsi="Times New Roman" w:cs="Times New Roman"/>
          <w:b/>
          <w:bCs/>
          <w:kern w:val="0"/>
          <w:sz w:val="24"/>
          <w:szCs w:val="24"/>
          <w14:ligatures w14:val="none"/>
        </w:rPr>
      </w:pPr>
    </w:p>
    <w:p w14:paraId="4F48B07A" w14:textId="2F16067F" w:rsidR="00174320" w:rsidRDefault="00ED0D99" w:rsidP="00174320">
      <w:pPr>
        <w:spacing w:before="100" w:beforeAutospacing="1" w:after="100" w:afterAutospacing="1" w:line="240" w:lineRule="auto"/>
        <w:jc w:val="both"/>
        <w:outlineLvl w:val="2"/>
        <w:rPr>
          <w:rFonts w:ascii="Times New Roman" w:eastAsia="Times New Roman" w:hAnsi="Times New Roman" w:cs="Times New Roman"/>
          <w:b/>
          <w:bCs/>
          <w:kern w:val="0"/>
          <w:sz w:val="27"/>
          <w:szCs w:val="27"/>
          <w14:ligatures w14:val="none"/>
        </w:rPr>
      </w:pPr>
      <w:r w:rsidRPr="00084525">
        <w:rPr>
          <w:rFonts w:ascii="Times New Roman" w:eastAsia="Times New Roman" w:hAnsi="Times New Roman" w:cs="Times New Roman"/>
          <w:b/>
          <w:bCs/>
          <w:kern w:val="0"/>
          <w:sz w:val="27"/>
          <w:szCs w:val="27"/>
          <w14:ligatures w14:val="none"/>
        </w:rPr>
        <w:t>Study</w:t>
      </w:r>
      <w:r w:rsidR="00174320" w:rsidRPr="00084525">
        <w:rPr>
          <w:rFonts w:ascii="Times New Roman" w:eastAsia="Times New Roman" w:hAnsi="Times New Roman" w:cs="Times New Roman"/>
          <w:b/>
          <w:bCs/>
          <w:kern w:val="0"/>
          <w:sz w:val="27"/>
          <w:szCs w:val="27"/>
          <w14:ligatures w14:val="none"/>
        </w:rPr>
        <w:t xml:space="preserve"> selection and management</w:t>
      </w:r>
    </w:p>
    <w:p w14:paraId="2E4A272F" w14:textId="7589B3A1" w:rsidR="007837C2" w:rsidRDefault="007837C2" w:rsidP="007837C2">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6840D8">
        <w:rPr>
          <w:rFonts w:ascii="Times New Roman" w:eastAsia="Times New Roman" w:hAnsi="Times New Roman" w:cs="Times New Roman"/>
          <w:kern w:val="0"/>
          <w:sz w:val="24"/>
          <w:szCs w:val="24"/>
          <w14:ligatures w14:val="none"/>
        </w:rPr>
        <w:lastRenderedPageBreak/>
        <w:t>Records were exported to Zotero (version 6.0) for reference management and then imported into Rayyan, where duplicate records were identified and removed before screening. Screening was performed in Rayyan with blinding enabled.</w:t>
      </w:r>
    </w:p>
    <w:p w14:paraId="6C404A53" w14:textId="58EAEA35" w:rsidR="00DB0089" w:rsidRDefault="00DB0089" w:rsidP="007837C2">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DB0089">
        <w:rPr>
          <w:rFonts w:ascii="Times New Roman" w:eastAsia="Times New Roman" w:hAnsi="Times New Roman" w:cs="Times New Roman"/>
          <w:kern w:val="0"/>
          <w:sz w:val="24"/>
          <w:szCs w:val="24"/>
          <w14:ligatures w14:val="none"/>
        </w:rPr>
        <w:t>Two reviewers independently assessed records at the title/abstract and full-text stages against the eligibility criteria, and disagreements were resolved by discussion.</w:t>
      </w:r>
    </w:p>
    <w:p w14:paraId="2E89428D" w14:textId="2088BE4F" w:rsidR="00B44A3D" w:rsidRPr="006840D8" w:rsidRDefault="00B44A3D" w:rsidP="007837C2">
      <w:pPr>
        <w:spacing w:before="100" w:beforeAutospacing="1" w:after="100" w:afterAutospacing="1" w:line="480" w:lineRule="auto"/>
        <w:jc w:val="both"/>
        <w:outlineLvl w:val="2"/>
        <w:rPr>
          <w:rFonts w:ascii="Times New Roman" w:eastAsia="Times New Roman" w:hAnsi="Times New Roman" w:cs="Times New Roman"/>
          <w:kern w:val="0"/>
          <w:sz w:val="24"/>
          <w:szCs w:val="24"/>
          <w14:ligatures w14:val="none"/>
        </w:rPr>
      </w:pPr>
      <w:r w:rsidRPr="00B44A3D">
        <w:rPr>
          <w:rFonts w:ascii="Times New Roman" w:eastAsia="Times New Roman" w:hAnsi="Times New Roman" w:cs="Times New Roman"/>
          <w:kern w:val="0"/>
          <w:sz w:val="24"/>
          <w:szCs w:val="24"/>
          <w14:ligatures w14:val="none"/>
        </w:rPr>
        <w:t>For the purposes of the search flow, a record was defined as an individual search result retrieved from a database query before de-duplication; the reported database totals therefore include duplicate records retrieved across searches.</w:t>
      </w:r>
    </w:p>
    <w:p w14:paraId="4DB5A8F9" w14:textId="77777777" w:rsidR="00174320" w:rsidRPr="00C835CB" w:rsidRDefault="00174320" w:rsidP="00174320">
      <w:pPr>
        <w:spacing w:before="240" w:after="240" w:line="480" w:lineRule="auto"/>
        <w:jc w:val="both"/>
        <w:rPr>
          <w:rFonts w:ascii="Times New Roman" w:eastAsia="Times New Roman" w:hAnsi="Times New Roman" w:cs="Times New Roman"/>
          <w:noProof/>
          <w:kern w:val="0"/>
          <w:sz w:val="24"/>
          <w:szCs w:val="24"/>
          <w14:ligatures w14:val="none"/>
        </w:rPr>
      </w:pPr>
    </w:p>
    <w:p w14:paraId="4D20312C" w14:textId="77777777" w:rsidR="00174320" w:rsidRPr="00644203" w:rsidRDefault="00174320" w:rsidP="00174320">
      <w:pPr>
        <w:spacing w:line="480" w:lineRule="auto"/>
        <w:rPr>
          <w:noProof/>
          <w:sz w:val="24"/>
          <w:szCs w:val="24"/>
        </w:rPr>
      </w:pPr>
    </w:p>
    <w:p w14:paraId="542A905C" w14:textId="77777777" w:rsidR="00943A3A" w:rsidRDefault="00943A3A"/>
    <w:sectPr w:rsidR="00943A3A" w:rsidSect="00174320">
      <w:footerReference w:type="default" r:id="rId7"/>
      <w:pgSz w:w="12240" w:h="15840"/>
      <w:pgMar w:top="1440" w:right="216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AD279" w14:textId="77777777" w:rsidR="006B6F13" w:rsidRDefault="006B6F13">
      <w:pPr>
        <w:spacing w:after="0" w:line="240" w:lineRule="auto"/>
      </w:pPr>
      <w:r>
        <w:separator/>
      </w:r>
    </w:p>
  </w:endnote>
  <w:endnote w:type="continuationSeparator" w:id="0">
    <w:p w14:paraId="7FC370A4" w14:textId="77777777" w:rsidR="006B6F13" w:rsidRDefault="006B6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4138" w14:textId="0CBC58CA" w:rsidR="00174320" w:rsidRDefault="00174320">
    <w:pPr>
      <w:pStyle w:val="Piedepgina"/>
    </w:pPr>
  </w:p>
  <w:p w14:paraId="35D1F230" w14:textId="77777777" w:rsidR="00174320" w:rsidRDefault="001743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C6CF" w14:textId="77777777" w:rsidR="006B6F13" w:rsidRDefault="006B6F13">
      <w:pPr>
        <w:spacing w:after="0" w:line="240" w:lineRule="auto"/>
      </w:pPr>
      <w:r>
        <w:separator/>
      </w:r>
    </w:p>
  </w:footnote>
  <w:footnote w:type="continuationSeparator" w:id="0">
    <w:p w14:paraId="334246AF" w14:textId="77777777" w:rsidR="006B6F13" w:rsidRDefault="006B6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0E67F3"/>
    <w:multiLevelType w:val="multilevel"/>
    <w:tmpl w:val="4A003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6573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20"/>
    <w:rsid w:val="000F3451"/>
    <w:rsid w:val="0013214C"/>
    <w:rsid w:val="00135192"/>
    <w:rsid w:val="00157A64"/>
    <w:rsid w:val="00160041"/>
    <w:rsid w:val="00172F01"/>
    <w:rsid w:val="00174320"/>
    <w:rsid w:val="00182376"/>
    <w:rsid w:val="0019723D"/>
    <w:rsid w:val="001C00C7"/>
    <w:rsid w:val="001C3E21"/>
    <w:rsid w:val="00203C56"/>
    <w:rsid w:val="00256D29"/>
    <w:rsid w:val="002963A6"/>
    <w:rsid w:val="002C0C5B"/>
    <w:rsid w:val="00300A2B"/>
    <w:rsid w:val="00317B41"/>
    <w:rsid w:val="0032130D"/>
    <w:rsid w:val="00323374"/>
    <w:rsid w:val="00354E44"/>
    <w:rsid w:val="003631C9"/>
    <w:rsid w:val="00391287"/>
    <w:rsid w:val="003D324F"/>
    <w:rsid w:val="003F1938"/>
    <w:rsid w:val="003F4D5D"/>
    <w:rsid w:val="00447EC2"/>
    <w:rsid w:val="00493312"/>
    <w:rsid w:val="004A173F"/>
    <w:rsid w:val="004A649D"/>
    <w:rsid w:val="004D12C6"/>
    <w:rsid w:val="004F40D9"/>
    <w:rsid w:val="004F4B49"/>
    <w:rsid w:val="00530AB9"/>
    <w:rsid w:val="00535C83"/>
    <w:rsid w:val="0054642B"/>
    <w:rsid w:val="005537E1"/>
    <w:rsid w:val="005712F0"/>
    <w:rsid w:val="0058734A"/>
    <w:rsid w:val="005A27E3"/>
    <w:rsid w:val="005C2BE3"/>
    <w:rsid w:val="005D5F85"/>
    <w:rsid w:val="005E04A5"/>
    <w:rsid w:val="005E6E18"/>
    <w:rsid w:val="00611F6D"/>
    <w:rsid w:val="006151D9"/>
    <w:rsid w:val="006840D8"/>
    <w:rsid w:val="00692523"/>
    <w:rsid w:val="006B6F13"/>
    <w:rsid w:val="006B71E1"/>
    <w:rsid w:val="006D0BBA"/>
    <w:rsid w:val="006D1B94"/>
    <w:rsid w:val="006D2551"/>
    <w:rsid w:val="00710EAD"/>
    <w:rsid w:val="00735935"/>
    <w:rsid w:val="007837C2"/>
    <w:rsid w:val="00787838"/>
    <w:rsid w:val="007942B7"/>
    <w:rsid w:val="007D4A91"/>
    <w:rsid w:val="00820DE8"/>
    <w:rsid w:val="00844CC0"/>
    <w:rsid w:val="00856CDE"/>
    <w:rsid w:val="00882F17"/>
    <w:rsid w:val="008A37C9"/>
    <w:rsid w:val="008C4C04"/>
    <w:rsid w:val="008D254C"/>
    <w:rsid w:val="008E4F88"/>
    <w:rsid w:val="00943A3A"/>
    <w:rsid w:val="00964C4B"/>
    <w:rsid w:val="00987C06"/>
    <w:rsid w:val="0099280C"/>
    <w:rsid w:val="009B750B"/>
    <w:rsid w:val="009E3E08"/>
    <w:rsid w:val="009E406B"/>
    <w:rsid w:val="00A108FC"/>
    <w:rsid w:val="00A13DC3"/>
    <w:rsid w:val="00A15A56"/>
    <w:rsid w:val="00A21F6F"/>
    <w:rsid w:val="00A4578C"/>
    <w:rsid w:val="00A57CA1"/>
    <w:rsid w:val="00A6640F"/>
    <w:rsid w:val="00AB7DC3"/>
    <w:rsid w:val="00AC23D9"/>
    <w:rsid w:val="00B44A3D"/>
    <w:rsid w:val="00B72F3C"/>
    <w:rsid w:val="00B81CBD"/>
    <w:rsid w:val="00B93D2B"/>
    <w:rsid w:val="00BD36D7"/>
    <w:rsid w:val="00BF3D67"/>
    <w:rsid w:val="00C00680"/>
    <w:rsid w:val="00C113CB"/>
    <w:rsid w:val="00C579AA"/>
    <w:rsid w:val="00C7259D"/>
    <w:rsid w:val="00C8335F"/>
    <w:rsid w:val="00C87BA6"/>
    <w:rsid w:val="00CB4345"/>
    <w:rsid w:val="00CC6407"/>
    <w:rsid w:val="00D42B55"/>
    <w:rsid w:val="00D70FA9"/>
    <w:rsid w:val="00D94103"/>
    <w:rsid w:val="00DA1395"/>
    <w:rsid w:val="00DB0089"/>
    <w:rsid w:val="00DE40E6"/>
    <w:rsid w:val="00EA62C9"/>
    <w:rsid w:val="00EA76E9"/>
    <w:rsid w:val="00EB1FFC"/>
    <w:rsid w:val="00EB264B"/>
    <w:rsid w:val="00EC2B3A"/>
    <w:rsid w:val="00EC4631"/>
    <w:rsid w:val="00ED0D99"/>
    <w:rsid w:val="00ED1E90"/>
    <w:rsid w:val="00F06A08"/>
    <w:rsid w:val="00F25FD0"/>
    <w:rsid w:val="00F4757B"/>
    <w:rsid w:val="00F64A97"/>
    <w:rsid w:val="00F66617"/>
    <w:rsid w:val="00F72E02"/>
    <w:rsid w:val="00F8014B"/>
    <w:rsid w:val="00F910DF"/>
    <w:rsid w:val="00FB1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FD88"/>
  <w15:chartTrackingRefBased/>
  <w15:docId w15:val="{CB5375AB-8654-4A13-A1B6-C444C023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320"/>
  </w:style>
  <w:style w:type="paragraph" w:styleId="Ttulo1">
    <w:name w:val="heading 1"/>
    <w:basedOn w:val="Normal"/>
    <w:next w:val="Normal"/>
    <w:link w:val="Ttulo1Car"/>
    <w:uiPriority w:val="9"/>
    <w:qFormat/>
    <w:rsid w:val="00174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4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743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43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743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43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43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43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43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43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43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743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43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743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43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43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43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4320"/>
    <w:rPr>
      <w:rFonts w:eastAsiaTheme="majorEastAsia" w:cstheme="majorBidi"/>
      <w:color w:val="272727" w:themeColor="text1" w:themeTint="D8"/>
    </w:rPr>
  </w:style>
  <w:style w:type="paragraph" w:styleId="Ttulo">
    <w:name w:val="Title"/>
    <w:basedOn w:val="Normal"/>
    <w:next w:val="Normal"/>
    <w:link w:val="TtuloCar"/>
    <w:uiPriority w:val="10"/>
    <w:qFormat/>
    <w:rsid w:val="00174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43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43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43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4320"/>
    <w:pPr>
      <w:spacing w:before="160"/>
      <w:jc w:val="center"/>
    </w:pPr>
    <w:rPr>
      <w:i/>
      <w:iCs/>
      <w:color w:val="404040" w:themeColor="text1" w:themeTint="BF"/>
    </w:rPr>
  </w:style>
  <w:style w:type="character" w:customStyle="1" w:styleId="CitaCar">
    <w:name w:val="Cita Car"/>
    <w:basedOn w:val="Fuentedeprrafopredeter"/>
    <w:link w:val="Cita"/>
    <w:uiPriority w:val="29"/>
    <w:rsid w:val="00174320"/>
    <w:rPr>
      <w:i/>
      <w:iCs/>
      <w:color w:val="404040" w:themeColor="text1" w:themeTint="BF"/>
    </w:rPr>
  </w:style>
  <w:style w:type="paragraph" w:styleId="Prrafodelista">
    <w:name w:val="List Paragraph"/>
    <w:basedOn w:val="Normal"/>
    <w:uiPriority w:val="34"/>
    <w:qFormat/>
    <w:rsid w:val="00174320"/>
    <w:pPr>
      <w:ind w:left="720"/>
      <w:contextualSpacing/>
    </w:pPr>
  </w:style>
  <w:style w:type="character" w:styleId="nfasisintenso">
    <w:name w:val="Intense Emphasis"/>
    <w:basedOn w:val="Fuentedeprrafopredeter"/>
    <w:uiPriority w:val="21"/>
    <w:qFormat/>
    <w:rsid w:val="00174320"/>
    <w:rPr>
      <w:i/>
      <w:iCs/>
      <w:color w:val="0F4761" w:themeColor="accent1" w:themeShade="BF"/>
    </w:rPr>
  </w:style>
  <w:style w:type="paragraph" w:styleId="Citadestacada">
    <w:name w:val="Intense Quote"/>
    <w:basedOn w:val="Normal"/>
    <w:next w:val="Normal"/>
    <w:link w:val="CitadestacadaCar"/>
    <w:uiPriority w:val="30"/>
    <w:qFormat/>
    <w:rsid w:val="00174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4320"/>
    <w:rPr>
      <w:i/>
      <w:iCs/>
      <w:color w:val="0F4761" w:themeColor="accent1" w:themeShade="BF"/>
    </w:rPr>
  </w:style>
  <w:style w:type="character" w:styleId="Referenciaintensa">
    <w:name w:val="Intense Reference"/>
    <w:basedOn w:val="Fuentedeprrafopredeter"/>
    <w:uiPriority w:val="32"/>
    <w:qFormat/>
    <w:rsid w:val="00174320"/>
    <w:rPr>
      <w:b/>
      <w:bCs/>
      <w:smallCaps/>
      <w:color w:val="0F4761" w:themeColor="accent1" w:themeShade="BF"/>
      <w:spacing w:val="5"/>
    </w:rPr>
  </w:style>
  <w:style w:type="paragraph" w:styleId="Piedepgina">
    <w:name w:val="footer"/>
    <w:basedOn w:val="Normal"/>
    <w:link w:val="PiedepginaCar"/>
    <w:uiPriority w:val="99"/>
    <w:unhideWhenUsed/>
    <w:rsid w:val="00174320"/>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74320"/>
  </w:style>
  <w:style w:type="table" w:customStyle="1" w:styleId="Listaclara-nfasis11">
    <w:name w:val="Lista clara - Énfasis 11"/>
    <w:basedOn w:val="Tablanormal"/>
    <w:next w:val="Listaclara-nfasis1"/>
    <w:uiPriority w:val="61"/>
    <w:rsid w:val="00F25FD0"/>
    <w:pPr>
      <w:spacing w:after="0" w:line="240" w:lineRule="auto"/>
    </w:pPr>
    <w:rPr>
      <w:rFonts w:eastAsia="MS Mincho"/>
      <w:kern w:val="0"/>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1">
    <w:name w:val="Light List Accent 1"/>
    <w:basedOn w:val="Tablanormal"/>
    <w:uiPriority w:val="61"/>
    <w:semiHidden/>
    <w:unhideWhenUsed/>
    <w:rsid w:val="00F25FD0"/>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paragraph" w:customStyle="1" w:styleId="isselectedend">
    <w:name w:val="isselectedend"/>
    <w:basedOn w:val="Normal"/>
    <w:rsid w:val="00C113CB"/>
    <w:pPr>
      <w:spacing w:before="100" w:beforeAutospacing="1" w:after="100" w:afterAutospacing="1" w:line="240" w:lineRule="auto"/>
    </w:pPr>
    <w:rPr>
      <w:rFonts w:ascii="Times New Roman" w:eastAsia="Times New Roman" w:hAnsi="Times New Roman" w:cs="Times New Roman"/>
      <w:kern w:val="0"/>
      <w:sz w:val="24"/>
      <w:szCs w:val="24"/>
      <w:lang w:val="es-CL" w:eastAsia="es-CL"/>
      <w14:ligatures w14:val="none"/>
    </w:rPr>
  </w:style>
  <w:style w:type="paragraph" w:styleId="NormalWeb">
    <w:name w:val="Normal (Web)"/>
    <w:basedOn w:val="Normal"/>
    <w:uiPriority w:val="99"/>
    <w:semiHidden/>
    <w:unhideWhenUsed/>
    <w:rsid w:val="00C113CB"/>
    <w:pPr>
      <w:spacing w:before="100" w:beforeAutospacing="1" w:after="100" w:afterAutospacing="1" w:line="240" w:lineRule="auto"/>
    </w:pPr>
    <w:rPr>
      <w:rFonts w:ascii="Times New Roman" w:eastAsia="Times New Roman" w:hAnsi="Times New Roman" w:cs="Times New Roman"/>
      <w:kern w:val="0"/>
      <w:sz w:val="24"/>
      <w:szCs w:val="24"/>
      <w:lang w:val="es-CL" w:eastAsia="es-CL"/>
      <w14:ligatures w14:val="none"/>
    </w:rPr>
  </w:style>
  <w:style w:type="table" w:styleId="Tablaconcuadrcula1clara">
    <w:name w:val="Grid Table 1 Light"/>
    <w:basedOn w:val="Tablanormal"/>
    <w:uiPriority w:val="46"/>
    <w:rsid w:val="00EC463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19723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972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1016</Words>
  <Characters>5572</Characters>
  <Application>Microsoft Office Word</Application>
  <DocSecurity>0</DocSecurity>
  <Lines>109</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Basualdo Allende</dc:creator>
  <cp:keywords/>
  <dc:description/>
  <cp:lastModifiedBy>Andrea Basualdo Allende</cp:lastModifiedBy>
  <cp:revision>10</cp:revision>
  <dcterms:created xsi:type="dcterms:W3CDTF">2026-09-26T23:50:00Z</dcterms:created>
  <dcterms:modified xsi:type="dcterms:W3CDTF">2026-09-27T00:17:00Z</dcterms:modified>
</cp:coreProperties>
</file>