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F54F5" w14:textId="0468BFC7" w:rsidR="00ED1743" w:rsidRPr="000E5075" w:rsidRDefault="000F1987" w:rsidP="00F724CF">
      <w:pPr>
        <w:spacing w:after="120" w:line="259" w:lineRule="auto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  <w:b/>
          <w:bCs/>
        </w:rPr>
        <w:t>Appendix 2.</w:t>
      </w:r>
      <w:r w:rsidRPr="00F724CF">
        <w:rPr>
          <w:rFonts w:ascii="Times New Roman" w:hAnsi="Times New Roman" w:cs="Times New Roman"/>
        </w:rPr>
        <w:t xml:space="preserve"> </w:t>
      </w:r>
    </w:p>
    <w:p w14:paraId="39CBFB68" w14:textId="2B9B7334" w:rsidR="009C4D14" w:rsidRPr="000E5075" w:rsidRDefault="009C4D14" w:rsidP="00F724CF">
      <w:pPr>
        <w:spacing w:after="120" w:line="259" w:lineRule="auto"/>
        <w:rPr>
          <w:rFonts w:ascii="Times New Roman" w:hAnsi="Times New Roman" w:cs="Times New Roman"/>
          <w:b/>
          <w:bCs/>
        </w:rPr>
      </w:pPr>
      <w:r w:rsidRPr="000E5075">
        <w:rPr>
          <w:rFonts w:ascii="Times New Roman" w:hAnsi="Times New Roman" w:cs="Times New Roman"/>
          <w:b/>
          <w:bCs/>
        </w:rPr>
        <w:t>Item-Retention Decision Table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9"/>
        <w:gridCol w:w="1599"/>
        <w:gridCol w:w="1964"/>
        <w:gridCol w:w="2085"/>
        <w:gridCol w:w="1963"/>
      </w:tblGrid>
      <w:tr w:rsidR="009C4D14" w:rsidRPr="00F724CF" w14:paraId="6086FFD7" w14:textId="77777777" w:rsidTr="00ED1743"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6178A5A9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Attribute / metric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6C783F46" w14:textId="54B1BD24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Ideal threshold</w:t>
            </w:r>
          </w:p>
        </w:tc>
        <w:tc>
          <w:tcPr>
            <w:tcW w:w="59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205C6F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Action</w:t>
            </w:r>
          </w:p>
        </w:tc>
      </w:tr>
      <w:tr w:rsidR="009C4D14" w:rsidRPr="00F724CF" w14:paraId="39111C3C" w14:textId="77777777" w:rsidTr="00ED1743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3611BC10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1688D4C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9480" w14:textId="41B1DF00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Retain</w:t>
            </w: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A9796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Review / revise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65254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Discard</w:t>
            </w:r>
          </w:p>
        </w:tc>
      </w:tr>
      <w:tr w:rsidR="009C4D14" w:rsidRPr="00F724CF" w14:paraId="02C34548" w14:textId="77777777" w:rsidTr="00ED1743">
        <w:tc>
          <w:tcPr>
            <w:tcW w:w="901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4FAB8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Qualitative item development pre-testing retention</w:t>
            </w:r>
          </w:p>
        </w:tc>
      </w:tr>
      <w:tr w:rsidR="009C4D14" w:rsidRPr="00F724CF" w14:paraId="5C6952EB" w14:textId="77777777" w:rsidTr="00ED1743">
        <w:tc>
          <w:tcPr>
            <w:tcW w:w="1555" w:type="dxa"/>
            <w:tcBorders>
              <w:top w:val="single" w:sz="4" w:space="0" w:color="auto"/>
            </w:tcBorders>
          </w:tcPr>
          <w:p w14:paraId="184585D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comprehension/ clarity (qualitative)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E2D5DA8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No complains Consensus among reference group and participants as 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6D6ED5D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Understood by all reference group members and target group participants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500F6556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revised in English and Setswana translation updated if re-phrasing and explanation required frequently</w:t>
            </w: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79AF7D5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If any member of reference group or several pre-testing participants or misinterprets or hedges response based on item phrasing</w:t>
            </w:r>
          </w:p>
        </w:tc>
      </w:tr>
      <w:tr w:rsidR="009C4D14" w:rsidRPr="00F724CF" w14:paraId="41170241" w14:textId="77777777" w:rsidTr="00ED1743">
        <w:tc>
          <w:tcPr>
            <w:tcW w:w="1555" w:type="dxa"/>
          </w:tcPr>
          <w:p w14:paraId="4F9EDE35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tautology (qualitative)</w:t>
            </w:r>
          </w:p>
        </w:tc>
        <w:tc>
          <w:tcPr>
            <w:tcW w:w="1559" w:type="dxa"/>
          </w:tcPr>
          <w:p w14:paraId="1CBF731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Consensus among reference group that items uniquely cover targeted content</w:t>
            </w:r>
          </w:p>
        </w:tc>
        <w:tc>
          <w:tcPr>
            <w:tcW w:w="1967" w:type="dxa"/>
          </w:tcPr>
          <w:p w14:paraId="77B013E5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Consensus that item content coverage unique, or, if tautologous, better phrased or comprehendible compared to similar items.</w:t>
            </w:r>
          </w:p>
        </w:tc>
        <w:tc>
          <w:tcPr>
            <w:tcW w:w="1967" w:type="dxa"/>
          </w:tcPr>
          <w:p w14:paraId="38F83BC4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Consensus that tautologous items of similar comprehension and clarify</w:t>
            </w:r>
          </w:p>
        </w:tc>
        <w:tc>
          <w:tcPr>
            <w:tcW w:w="1968" w:type="dxa"/>
          </w:tcPr>
          <w:p w14:paraId="2619A68C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Deemed to duplicate content coverage of another item and phrased in a manner less clear or understandable in either English or Setswana</w:t>
            </w:r>
          </w:p>
        </w:tc>
      </w:tr>
      <w:tr w:rsidR="009C4D14" w:rsidRPr="00F724CF" w14:paraId="502CD8D8" w14:textId="77777777" w:rsidTr="00ED1743">
        <w:tc>
          <w:tcPr>
            <w:tcW w:w="1555" w:type="dxa"/>
            <w:tcBorders>
              <w:bottom w:val="single" w:sz="4" w:space="0" w:color="auto"/>
            </w:tcBorders>
          </w:tcPr>
          <w:p w14:paraId="2ABE56B3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Differential item comprehension or clarity by participant sub-group or language (qualitative)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310D7C2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Understood across all identified pilot participant sub-groups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1832194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In both English and Setswana, item observed to be similarly understood across all participant subgroups (urban vs. peri-urban).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5501610F" w14:textId="326AE8C9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For items observed to have comparable comprehension / clarity across participant subgroups (urban vs. peri-urban) but poorly understood in either English or version translated into Setswana </w:t>
            </w: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30F55E3B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In both English and Setswana, item observed to be less well understood among </w:t>
            </w:r>
            <w:proofErr w:type="gramStart"/>
            <w:r w:rsidRPr="00F724CF">
              <w:rPr>
                <w:rFonts w:ascii="Times New Roman" w:hAnsi="Times New Roman" w:cs="Times New Roman"/>
              </w:rPr>
              <w:t>particular participant</w:t>
            </w:r>
            <w:proofErr w:type="gramEnd"/>
            <w:r w:rsidRPr="00F724CF">
              <w:rPr>
                <w:rFonts w:ascii="Times New Roman" w:hAnsi="Times New Roman" w:cs="Times New Roman"/>
              </w:rPr>
              <w:t xml:space="preserve"> subgroups (urban vs. peri-urban). </w:t>
            </w:r>
          </w:p>
        </w:tc>
      </w:tr>
      <w:tr w:rsidR="009C4D14" w:rsidRPr="00F724CF" w14:paraId="6AF8F089" w14:textId="77777777" w:rsidTr="00ED1743">
        <w:tc>
          <w:tcPr>
            <w:tcW w:w="901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7C762" w14:textId="77777777" w:rsidR="009C4D14" w:rsidRPr="00F724CF" w:rsidRDefault="009C4D14" w:rsidP="00F724CF">
            <w:pPr>
              <w:spacing w:after="120" w:line="259" w:lineRule="auto"/>
              <w:jc w:val="center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Quantitative piloting retention</w:t>
            </w:r>
          </w:p>
        </w:tc>
      </w:tr>
      <w:tr w:rsidR="009C4D14" w:rsidRPr="00F724CF" w14:paraId="25A058BD" w14:textId="77777777" w:rsidTr="00ED1743">
        <w:tc>
          <w:tcPr>
            <w:tcW w:w="1555" w:type="dxa"/>
            <w:tcBorders>
              <w:top w:val="single" w:sz="4" w:space="0" w:color="auto"/>
            </w:tcBorders>
          </w:tcPr>
          <w:p w14:paraId="6B30B439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Inter-item correlation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67EE3AC" w14:textId="281C6F02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0.2 to 0.</w:t>
            </w:r>
            <w:r w:rsidR="00554F43" w:rsidRPr="00F724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0CF105CB" w14:textId="38D66FE3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No bivariate correlations </w:t>
            </w:r>
            <w:r w:rsidR="00554F43" w:rsidRPr="00F724CF">
              <w:rPr>
                <w:rFonts w:ascii="Times New Roman" w:hAnsi="Times New Roman" w:cs="Times New Roman"/>
              </w:rPr>
              <w:t>&gt;</w:t>
            </w:r>
            <w:r w:rsidRPr="00F724CF">
              <w:rPr>
                <w:rFonts w:ascii="Times New Roman" w:hAnsi="Times New Roman" w:cs="Times New Roman"/>
              </w:rPr>
              <w:t>0.</w:t>
            </w:r>
            <w:r w:rsidR="00554F43" w:rsidRPr="00F724CF">
              <w:rPr>
                <w:rFonts w:ascii="Times New Roman" w:hAnsi="Times New Roman" w:cs="Times New Roman"/>
              </w:rPr>
              <w:t>7</w:t>
            </w:r>
            <w:r w:rsidRPr="00F724CF">
              <w:rPr>
                <w:rFonts w:ascii="Times New Roman" w:hAnsi="Times New Roman" w:cs="Times New Roman"/>
              </w:rPr>
              <w:t xml:space="preserve"> and matrix </w:t>
            </w:r>
            <w:r w:rsidRPr="00F724CF">
              <w:rPr>
                <w:rFonts w:ascii="Times New Roman" w:hAnsi="Times New Roman" w:cs="Times New Roman"/>
              </w:rPr>
              <w:lastRenderedPageBreak/>
              <w:t>determinant ≥ 0.0001</w:t>
            </w:r>
          </w:p>
          <w:p w14:paraId="1577FB17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  <w:p w14:paraId="36E859A1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</w:tcPr>
          <w:p w14:paraId="0AC338C7" w14:textId="2DABD9D1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lastRenderedPageBreak/>
              <w:t xml:space="preserve">Assess for redundancy if matrix determinant </w:t>
            </w:r>
            <w:r w:rsidRPr="00F724CF">
              <w:rPr>
                <w:rFonts w:ascii="Times New Roman" w:hAnsi="Times New Roman" w:cs="Times New Roman"/>
              </w:rPr>
              <w:lastRenderedPageBreak/>
              <w:t>too small (&lt;0.0001), any bivariate correlations (0.</w:t>
            </w:r>
            <w:r w:rsidR="00554F43" w:rsidRPr="00F724CF">
              <w:rPr>
                <w:rFonts w:ascii="Times New Roman" w:hAnsi="Times New Roman" w:cs="Times New Roman"/>
              </w:rPr>
              <w:t>7</w:t>
            </w:r>
            <w:r w:rsidRPr="00F724CF">
              <w:rPr>
                <w:rFonts w:ascii="Times New Roman" w:hAnsi="Times New Roman" w:cs="Times New Roman"/>
              </w:rPr>
              <w:t xml:space="preserve">&lt;0.8) items are nearly identical in wording. </w:t>
            </w:r>
          </w:p>
        </w:tc>
        <w:tc>
          <w:tcPr>
            <w:tcW w:w="1968" w:type="dxa"/>
            <w:tcBorders>
              <w:top w:val="single" w:sz="4" w:space="0" w:color="auto"/>
            </w:tcBorders>
          </w:tcPr>
          <w:p w14:paraId="7E65E21C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lastRenderedPageBreak/>
              <w:t xml:space="preserve">Very strong bivariate correlation &gt;0.8 </w:t>
            </w:r>
            <w:r w:rsidRPr="00F724CF">
              <w:rPr>
                <w:rFonts w:ascii="Times New Roman" w:hAnsi="Times New Roman" w:cs="Times New Roman"/>
              </w:rPr>
              <w:lastRenderedPageBreak/>
              <w:t>and item statement structured less simply and/or identified culture-salient domain not elicited</w:t>
            </w:r>
          </w:p>
        </w:tc>
      </w:tr>
      <w:tr w:rsidR="009C4D14" w:rsidRPr="00F724CF" w14:paraId="18C8571C" w14:textId="77777777" w:rsidTr="00ED1743">
        <w:tc>
          <w:tcPr>
            <w:tcW w:w="1555" w:type="dxa"/>
          </w:tcPr>
          <w:p w14:paraId="13791B36" w14:textId="5FC4E36E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lastRenderedPageBreak/>
              <w:t xml:space="preserve">Factor loading (EFA on training </w:t>
            </w:r>
            <w:proofErr w:type="gramStart"/>
            <w:r w:rsidRPr="00F724CF">
              <w:rPr>
                <w:rFonts w:ascii="Times New Roman" w:hAnsi="Times New Roman" w:cs="Times New Roman"/>
              </w:rPr>
              <w:t>data)</w:t>
            </w:r>
            <w:r w:rsidR="00E70FD5" w:rsidRPr="00F724CF">
              <w:rPr>
                <w:rFonts w:ascii="Times New Roman" w:hAnsi="Times New Roman" w:cs="Times New Roman"/>
              </w:rPr>
              <w:t>*</w:t>
            </w:r>
            <w:proofErr w:type="gramEnd"/>
          </w:p>
        </w:tc>
        <w:tc>
          <w:tcPr>
            <w:tcW w:w="1559" w:type="dxa"/>
          </w:tcPr>
          <w:p w14:paraId="2815A436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≥0.40</w:t>
            </w:r>
          </w:p>
        </w:tc>
        <w:tc>
          <w:tcPr>
            <w:tcW w:w="1967" w:type="dxa"/>
          </w:tcPr>
          <w:p w14:paraId="61496AEE" w14:textId="30824088" w:rsidR="009C4D14" w:rsidRPr="00F724CF" w:rsidRDefault="00E70FD5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strongly loads (</w:t>
            </w:r>
            <w:r w:rsidR="000F1987" w:rsidRPr="00F724CF">
              <w:rPr>
                <w:rFonts w:ascii="Times New Roman" w:hAnsi="Times New Roman" w:cs="Times New Roman"/>
              </w:rPr>
              <w:t>≥0.40</w:t>
            </w:r>
            <w:r w:rsidRPr="00F724CF">
              <w:rPr>
                <w:rFonts w:ascii="Times New Roman" w:hAnsi="Times New Roman" w:cs="Times New Roman"/>
              </w:rPr>
              <w:t>)</w:t>
            </w:r>
            <w:r w:rsidR="009C4D14" w:rsidRPr="00F724CF">
              <w:rPr>
                <w:rFonts w:ascii="Times New Roman" w:hAnsi="Times New Roman" w:cs="Times New Roman"/>
              </w:rPr>
              <w:t xml:space="preserve"> on assigned primary factor</w:t>
            </w:r>
            <w:r w:rsidR="000F1987" w:rsidRPr="00F724CF">
              <w:rPr>
                <w:rFonts w:ascii="Times New Roman" w:hAnsi="Times New Roman" w:cs="Times New Roman"/>
              </w:rPr>
              <w:t>; or loading is</w:t>
            </w:r>
            <w:r w:rsidRPr="00F724CF">
              <w:rPr>
                <w:rFonts w:ascii="Times New Roman" w:hAnsi="Times New Roman" w:cs="Times New Roman"/>
              </w:rPr>
              <w:t xml:space="preserve"> adequate (</w:t>
            </w:r>
            <w:r w:rsidR="000F1987" w:rsidRPr="00F724CF">
              <w:rPr>
                <w:rFonts w:ascii="Times New Roman" w:hAnsi="Times New Roman" w:cs="Times New Roman"/>
              </w:rPr>
              <w:t>0.30 to 0.39</w:t>
            </w:r>
            <w:r w:rsidRPr="00F724CF">
              <w:rPr>
                <w:rFonts w:ascii="Times New Roman" w:hAnsi="Times New Roman" w:cs="Times New Roman"/>
              </w:rPr>
              <w:t>)</w:t>
            </w:r>
            <w:r w:rsidR="000F1987" w:rsidRPr="00F724CF">
              <w:rPr>
                <w:rFonts w:ascii="Times New Roman" w:hAnsi="Times New Roman" w:cs="Times New Roman"/>
              </w:rPr>
              <w:t xml:space="preserve"> and covers culture-salient domain content not covered by other retained items</w:t>
            </w:r>
            <w:r w:rsidR="009C4D14" w:rsidRPr="00F724CF">
              <w:rPr>
                <w:rFonts w:ascii="Times New Roman" w:hAnsi="Times New Roman" w:cs="Times New Roman"/>
              </w:rPr>
              <w:t xml:space="preserve"> </w:t>
            </w:r>
            <w:r w:rsidR="004030D7" w:rsidRPr="00F724CF">
              <w:rPr>
                <w:rFonts w:ascii="Times New Roman" w:hAnsi="Times New Roman" w:cs="Times New Roman"/>
              </w:rPr>
              <w:t>(theoretically vital)</w:t>
            </w:r>
          </w:p>
        </w:tc>
        <w:tc>
          <w:tcPr>
            <w:tcW w:w="1967" w:type="dxa"/>
          </w:tcPr>
          <w:p w14:paraId="589818F5" w14:textId="78C69C25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Consider removing </w:t>
            </w:r>
            <w:r w:rsidR="00E70FD5" w:rsidRPr="00F724CF">
              <w:rPr>
                <w:rFonts w:ascii="Times New Roman" w:hAnsi="Times New Roman" w:cs="Times New Roman"/>
              </w:rPr>
              <w:t xml:space="preserve">item loading |0.30 to 0.39| after </w:t>
            </w:r>
            <w:r w:rsidRPr="00F724CF">
              <w:rPr>
                <w:rFonts w:ascii="Times New Roman" w:hAnsi="Times New Roman" w:cs="Times New Roman"/>
              </w:rPr>
              <w:t xml:space="preserve">removing items loading </w:t>
            </w:r>
            <w:r w:rsidR="00E70FD5" w:rsidRPr="00F724CF">
              <w:rPr>
                <w:rFonts w:ascii="Times New Roman" w:hAnsi="Times New Roman" w:cs="Times New Roman"/>
              </w:rPr>
              <w:t>weaker</w:t>
            </w:r>
            <w:r w:rsidR="000F1987" w:rsidRPr="00F724CF">
              <w:rPr>
                <w:rFonts w:ascii="Times New Roman" w:hAnsi="Times New Roman" w:cs="Times New Roman"/>
              </w:rPr>
              <w:t xml:space="preserve">, </w:t>
            </w:r>
            <w:r w:rsidR="00E70FD5" w:rsidRPr="00F724CF">
              <w:rPr>
                <w:rFonts w:ascii="Times New Roman" w:hAnsi="Times New Roman" w:cs="Times New Roman"/>
              </w:rPr>
              <w:t>unless item covers content not covered by other retained items</w:t>
            </w:r>
            <w:r w:rsidR="000F1987" w:rsidRPr="00F724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68" w:type="dxa"/>
          </w:tcPr>
          <w:p w14:paraId="5E024971" w14:textId="64D7FE48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|0 &lt; 0.30|: insufficient alignment with theoretical model</w:t>
            </w:r>
            <w:r w:rsidR="000F1987" w:rsidRPr="00F724CF">
              <w:rPr>
                <w:rFonts w:ascii="Times New Roman" w:hAnsi="Times New Roman" w:cs="Times New Roman"/>
              </w:rPr>
              <w:t xml:space="preserve">; remove beginning with </w:t>
            </w:r>
            <w:r w:rsidR="00E70FD5" w:rsidRPr="00F724CF">
              <w:rPr>
                <w:rFonts w:ascii="Times New Roman" w:hAnsi="Times New Roman" w:cs="Times New Roman"/>
              </w:rPr>
              <w:t xml:space="preserve">the weakest </w:t>
            </w:r>
            <w:r w:rsidR="000F1987" w:rsidRPr="00F724CF">
              <w:rPr>
                <w:rFonts w:ascii="Times New Roman" w:hAnsi="Times New Roman" w:cs="Times New Roman"/>
              </w:rPr>
              <w:t xml:space="preserve">loadings </w:t>
            </w:r>
            <w:r w:rsidR="00E70FD5" w:rsidRPr="00F724CF">
              <w:rPr>
                <w:rFonts w:ascii="Times New Roman" w:hAnsi="Times New Roman" w:cs="Times New Roman"/>
              </w:rPr>
              <w:t>(</w:t>
            </w:r>
            <w:r w:rsidR="000F1987" w:rsidRPr="00F724CF">
              <w:rPr>
                <w:rFonts w:ascii="Times New Roman" w:hAnsi="Times New Roman" w:cs="Times New Roman"/>
              </w:rPr>
              <w:t>closest to 0</w:t>
            </w:r>
            <w:r w:rsidR="00E70FD5" w:rsidRPr="00F724CF">
              <w:rPr>
                <w:rFonts w:ascii="Times New Roman" w:hAnsi="Times New Roman" w:cs="Times New Roman"/>
              </w:rPr>
              <w:t>)</w:t>
            </w:r>
            <w:r w:rsidR="000F1987" w:rsidRPr="00F724C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C4D14" w:rsidRPr="00F724CF" w14:paraId="21183683" w14:textId="77777777" w:rsidTr="00ED1743">
        <w:tc>
          <w:tcPr>
            <w:tcW w:w="1555" w:type="dxa"/>
          </w:tcPr>
          <w:p w14:paraId="58C28597" w14:textId="0FDE9B50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uniqueness (1- communality</w:t>
            </w:r>
            <w:r w:rsidR="0076028F" w:rsidRPr="00F724CF">
              <w:rPr>
                <w:rFonts w:ascii="Times New Roman" w:hAnsi="Times New Roman" w:cs="Times New Roman"/>
              </w:rPr>
              <w:t>~</w:t>
            </w:r>
            <w:r w:rsidRPr="00F724CF">
              <w:rPr>
                <w:rFonts w:ascii="Times New Roman" w:hAnsi="Times New Roman" w:cs="Times New Roman"/>
              </w:rPr>
              <w:t>) (EFA on training data)</w:t>
            </w:r>
          </w:p>
        </w:tc>
        <w:tc>
          <w:tcPr>
            <w:tcW w:w="1559" w:type="dxa"/>
          </w:tcPr>
          <w:p w14:paraId="398BE971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&lt;0.60 </w:t>
            </w:r>
          </w:p>
        </w:tc>
        <w:tc>
          <w:tcPr>
            <w:tcW w:w="1967" w:type="dxa"/>
          </w:tcPr>
          <w:p w14:paraId="478769F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Low &lt;0.50</w:t>
            </w:r>
            <w:r w:rsidRPr="00F724C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67" w:type="dxa"/>
          </w:tcPr>
          <w:p w14:paraId="30FA1C3A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0.60 - 0.70</w:t>
            </w:r>
            <w:r w:rsidRPr="00F724C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68" w:type="dxa"/>
          </w:tcPr>
          <w:p w14:paraId="0619A694" w14:textId="1D1B69B6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&gt;0.70 (unless</w:t>
            </w:r>
            <w:r w:rsidR="000F1987" w:rsidRPr="00F724CF">
              <w:rPr>
                <w:rFonts w:ascii="Times New Roman" w:hAnsi="Times New Roman" w:cs="Times New Roman"/>
              </w:rPr>
              <w:t xml:space="preserve"> item covers culture-salient domain content not covered by other retained items</w:t>
            </w:r>
            <w:r w:rsidRPr="00F724CF">
              <w:rPr>
                <w:rFonts w:ascii="Times New Roman" w:hAnsi="Times New Roman" w:cs="Times New Roman"/>
              </w:rPr>
              <w:t xml:space="preserve"> </w:t>
            </w:r>
            <w:r w:rsidR="000F1987" w:rsidRPr="00F724CF">
              <w:rPr>
                <w:rFonts w:ascii="Times New Roman" w:hAnsi="Times New Roman" w:cs="Times New Roman"/>
              </w:rPr>
              <w:t>(</w:t>
            </w:r>
            <w:r w:rsidRPr="00F724CF">
              <w:rPr>
                <w:rFonts w:ascii="Times New Roman" w:hAnsi="Times New Roman" w:cs="Times New Roman"/>
              </w:rPr>
              <w:t>theoretically vital)</w:t>
            </w:r>
          </w:p>
        </w:tc>
      </w:tr>
      <w:tr w:rsidR="009C4D14" w:rsidRPr="00F724CF" w14:paraId="23A4D449" w14:textId="77777777" w:rsidTr="00ED1743">
        <w:tc>
          <w:tcPr>
            <w:tcW w:w="1555" w:type="dxa"/>
          </w:tcPr>
          <w:p w14:paraId="38F002A7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McDonald’s Omega (ω) if item removed</w:t>
            </w:r>
          </w:p>
        </w:tc>
        <w:tc>
          <w:tcPr>
            <w:tcW w:w="1559" w:type="dxa"/>
          </w:tcPr>
          <w:p w14:paraId="6AA289F2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Lower than overall ω</w:t>
            </w:r>
          </w:p>
        </w:tc>
        <w:tc>
          <w:tcPr>
            <w:tcW w:w="1967" w:type="dxa"/>
          </w:tcPr>
          <w:p w14:paraId="77BA3205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Removing item reduces overall scale reliability</w:t>
            </w:r>
          </w:p>
          <w:p w14:paraId="406B0AC5" w14:textId="77777777" w:rsidR="00B812D2" w:rsidRPr="00F724CF" w:rsidRDefault="00B812D2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  <w:p w14:paraId="7892FB7A" w14:textId="7FD0EEC9" w:rsidR="00B812D2" w:rsidRPr="00F724CF" w:rsidRDefault="00B812D2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39C66D1C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No change to overall ω. Keep if content coverage required </w:t>
            </w:r>
          </w:p>
        </w:tc>
        <w:tc>
          <w:tcPr>
            <w:tcW w:w="1968" w:type="dxa"/>
          </w:tcPr>
          <w:p w14:paraId="0C549355" w14:textId="69605830" w:rsidR="00B812D2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Overall ω increases significantly if item removed</w:t>
            </w:r>
            <w:r w:rsidR="004030D7" w:rsidRPr="00F724CF">
              <w:rPr>
                <w:rFonts w:ascii="Times New Roman" w:hAnsi="Times New Roman" w:cs="Times New Roman"/>
              </w:rPr>
              <w:t>; item that yields the largest increase in ω if removed, is discarded first</w:t>
            </w:r>
          </w:p>
        </w:tc>
      </w:tr>
      <w:tr w:rsidR="00B812D2" w:rsidRPr="00F724CF" w14:paraId="74FA0C83" w14:textId="77777777" w:rsidTr="00ED1743">
        <w:tc>
          <w:tcPr>
            <w:tcW w:w="1555" w:type="dxa"/>
          </w:tcPr>
          <w:p w14:paraId="48D9D2AB" w14:textId="57541712" w:rsidR="00B812D2" w:rsidRPr="00F724CF" w:rsidRDefault="00B812D2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McDonald’s Omega (ω) of </w:t>
            </w:r>
            <w:r w:rsidRPr="00F724CF">
              <w:rPr>
                <w:rFonts w:ascii="Times New Roman" w:hAnsi="Times New Roman" w:cs="Times New Roman"/>
              </w:rPr>
              <w:lastRenderedPageBreak/>
              <w:t>each factor’s final item set</w:t>
            </w:r>
          </w:p>
        </w:tc>
        <w:tc>
          <w:tcPr>
            <w:tcW w:w="1559" w:type="dxa"/>
          </w:tcPr>
          <w:p w14:paraId="6773D32B" w14:textId="5A10A7C6" w:rsidR="00B812D2" w:rsidRPr="00F724CF" w:rsidRDefault="00B812D2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lastRenderedPageBreak/>
              <w:t>ω≥0.80</w:t>
            </w:r>
          </w:p>
        </w:tc>
        <w:tc>
          <w:tcPr>
            <w:tcW w:w="1967" w:type="dxa"/>
          </w:tcPr>
          <w:p w14:paraId="61790BC9" w14:textId="0D658DA9" w:rsidR="00B812D2" w:rsidRPr="00F724CF" w:rsidRDefault="00B812D2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set ω≥0.7 (at least acceptable reliability)</w:t>
            </w:r>
          </w:p>
        </w:tc>
        <w:tc>
          <w:tcPr>
            <w:tcW w:w="1967" w:type="dxa"/>
          </w:tcPr>
          <w:p w14:paraId="7BC5FED3" w14:textId="334B9515" w:rsidR="00B812D2" w:rsidRPr="00F724CF" w:rsidRDefault="00CF23BF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68" w:type="dxa"/>
          </w:tcPr>
          <w:p w14:paraId="75CDD890" w14:textId="1DD25A52" w:rsidR="00B812D2" w:rsidRPr="00F724CF" w:rsidRDefault="00CF23BF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Item set ω&lt;0.7 (low reliability)</w:t>
            </w:r>
          </w:p>
        </w:tc>
      </w:tr>
      <w:tr w:rsidR="009C4D14" w:rsidRPr="00F724CF" w14:paraId="4B9668ED" w14:textId="77777777" w:rsidTr="00ED1743">
        <w:tc>
          <w:tcPr>
            <w:tcW w:w="1555" w:type="dxa"/>
            <w:tcBorders>
              <w:bottom w:val="single" w:sz="4" w:space="0" w:color="auto"/>
            </w:tcBorders>
          </w:tcPr>
          <w:p w14:paraId="0570B509" w14:textId="470A830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 xml:space="preserve">Model fit (CFA on test </w:t>
            </w:r>
            <w:proofErr w:type="gramStart"/>
            <w:r w:rsidRPr="00F724CF">
              <w:rPr>
                <w:rFonts w:ascii="Times New Roman" w:hAnsi="Times New Roman" w:cs="Times New Roman"/>
              </w:rPr>
              <w:t>data)</w:t>
            </w:r>
            <w:r w:rsidR="00085729" w:rsidRPr="00F724CF">
              <w:rPr>
                <w:rFonts w:ascii="Times New Roman" w:hAnsi="Times New Roman" w:cs="Times New Roman"/>
              </w:rPr>
              <w:t>*</w:t>
            </w:r>
            <w:proofErr w:type="gramEnd"/>
            <w:r w:rsidR="00085729" w:rsidRPr="00F724C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FDDDCC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RMSEA&lt;0.08</w:t>
            </w:r>
          </w:p>
          <w:p w14:paraId="0D6CB011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CFI&gt;0.90</w:t>
            </w:r>
          </w:p>
          <w:p w14:paraId="1DAB3ED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TLI&gt;0.90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4D977116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RMSEA&lt;0.08</w:t>
            </w:r>
          </w:p>
          <w:p w14:paraId="45DA39C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CFI&gt;0.90</w:t>
            </w:r>
          </w:p>
          <w:p w14:paraId="5FE83B06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TLI&gt;0.90</w:t>
            </w:r>
          </w:p>
        </w:tc>
        <w:tc>
          <w:tcPr>
            <w:tcW w:w="1967" w:type="dxa"/>
            <w:tcBorders>
              <w:bottom w:val="single" w:sz="4" w:space="0" w:color="auto"/>
            </w:tcBorders>
          </w:tcPr>
          <w:p w14:paraId="6B2D2EF1" w14:textId="1BD8A8FC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RMSEA</w:t>
            </w:r>
            <w:r w:rsidR="00085729" w:rsidRPr="00F724CF">
              <w:rPr>
                <w:rFonts w:ascii="Times New Roman" w:hAnsi="Times New Roman" w:cs="Times New Roman"/>
              </w:rPr>
              <w:t>:</w:t>
            </w:r>
            <w:r w:rsidRPr="00F724CF">
              <w:rPr>
                <w:rFonts w:ascii="Times New Roman" w:hAnsi="Times New Roman" w:cs="Times New Roman"/>
              </w:rPr>
              <w:t>0.08</w:t>
            </w:r>
            <w:r w:rsidR="00085729" w:rsidRPr="00F724CF">
              <w:rPr>
                <w:rFonts w:ascii="Times New Roman" w:hAnsi="Times New Roman" w:cs="Times New Roman"/>
              </w:rPr>
              <w:t>&lt;0.10</w:t>
            </w:r>
          </w:p>
          <w:p w14:paraId="3F6EC49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CFI≤0.90</w:t>
            </w:r>
          </w:p>
          <w:p w14:paraId="1779BEFD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TLI≤0.90</w:t>
            </w:r>
          </w:p>
          <w:p w14:paraId="34A09E5E" w14:textId="2F56696E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Re-consider</w:t>
            </w:r>
            <w:r w:rsidR="00085729" w:rsidRPr="00F724CF">
              <w:rPr>
                <w:rFonts w:ascii="Times New Roman" w:hAnsi="Times New Roman" w:cs="Times New Roman"/>
              </w:rPr>
              <w:t xml:space="preserve"> model of scale items</w:t>
            </w:r>
          </w:p>
        </w:tc>
        <w:tc>
          <w:tcPr>
            <w:tcW w:w="1968" w:type="dxa"/>
            <w:tcBorders>
              <w:bottom w:val="single" w:sz="4" w:space="0" w:color="auto"/>
            </w:tcBorders>
          </w:tcPr>
          <w:p w14:paraId="10E8474E" w14:textId="6D206B95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RMSEA≥0.</w:t>
            </w:r>
            <w:r w:rsidR="00085729" w:rsidRPr="00F724CF">
              <w:rPr>
                <w:rFonts w:ascii="Times New Roman" w:hAnsi="Times New Roman" w:cs="Times New Roman"/>
              </w:rPr>
              <w:t>10</w:t>
            </w:r>
          </w:p>
          <w:p w14:paraId="3A0435EE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CFI≤0.90</w:t>
            </w:r>
          </w:p>
          <w:p w14:paraId="4E95C6F3" w14:textId="77777777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TLI≤0.90</w:t>
            </w:r>
          </w:p>
          <w:p w14:paraId="62FE29CC" w14:textId="3A042B7D" w:rsidR="009C4D14" w:rsidRPr="00F724CF" w:rsidRDefault="009C4D14" w:rsidP="00F724CF">
            <w:pPr>
              <w:spacing w:after="120" w:line="259" w:lineRule="auto"/>
              <w:rPr>
                <w:rFonts w:ascii="Times New Roman" w:hAnsi="Times New Roman" w:cs="Times New Roman"/>
              </w:rPr>
            </w:pPr>
            <w:r w:rsidRPr="00F724CF">
              <w:rPr>
                <w:rFonts w:ascii="Times New Roman" w:hAnsi="Times New Roman" w:cs="Times New Roman"/>
              </w:rPr>
              <w:t>Re-conside</w:t>
            </w:r>
            <w:r w:rsidR="00085729" w:rsidRPr="00F724CF">
              <w:rPr>
                <w:rFonts w:ascii="Times New Roman" w:hAnsi="Times New Roman" w:cs="Times New Roman"/>
              </w:rPr>
              <w:t xml:space="preserve">r model of scale items </w:t>
            </w:r>
          </w:p>
        </w:tc>
      </w:tr>
    </w:tbl>
    <w:p w14:paraId="592CC94D" w14:textId="5A95A8ED" w:rsidR="00336A2B" w:rsidRPr="00F724CF" w:rsidRDefault="00E70FD5" w:rsidP="00F724CF">
      <w:pPr>
        <w:spacing w:after="120" w:line="259" w:lineRule="auto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</w:rPr>
        <w:t>* Factor loading coefficient indicated are absolute values (E.g., 0.30 to 0.39 includes positive and negative ranges (-0.30 to -0.39 and +0.30 to +0.39).</w:t>
      </w:r>
    </w:p>
    <w:p w14:paraId="755E3F87" w14:textId="37832FE8" w:rsidR="00085729" w:rsidRPr="00F724CF" w:rsidRDefault="00085729" w:rsidP="00F724CF">
      <w:pPr>
        <w:spacing w:after="120" w:line="259" w:lineRule="auto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</w:rPr>
        <w:t xml:space="preserve">**Thresholds of fit indices for Root Mean Square Error of Approximation (RMSEA); Comparative Fit Index (CFI); Tucker-Lewis Index (TLI) suggested by </w:t>
      </w:r>
      <w:r w:rsidRPr="00F724CF">
        <w:rPr>
          <w:rFonts w:ascii="Times New Roman" w:hAnsi="Times New Roman" w:cs="Times New Roman"/>
        </w:rPr>
        <w:fldChar w:fldCharType="begin"/>
      </w:r>
      <w:r w:rsidRPr="00F724CF">
        <w:rPr>
          <w:rFonts w:ascii="Times New Roman" w:hAnsi="Times New Roman" w:cs="Times New Roman"/>
        </w:rPr>
        <w:instrText xml:space="preserve"> ADDIN EN.CITE &lt;EndNote&gt;&lt;Cite AuthorYear="1"&gt;&lt;Author&gt;Browne&lt;/Author&gt;&lt;Year&gt;1992&lt;/Year&gt;&lt;RecNum&gt;1170&lt;/RecNum&gt;&lt;DisplayText&gt;Browne and Cudeck (1992)&lt;/DisplayText&gt;&lt;record&gt;&lt;rec-number&gt;1170&lt;/rec-number&gt;&lt;foreign-keys&gt;&lt;key app="EN" db-id="tf09apvec0et9nezsxmvs9tkzpdr9fzeez0t" timestamp="1757072561" guid="7051c64a-fab3-4c9d-a00d-0f90f3b49411"&gt;1170&lt;/key&gt;&lt;/foreign-keys&gt;&lt;ref-type name="Journal Article"&gt;17&lt;/ref-type&gt;&lt;contributors&gt;&lt;authors&gt;&lt;author&gt;Browne, Michael W,&lt;/author&gt;&lt;author&gt;Cudeck, Robert&lt;/author&gt;&lt;/authors&gt;&lt;/contributors&gt;&lt;titles&gt;&lt;title&gt;Alternative ways of assessing model fit&lt;/title&gt;&lt;secondary-title&gt;Sociological methods &amp;amp; research&lt;/secondary-title&gt;&lt;/titles&gt;&lt;periodical&gt;&lt;full-title&gt;Sociological methods &amp;amp; research&lt;/full-title&gt;&lt;/periodical&gt;&lt;pages&gt;230-258&lt;/pages&gt;&lt;volume&gt;21&lt;/volume&gt;&lt;number&gt;2&lt;/number&gt;&lt;dates&gt;&lt;year&gt;1992&lt;/year&gt;&lt;/dates&gt;&lt;isbn&gt;0049-1241&lt;/isbn&gt;&lt;urls&gt;&lt;/urls&gt;&lt;/record&gt;&lt;/Cite&gt;&lt;/EndNote&gt;</w:instrText>
      </w:r>
      <w:r w:rsidRPr="00F724CF">
        <w:rPr>
          <w:rFonts w:ascii="Times New Roman" w:hAnsi="Times New Roman" w:cs="Times New Roman"/>
        </w:rPr>
        <w:fldChar w:fldCharType="separate"/>
      </w:r>
      <w:r w:rsidRPr="00F724CF">
        <w:rPr>
          <w:rFonts w:ascii="Times New Roman" w:hAnsi="Times New Roman" w:cs="Times New Roman"/>
          <w:noProof/>
        </w:rPr>
        <w:t>Browne and Cudeck (1992)</w:t>
      </w:r>
      <w:r w:rsidRPr="00F724CF">
        <w:rPr>
          <w:rFonts w:ascii="Times New Roman" w:hAnsi="Times New Roman" w:cs="Times New Roman"/>
        </w:rPr>
        <w:fldChar w:fldCharType="end"/>
      </w:r>
      <w:r w:rsidRPr="00F724CF">
        <w:rPr>
          <w:rFonts w:ascii="Times New Roman" w:hAnsi="Times New Roman" w:cs="Times New Roman"/>
        </w:rPr>
        <w:t>.</w:t>
      </w:r>
    </w:p>
    <w:p w14:paraId="1407F96C" w14:textId="05CB8AC7" w:rsidR="0076028F" w:rsidRPr="00F724CF" w:rsidRDefault="0076028F" w:rsidP="00F724CF">
      <w:pPr>
        <w:spacing w:after="120" w:line="259" w:lineRule="auto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</w:rPr>
        <w:t>~Proportion of variation in the measured variable accounted for by the factor(s) retained.</w:t>
      </w:r>
    </w:p>
    <w:p w14:paraId="20B530EA" w14:textId="77777777" w:rsidR="00085729" w:rsidRPr="00F724CF" w:rsidRDefault="00085729" w:rsidP="00F724CF">
      <w:pPr>
        <w:spacing w:after="120" w:line="259" w:lineRule="auto"/>
        <w:rPr>
          <w:rFonts w:ascii="Times New Roman" w:hAnsi="Times New Roman" w:cs="Times New Roman"/>
        </w:rPr>
      </w:pPr>
    </w:p>
    <w:p w14:paraId="3B029349" w14:textId="77777777" w:rsidR="00085729" w:rsidRPr="00F724CF" w:rsidRDefault="00085729" w:rsidP="00F724CF">
      <w:pPr>
        <w:pStyle w:val="EndNoteBibliographyTitle"/>
        <w:spacing w:after="120" w:line="259" w:lineRule="auto"/>
        <w:rPr>
          <w:rFonts w:ascii="Times New Roman" w:hAnsi="Times New Roman" w:cs="Times New Roman"/>
          <w:b/>
        </w:rPr>
      </w:pPr>
      <w:r w:rsidRPr="00F724CF">
        <w:rPr>
          <w:rFonts w:ascii="Times New Roman" w:hAnsi="Times New Roman" w:cs="Times New Roman"/>
        </w:rPr>
        <w:fldChar w:fldCharType="begin"/>
      </w:r>
      <w:r w:rsidRPr="00F724CF">
        <w:rPr>
          <w:rFonts w:ascii="Times New Roman" w:hAnsi="Times New Roman" w:cs="Times New Roman"/>
        </w:rPr>
        <w:instrText xml:space="preserve"> ADDIN EN.REFLIST </w:instrText>
      </w:r>
      <w:r w:rsidRPr="00F724CF">
        <w:rPr>
          <w:rFonts w:ascii="Times New Roman" w:hAnsi="Times New Roman" w:cs="Times New Roman"/>
        </w:rPr>
        <w:fldChar w:fldCharType="separate"/>
      </w:r>
      <w:r w:rsidRPr="00F724CF">
        <w:rPr>
          <w:rFonts w:ascii="Times New Roman" w:hAnsi="Times New Roman" w:cs="Times New Roman"/>
          <w:b/>
        </w:rPr>
        <w:t>REFERENCES</w:t>
      </w:r>
    </w:p>
    <w:p w14:paraId="625EA992" w14:textId="77777777" w:rsidR="00085729" w:rsidRPr="00F724CF" w:rsidRDefault="00085729" w:rsidP="00F724CF">
      <w:pPr>
        <w:pStyle w:val="EndNoteBibliographyTitle"/>
        <w:spacing w:after="120" w:line="259" w:lineRule="auto"/>
        <w:rPr>
          <w:rFonts w:ascii="Times New Roman" w:hAnsi="Times New Roman" w:cs="Times New Roman"/>
          <w:b/>
        </w:rPr>
      </w:pPr>
    </w:p>
    <w:p w14:paraId="57A8C37A" w14:textId="77777777" w:rsidR="00085729" w:rsidRPr="00F724CF" w:rsidRDefault="00085729" w:rsidP="00F724CF">
      <w:pPr>
        <w:pStyle w:val="EndNoteBibliography"/>
        <w:spacing w:after="120" w:line="259" w:lineRule="auto"/>
        <w:ind w:left="720" w:hanging="720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</w:rPr>
        <w:t xml:space="preserve">Browne, M. W., &amp; Cudeck, R. (1992). Alternative ways of assessing model fit. </w:t>
      </w:r>
      <w:r w:rsidRPr="00F724CF">
        <w:rPr>
          <w:rFonts w:ascii="Times New Roman" w:hAnsi="Times New Roman" w:cs="Times New Roman"/>
          <w:i/>
        </w:rPr>
        <w:t>Sociological methods &amp; research</w:t>
      </w:r>
      <w:r w:rsidRPr="00F724CF">
        <w:rPr>
          <w:rFonts w:ascii="Times New Roman" w:hAnsi="Times New Roman" w:cs="Times New Roman"/>
        </w:rPr>
        <w:t>,</w:t>
      </w:r>
      <w:r w:rsidRPr="00F724CF">
        <w:rPr>
          <w:rFonts w:ascii="Times New Roman" w:hAnsi="Times New Roman" w:cs="Times New Roman"/>
          <w:i/>
        </w:rPr>
        <w:t xml:space="preserve"> 21</w:t>
      </w:r>
      <w:r w:rsidRPr="00F724CF">
        <w:rPr>
          <w:rFonts w:ascii="Times New Roman" w:hAnsi="Times New Roman" w:cs="Times New Roman"/>
        </w:rPr>
        <w:t xml:space="preserve">(2), 230–258. </w:t>
      </w:r>
    </w:p>
    <w:p w14:paraId="17BD2901" w14:textId="1E0F9A8D" w:rsidR="00085729" w:rsidRPr="00F724CF" w:rsidRDefault="00085729" w:rsidP="00F724CF">
      <w:pPr>
        <w:spacing w:after="120" w:line="259" w:lineRule="auto"/>
        <w:rPr>
          <w:rFonts w:ascii="Times New Roman" w:hAnsi="Times New Roman" w:cs="Times New Roman"/>
        </w:rPr>
      </w:pPr>
      <w:r w:rsidRPr="00F724CF">
        <w:rPr>
          <w:rFonts w:ascii="Times New Roman" w:hAnsi="Times New Roman" w:cs="Times New Roman"/>
        </w:rPr>
        <w:fldChar w:fldCharType="end"/>
      </w:r>
    </w:p>
    <w:sectPr w:rsidR="00085729" w:rsidRPr="00F724CF" w:rsidSect="00ED1743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&lt;/Style&gt;&lt;LeftDelim&gt;{&lt;/LeftDelim&gt;&lt;RightDelim&gt;}&lt;/RightDelim&gt;&lt;FontName&gt;Aptos&lt;/FontName&gt;&lt;FontSize&gt;12&lt;/FontSize&gt;&lt;ReflistTitle&gt;&lt;style face=&quot;bold&quot;&gt;REFERENCES&lt;/sty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f09apvec0et9nezsxmvs9tkzpdr9fzeez0t&quot;&gt;Ho-Foster EndNote Library 2024-07-Converted&lt;record-ids&gt;&lt;item&gt;1170&lt;/item&gt;&lt;/record-ids&gt;&lt;/item&gt;&lt;/Libraries&gt;"/>
  </w:docVars>
  <w:rsids>
    <w:rsidRoot w:val="00331E20"/>
    <w:rsid w:val="00003A7D"/>
    <w:rsid w:val="00053807"/>
    <w:rsid w:val="00085729"/>
    <w:rsid w:val="000E5075"/>
    <w:rsid w:val="000F1987"/>
    <w:rsid w:val="00135FB5"/>
    <w:rsid w:val="00165458"/>
    <w:rsid w:val="001C7284"/>
    <w:rsid w:val="002769D9"/>
    <w:rsid w:val="00331E20"/>
    <w:rsid w:val="00336A2B"/>
    <w:rsid w:val="004030D7"/>
    <w:rsid w:val="004313A0"/>
    <w:rsid w:val="004B5082"/>
    <w:rsid w:val="00554F43"/>
    <w:rsid w:val="005751A6"/>
    <w:rsid w:val="007404C7"/>
    <w:rsid w:val="0076028F"/>
    <w:rsid w:val="008D72A7"/>
    <w:rsid w:val="009068EB"/>
    <w:rsid w:val="009173A1"/>
    <w:rsid w:val="009C4D14"/>
    <w:rsid w:val="00A67667"/>
    <w:rsid w:val="00B6610D"/>
    <w:rsid w:val="00B812D2"/>
    <w:rsid w:val="00CF23BF"/>
    <w:rsid w:val="00E500E3"/>
    <w:rsid w:val="00E70FD5"/>
    <w:rsid w:val="00E80CDA"/>
    <w:rsid w:val="00ED1743"/>
    <w:rsid w:val="00EF4B90"/>
    <w:rsid w:val="00F724CF"/>
    <w:rsid w:val="00FC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970A8"/>
  <w15:chartTrackingRefBased/>
  <w15:docId w15:val="{FCD4DDF0-07F0-4BD9-AE89-45FE14F8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D14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E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E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E20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20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20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20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20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20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20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331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E20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E20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331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E20"/>
    <w:rPr>
      <w:i/>
      <w:iCs/>
      <w:color w:val="404040" w:themeColor="text1" w:themeTint="BF"/>
      <w:lang w:val="en-CA"/>
    </w:rPr>
  </w:style>
  <w:style w:type="paragraph" w:styleId="ListParagraph">
    <w:name w:val="List Paragraph"/>
    <w:basedOn w:val="Normal"/>
    <w:uiPriority w:val="34"/>
    <w:qFormat/>
    <w:rsid w:val="00331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20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331E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4D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4D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D14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D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D14"/>
    <w:rPr>
      <w:b/>
      <w:bCs/>
      <w:sz w:val="20"/>
      <w:szCs w:val="20"/>
      <w:lang w:val="en-CA"/>
    </w:rPr>
  </w:style>
  <w:style w:type="paragraph" w:customStyle="1" w:styleId="EndNoteBibliographyTitle">
    <w:name w:val="EndNote Bibliography Title"/>
    <w:basedOn w:val="Normal"/>
    <w:link w:val="EndNoteBibliographyTitleChar"/>
    <w:rsid w:val="00085729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5729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85729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85729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Ho-Foster</dc:creator>
  <cp:keywords/>
  <dc:description/>
  <cp:lastModifiedBy>Ari Ho-Foster</cp:lastModifiedBy>
  <cp:revision>10</cp:revision>
  <dcterms:created xsi:type="dcterms:W3CDTF">2026-08-29T20:49:00Z</dcterms:created>
  <dcterms:modified xsi:type="dcterms:W3CDTF">2026-09-28T15:21:00Z</dcterms:modified>
</cp:coreProperties>
</file>