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EFC5C" w14:textId="25CB1F30" w:rsidR="00DE39FF" w:rsidRPr="0000452B" w:rsidRDefault="00DE39FF" w:rsidP="00DE39FF">
      <w:pPr>
        <w:jc w:val="center"/>
        <w:rPr>
          <w:b/>
          <w:bCs/>
          <w:sz w:val="28"/>
          <w:szCs w:val="28"/>
        </w:rPr>
      </w:pPr>
      <w:bookmarkStart w:id="0" w:name="Tables"/>
      <w:bookmarkStart w:id="1" w:name="MaterialsMethods"/>
      <w:bookmarkEnd w:id="0"/>
      <w:bookmarkEnd w:id="1"/>
      <w:r w:rsidRPr="0000452B">
        <w:rPr>
          <w:b/>
          <w:bCs/>
          <w:sz w:val="28"/>
          <w:szCs w:val="28"/>
        </w:rPr>
        <w:t xml:space="preserve">Supplementary information </w:t>
      </w:r>
    </w:p>
    <w:p w14:paraId="47E6C7CD" w14:textId="77777777" w:rsidR="006315B5" w:rsidRPr="0000452B" w:rsidRDefault="006315B5" w:rsidP="00DE39FF">
      <w:pPr>
        <w:jc w:val="center"/>
        <w:rPr>
          <w:b/>
          <w:bCs/>
          <w:sz w:val="28"/>
          <w:szCs w:val="28"/>
        </w:rPr>
      </w:pPr>
    </w:p>
    <w:p w14:paraId="41C6FFF0" w14:textId="0A557CB9" w:rsidR="006315B5" w:rsidRPr="0000452B" w:rsidRDefault="006315B5" w:rsidP="00DE39FF">
      <w:pPr>
        <w:jc w:val="center"/>
        <w:rPr>
          <w:b/>
          <w:bCs/>
          <w:sz w:val="28"/>
          <w:szCs w:val="28"/>
        </w:rPr>
      </w:pPr>
      <w:r w:rsidRPr="0000452B">
        <w:rPr>
          <w:b/>
          <w:bCs/>
          <w:sz w:val="28"/>
          <w:szCs w:val="28"/>
        </w:rPr>
        <w:t>Nanoscale Architecture Unifies Electron and Dislocation Transport in Metals</w:t>
      </w:r>
    </w:p>
    <w:p w14:paraId="0354C67F" w14:textId="77777777" w:rsidR="00DE39FF" w:rsidRPr="0000452B" w:rsidRDefault="00DE39FF" w:rsidP="00DE39FF">
      <w:pPr>
        <w:jc w:val="center"/>
        <w:rPr>
          <w:b/>
          <w:bCs/>
          <w:sz w:val="28"/>
          <w:szCs w:val="28"/>
        </w:rPr>
      </w:pPr>
    </w:p>
    <w:p w14:paraId="664FAC62" w14:textId="77777777" w:rsidR="00DE39FF" w:rsidRPr="0000452B" w:rsidRDefault="00DE39FF" w:rsidP="00DE39FF">
      <w:pPr>
        <w:pStyle w:val="Head"/>
        <w:spacing w:before="0" w:after="160" w:line="278" w:lineRule="auto"/>
        <w:jc w:val="left"/>
        <w:rPr>
          <w:sz w:val="24"/>
          <w:szCs w:val="24"/>
        </w:rPr>
      </w:pPr>
      <w:r w:rsidRPr="0000452B">
        <w:rPr>
          <w:sz w:val="24"/>
          <w:szCs w:val="24"/>
        </w:rPr>
        <w:t>A.K. Giri</w:t>
      </w:r>
      <w:r w:rsidRPr="0000452B">
        <w:rPr>
          <w:sz w:val="24"/>
          <w:szCs w:val="24"/>
          <w:vertAlign w:val="superscript"/>
        </w:rPr>
        <w:t>1</w:t>
      </w:r>
      <w:r w:rsidRPr="0000452B">
        <w:rPr>
          <w:sz w:val="24"/>
          <w:szCs w:val="24"/>
        </w:rPr>
        <w:t>, M. Martinelli</w:t>
      </w:r>
      <w:r w:rsidRPr="0000452B">
        <w:rPr>
          <w:sz w:val="24"/>
          <w:szCs w:val="24"/>
          <w:vertAlign w:val="superscript"/>
        </w:rPr>
        <w:t>2</w:t>
      </w:r>
      <w:r w:rsidRPr="0000452B">
        <w:rPr>
          <w:sz w:val="24"/>
          <w:szCs w:val="24"/>
        </w:rPr>
        <w:t>, B.C. Hornbuckle</w:t>
      </w:r>
      <w:r w:rsidRPr="0000452B">
        <w:rPr>
          <w:sz w:val="24"/>
          <w:szCs w:val="24"/>
          <w:vertAlign w:val="superscript"/>
        </w:rPr>
        <w:t>1</w:t>
      </w:r>
      <w:r w:rsidRPr="0000452B">
        <w:rPr>
          <w:sz w:val="24"/>
          <w:szCs w:val="24"/>
        </w:rPr>
        <w:t>, A.J. Roberts</w:t>
      </w:r>
      <w:r w:rsidRPr="0000452B">
        <w:rPr>
          <w:sz w:val="24"/>
          <w:szCs w:val="24"/>
          <w:vertAlign w:val="superscript"/>
        </w:rPr>
        <w:t>1</w:t>
      </w:r>
      <w:r w:rsidRPr="0000452B">
        <w:rPr>
          <w:sz w:val="24"/>
          <w:szCs w:val="24"/>
        </w:rPr>
        <w:t>, M. Weisenberger</w:t>
      </w:r>
      <w:r w:rsidRPr="0000452B">
        <w:rPr>
          <w:sz w:val="24"/>
          <w:szCs w:val="24"/>
          <w:vertAlign w:val="superscript"/>
        </w:rPr>
        <w:t>2</w:t>
      </w:r>
      <w:r w:rsidRPr="0000452B">
        <w:rPr>
          <w:sz w:val="24"/>
          <w:szCs w:val="24"/>
        </w:rPr>
        <w:t>, and K.A. Darling</w:t>
      </w:r>
      <w:r w:rsidRPr="0000452B">
        <w:rPr>
          <w:sz w:val="24"/>
          <w:szCs w:val="24"/>
          <w:vertAlign w:val="superscript"/>
        </w:rPr>
        <w:t>1</w:t>
      </w:r>
      <w:r w:rsidRPr="0000452B">
        <w:rPr>
          <w:sz w:val="24"/>
          <w:szCs w:val="24"/>
        </w:rPr>
        <w:t>*</w:t>
      </w:r>
    </w:p>
    <w:p w14:paraId="199518ED" w14:textId="77777777" w:rsidR="00DE39FF" w:rsidRPr="0000452B" w:rsidRDefault="00DE39FF" w:rsidP="00DE39FF">
      <w:pPr>
        <w:pStyle w:val="Paragraph"/>
        <w:tabs>
          <w:tab w:val="left" w:pos="8130"/>
        </w:tabs>
        <w:spacing w:before="0" w:after="160" w:line="278" w:lineRule="auto"/>
        <w:ind w:firstLine="0"/>
        <w:rPr>
          <w:b/>
        </w:rPr>
      </w:pPr>
      <w:r w:rsidRPr="0000452B">
        <w:rPr>
          <w:b/>
        </w:rPr>
        <w:tab/>
      </w:r>
    </w:p>
    <w:p w14:paraId="07EA071B" w14:textId="77777777" w:rsidR="00DE39FF" w:rsidRPr="0000452B" w:rsidRDefault="00DE39FF" w:rsidP="00DE39FF">
      <w:pPr>
        <w:pStyle w:val="Paragraph"/>
        <w:spacing w:before="0" w:after="160" w:line="278" w:lineRule="auto"/>
        <w:ind w:left="360" w:firstLine="0"/>
      </w:pPr>
      <w:r w:rsidRPr="0000452B">
        <w:rPr>
          <w:vertAlign w:val="superscript"/>
        </w:rPr>
        <w:t>1</w:t>
      </w:r>
      <w:r w:rsidRPr="0000452B">
        <w:t>Army Research Directorate, DEVCOM Army Research Laboratory, Aberdeen Proving Ground, MD, 21005, USA.</w:t>
      </w:r>
    </w:p>
    <w:p w14:paraId="381F4377" w14:textId="77777777" w:rsidR="00DE39FF" w:rsidRPr="0000452B" w:rsidRDefault="00DE39FF" w:rsidP="00DE39FF">
      <w:pPr>
        <w:pStyle w:val="Paragraph"/>
        <w:spacing w:before="0" w:after="160" w:line="278" w:lineRule="auto"/>
        <w:ind w:left="360" w:firstLine="0"/>
      </w:pPr>
      <w:r w:rsidRPr="0000452B">
        <w:rPr>
          <w:vertAlign w:val="superscript"/>
        </w:rPr>
        <w:t>2</w:t>
      </w:r>
      <w:r w:rsidRPr="0000452B">
        <w:t>Center for Applied Energy Research, University of Kentucky, 2540 Research Park Drive, Lexington, KY, 40511, USA.</w:t>
      </w:r>
    </w:p>
    <w:p w14:paraId="226C0FF6" w14:textId="77777777" w:rsidR="00DE39FF" w:rsidRPr="0000452B" w:rsidRDefault="00DE39FF" w:rsidP="00DE39FF">
      <w:pPr>
        <w:pStyle w:val="Paragraph"/>
        <w:spacing w:before="0" w:after="160" w:line="278" w:lineRule="auto"/>
        <w:ind w:left="360" w:firstLine="0"/>
      </w:pPr>
    </w:p>
    <w:p w14:paraId="26AD2124" w14:textId="77777777" w:rsidR="00DE39FF" w:rsidRPr="0000452B" w:rsidRDefault="00DE39FF" w:rsidP="00DE39FF">
      <w:pPr>
        <w:pStyle w:val="Paragraph"/>
        <w:spacing w:before="0" w:after="160" w:line="278" w:lineRule="auto"/>
        <w:ind w:left="360" w:firstLine="0"/>
      </w:pPr>
      <w:r w:rsidRPr="0000452B">
        <w:t>*Corresponding author. Email: kristopher.a.darling.civ@army.mil (K.A.D.)</w:t>
      </w:r>
    </w:p>
    <w:p w14:paraId="7F6E0C41" w14:textId="0254C16F" w:rsidR="00DE39FF" w:rsidRPr="0000452B" w:rsidRDefault="00DE39FF">
      <w:pPr>
        <w:rPr>
          <w:b/>
          <w:bCs/>
          <w:kern w:val="32"/>
          <w:szCs w:val="24"/>
        </w:rPr>
      </w:pPr>
      <w:r w:rsidRPr="0000452B">
        <w:br w:type="page"/>
      </w:r>
    </w:p>
    <w:p w14:paraId="59F0AF36" w14:textId="77777777" w:rsidR="005F474B" w:rsidRPr="0000452B" w:rsidRDefault="005F474B" w:rsidP="005F474B">
      <w:pPr>
        <w:rPr>
          <w:b/>
          <w:bCs/>
        </w:rPr>
      </w:pPr>
      <w:r w:rsidRPr="0000452B">
        <w:rPr>
          <w:b/>
          <w:bCs/>
        </w:rPr>
        <w:lastRenderedPageBreak/>
        <w:t>Supplementary Note 1. Common Flux Representation of Electron, Phonon, and Dislocation Transport</w:t>
      </w:r>
    </w:p>
    <w:p w14:paraId="664D0B47" w14:textId="77777777" w:rsidR="005F474B" w:rsidRPr="0000452B" w:rsidRDefault="005F474B" w:rsidP="005F474B">
      <w:pPr>
        <w:rPr>
          <w:b/>
          <w:bCs/>
        </w:rPr>
      </w:pPr>
    </w:p>
    <w:p w14:paraId="017E9DF0" w14:textId="37E1A393" w:rsidR="005F474B" w:rsidRPr="0000452B" w:rsidRDefault="005F474B" w:rsidP="005F474B">
      <w:pPr>
        <w:rPr>
          <w:b/>
          <w:bCs/>
        </w:rPr>
      </w:pPr>
      <w:r w:rsidRPr="0000452B">
        <w:rPr>
          <w:b/>
          <w:bCs/>
        </w:rPr>
        <w:t>Generalized Carrier-Flux Framework</w:t>
      </w:r>
    </w:p>
    <w:p w14:paraId="717DA234" w14:textId="77777777" w:rsidR="005F474B" w:rsidRPr="0000452B" w:rsidRDefault="005F474B" w:rsidP="005F474B">
      <w:r w:rsidRPr="0000452B">
        <w:t>Although electrons, phonons, and dislocations are physically different, their transport equations share the same general form:</w:t>
      </w:r>
    </w:p>
    <w:p w14:paraId="7BC4908F" w14:textId="77777777" w:rsidR="005F474B" w:rsidRPr="0000452B" w:rsidRDefault="005F474B" w:rsidP="005F474B">
      <m:oMathPara>
        <m:oMath>
          <m:r>
            <m:rPr>
              <m:nor/>
            </m:rPr>
            <m:t>Transport rate</m:t>
          </m:r>
          <m:r>
            <w:rPr>
              <w:rFonts w:ascii="Cambria Math" w:hAnsi="Cambria Math"/>
            </w:rPr>
            <m:t>=</m:t>
          </m:r>
          <m:r>
            <m:rPr>
              <m:nor/>
            </m:rPr>
            <m:t>carrier density</m:t>
          </m:r>
          <m:r>
            <w:rPr>
              <w:rFonts w:ascii="Cambria Math" w:hAnsi="Cambria Math"/>
            </w:rPr>
            <m:t>×</m:t>
          </m:r>
          <m:r>
            <m:rPr>
              <m:nor/>
            </m:rPr>
            <m:t>carrier velocity</m:t>
          </m:r>
          <m:r>
            <w:rPr>
              <w:rFonts w:ascii="Cambria Math" w:hAnsi="Cambria Math"/>
            </w:rPr>
            <m:t>×</m:t>
          </m:r>
          <m:r>
            <m:rPr>
              <m:nor/>
            </m:rPr>
            <m:t>quantity transported</m:t>
          </m:r>
          <m:r>
            <m:rPr>
              <m:sty m:val="p"/>
            </m:rPr>
            <w:br/>
          </m:r>
        </m:oMath>
      </m:oMathPara>
    </w:p>
    <w:p w14:paraId="3EEACA71" w14:textId="4BF39C12" w:rsidR="005F474B" w:rsidRPr="0000452B" w:rsidRDefault="005F474B" w:rsidP="005F474B">
      <w:r w:rsidRPr="0000452B">
        <w:t xml:space="preserve">The Orowan relation is therefore also a flux </w:t>
      </w:r>
      <w:r w:rsidR="00FE6D76" w:rsidRPr="0000452B">
        <w:t>relation</w:t>
      </w:r>
      <w:r w:rsidRPr="0000452B">
        <w:t xml:space="preserve"> because it relates the density and velocity of moving dislocations to the resulting plastic strain rate.</w:t>
      </w:r>
    </w:p>
    <w:p w14:paraId="50651AB4" w14:textId="77777777" w:rsidR="005F474B" w:rsidRPr="0000452B" w:rsidRDefault="005F474B" w:rsidP="005F474B">
      <w:pPr>
        <w:rPr>
          <w:b/>
          <w:bCs/>
        </w:rPr>
      </w:pPr>
    </w:p>
    <w:p w14:paraId="51BE5A6F" w14:textId="77777777" w:rsidR="005F474B" w:rsidRPr="0000452B" w:rsidRDefault="005F474B" w:rsidP="005F474B">
      <w:pPr>
        <w:rPr>
          <w:b/>
          <w:bCs/>
        </w:rPr>
      </w:pPr>
      <w:r w:rsidRPr="0000452B">
        <w:rPr>
          <w:b/>
          <w:bCs/>
        </w:rPr>
        <w:t>Electron, Phonon, and Dislocation Flux Relations</w:t>
      </w:r>
    </w:p>
    <w:p w14:paraId="71E83806" w14:textId="77777777" w:rsidR="002D594A" w:rsidRPr="0000452B" w:rsidRDefault="002D594A" w:rsidP="005F474B">
      <w:pPr>
        <w:rPr>
          <w:b/>
          <w:bCs/>
        </w:rPr>
      </w:pPr>
    </w:p>
    <w:p w14:paraId="0EA03582" w14:textId="7C783DF0" w:rsidR="005F474B" w:rsidRPr="0000452B" w:rsidRDefault="00DE39FF" w:rsidP="005F474B">
      <w:pPr>
        <w:rPr>
          <w:b/>
          <w:bCs/>
        </w:rPr>
      </w:pPr>
      <w:r w:rsidRPr="0000452B">
        <w:rPr>
          <w:b/>
          <w:bCs/>
        </w:rPr>
        <w:t>Supplementary Table</w:t>
      </w:r>
      <w:r w:rsidR="005F474B" w:rsidRPr="0000452B">
        <w:rPr>
          <w:b/>
          <w:bCs/>
        </w:rPr>
        <w:t xml:space="preserve"> 1. Comparison of electron, phonon, and dislocation transport in a generalized flux framework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5"/>
        <w:gridCol w:w="1520"/>
        <w:gridCol w:w="2403"/>
        <w:gridCol w:w="2118"/>
        <w:gridCol w:w="2014"/>
      </w:tblGrid>
      <w:tr w:rsidR="005F474B" w:rsidRPr="0000452B" w14:paraId="50BD397C" w14:textId="77777777" w:rsidTr="000C0FDF">
        <w:trPr>
          <w:tblHeader/>
          <w:tblCellSpacing w:w="15" w:type="dxa"/>
        </w:trPr>
        <w:tc>
          <w:tcPr>
            <w:tcW w:w="0" w:type="auto"/>
            <w:vAlign w:val="center"/>
            <w:hideMark/>
          </w:tcPr>
          <w:p w14:paraId="33318642" w14:textId="77777777" w:rsidR="005F474B" w:rsidRPr="0000452B" w:rsidRDefault="005F474B" w:rsidP="000C0FDF">
            <w:pPr>
              <w:rPr>
                <w:b/>
                <w:bCs/>
              </w:rPr>
            </w:pPr>
            <w:r w:rsidRPr="0000452B">
              <w:rPr>
                <w:b/>
                <w:bCs/>
              </w:rPr>
              <w:t>Carrier</w:t>
            </w:r>
          </w:p>
        </w:tc>
        <w:tc>
          <w:tcPr>
            <w:tcW w:w="0" w:type="auto"/>
            <w:vAlign w:val="center"/>
            <w:hideMark/>
          </w:tcPr>
          <w:p w14:paraId="0DF85724" w14:textId="6505BD66" w:rsidR="005F474B" w:rsidRPr="0000452B" w:rsidRDefault="005F474B" w:rsidP="000C0FDF">
            <w:pPr>
              <w:rPr>
                <w:b/>
                <w:bCs/>
              </w:rPr>
            </w:pPr>
            <w:r w:rsidRPr="0000452B">
              <w:rPr>
                <w:b/>
                <w:bCs/>
              </w:rPr>
              <w:t xml:space="preserve">Flux </w:t>
            </w:r>
            <w:r w:rsidR="00FE6D76" w:rsidRPr="0000452B">
              <w:rPr>
                <w:b/>
                <w:bCs/>
              </w:rPr>
              <w:t xml:space="preserve">relation </w:t>
            </w:r>
          </w:p>
        </w:tc>
        <w:tc>
          <w:tcPr>
            <w:tcW w:w="0" w:type="auto"/>
            <w:vAlign w:val="center"/>
            <w:hideMark/>
          </w:tcPr>
          <w:p w14:paraId="0B33A64C" w14:textId="77777777" w:rsidR="005F474B" w:rsidRPr="0000452B" w:rsidRDefault="005F474B" w:rsidP="000C0FDF">
            <w:pPr>
              <w:rPr>
                <w:b/>
                <w:bCs/>
              </w:rPr>
            </w:pPr>
            <w:r w:rsidRPr="0000452B">
              <w:rPr>
                <w:b/>
                <w:bCs/>
              </w:rPr>
              <w:t>Carrier density</w:t>
            </w:r>
          </w:p>
        </w:tc>
        <w:tc>
          <w:tcPr>
            <w:tcW w:w="0" w:type="auto"/>
            <w:vAlign w:val="center"/>
            <w:hideMark/>
          </w:tcPr>
          <w:p w14:paraId="577F5726" w14:textId="77777777" w:rsidR="005F474B" w:rsidRPr="0000452B" w:rsidRDefault="005F474B" w:rsidP="000C0FDF">
            <w:pPr>
              <w:rPr>
                <w:b/>
                <w:bCs/>
              </w:rPr>
            </w:pPr>
            <w:r w:rsidRPr="0000452B">
              <w:rPr>
                <w:b/>
                <w:bCs/>
              </w:rPr>
              <w:t>Velocity</w:t>
            </w:r>
          </w:p>
        </w:tc>
        <w:tc>
          <w:tcPr>
            <w:tcW w:w="0" w:type="auto"/>
            <w:vAlign w:val="center"/>
            <w:hideMark/>
          </w:tcPr>
          <w:p w14:paraId="4B3F26B8" w14:textId="77777777" w:rsidR="005F474B" w:rsidRPr="0000452B" w:rsidRDefault="005F474B" w:rsidP="000C0FDF">
            <w:pPr>
              <w:rPr>
                <w:b/>
                <w:bCs/>
              </w:rPr>
            </w:pPr>
            <w:r w:rsidRPr="0000452B">
              <w:rPr>
                <w:b/>
                <w:bCs/>
              </w:rPr>
              <w:t>Quantity transported</w:t>
            </w:r>
          </w:p>
        </w:tc>
      </w:tr>
      <w:tr w:rsidR="005F474B" w:rsidRPr="0000452B" w14:paraId="0D9AF0DE" w14:textId="77777777" w:rsidTr="000C0FDF">
        <w:trPr>
          <w:tblCellSpacing w:w="15" w:type="dxa"/>
        </w:trPr>
        <w:tc>
          <w:tcPr>
            <w:tcW w:w="0" w:type="auto"/>
            <w:vAlign w:val="center"/>
            <w:hideMark/>
          </w:tcPr>
          <w:p w14:paraId="06531F52" w14:textId="77777777" w:rsidR="005F474B" w:rsidRPr="0000452B" w:rsidRDefault="005F474B" w:rsidP="000C0FDF">
            <w:r w:rsidRPr="0000452B">
              <w:t>Electrons</w:t>
            </w:r>
          </w:p>
        </w:tc>
        <w:tc>
          <w:tcPr>
            <w:tcW w:w="0" w:type="auto"/>
            <w:vAlign w:val="center"/>
            <w:hideMark/>
          </w:tcPr>
          <w:p w14:paraId="3DE53507" w14:textId="77777777" w:rsidR="005F474B" w:rsidRPr="0000452B" w:rsidRDefault="004034C6" w:rsidP="000C0FDF">
            <m:oMathPara>
              <m:oMath>
                <m:sSub>
                  <m:sSubPr>
                    <m:ctrlPr>
                      <w:rPr>
                        <w:rFonts w:ascii="Cambria Math" w:hAnsi="Cambria Math"/>
                      </w:rPr>
                    </m:ctrlPr>
                  </m:sSubPr>
                  <m:e>
                    <m:r>
                      <w:rPr>
                        <w:rFonts w:ascii="Cambria Math" w:hAnsi="Cambria Math"/>
                      </w:rPr>
                      <m:t>q</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e</m:t>
                    </m:r>
                  </m:sub>
                </m:sSub>
                <m:sSub>
                  <m:sSubPr>
                    <m:ctrlPr>
                      <w:rPr>
                        <w:rFonts w:ascii="Cambria Math" w:hAnsi="Cambria Math"/>
                      </w:rPr>
                    </m:ctrlPr>
                  </m:sSubPr>
                  <m:e>
                    <m:r>
                      <w:rPr>
                        <w:rFonts w:ascii="Cambria Math" w:hAnsi="Cambria Math"/>
                      </w:rPr>
                      <m:t>v</m:t>
                    </m:r>
                  </m:e>
                  <m:sub>
                    <m:r>
                      <w:rPr>
                        <w:rFonts w:ascii="Cambria Math" w:hAnsi="Cambria Math"/>
                      </w:rPr>
                      <m:t>e</m:t>
                    </m:r>
                  </m:sub>
                </m:sSub>
                <m:sSub>
                  <m:sSubPr>
                    <m:ctrlPr>
                      <w:rPr>
                        <w:rFonts w:ascii="Cambria Math" w:hAnsi="Cambria Math"/>
                      </w:rPr>
                    </m:ctrlPr>
                  </m:sSubPr>
                  <m:e>
                    <m:r>
                      <w:rPr>
                        <w:rFonts w:ascii="Cambria Math" w:hAnsi="Cambria Math"/>
                      </w:rPr>
                      <m:t>ε</m:t>
                    </m:r>
                  </m:e>
                  <m:sub>
                    <m:r>
                      <w:rPr>
                        <w:rFonts w:ascii="Cambria Math" w:hAnsi="Cambria Math"/>
                      </w:rPr>
                      <m:t>e</m:t>
                    </m:r>
                  </m:sub>
                </m:sSub>
              </m:oMath>
            </m:oMathPara>
          </w:p>
        </w:tc>
        <w:tc>
          <w:tcPr>
            <w:tcW w:w="0" w:type="auto"/>
            <w:vAlign w:val="center"/>
            <w:hideMark/>
          </w:tcPr>
          <w:p w14:paraId="1D3015C7" w14:textId="77777777" w:rsidR="005F474B" w:rsidRPr="0000452B" w:rsidRDefault="004034C6" w:rsidP="000C0FDF">
            <m:oMath>
              <m:sSub>
                <m:sSubPr>
                  <m:ctrlPr>
                    <w:rPr>
                      <w:rFonts w:ascii="Cambria Math" w:hAnsi="Cambria Math"/>
                    </w:rPr>
                  </m:ctrlPr>
                </m:sSubPr>
                <m:e>
                  <m:r>
                    <w:rPr>
                      <w:rFonts w:ascii="Cambria Math" w:hAnsi="Cambria Math"/>
                    </w:rPr>
                    <m:t>n</m:t>
                  </m:r>
                </m:e>
                <m:sub>
                  <m:r>
                    <w:rPr>
                      <w:rFonts w:ascii="Cambria Math" w:hAnsi="Cambria Math"/>
                    </w:rPr>
                    <m:t>e</m:t>
                  </m:r>
                </m:sub>
              </m:sSub>
            </m:oMath>
            <w:r w:rsidR="005F474B" w:rsidRPr="0000452B">
              <w:t>, electron density</w:t>
            </w:r>
          </w:p>
        </w:tc>
        <w:tc>
          <w:tcPr>
            <w:tcW w:w="0" w:type="auto"/>
            <w:vAlign w:val="center"/>
            <w:hideMark/>
          </w:tcPr>
          <w:p w14:paraId="58C02AAA" w14:textId="77777777" w:rsidR="005F474B" w:rsidRPr="0000452B" w:rsidRDefault="004034C6" w:rsidP="000C0FDF">
            <m:oMath>
              <m:sSub>
                <m:sSubPr>
                  <m:ctrlPr>
                    <w:rPr>
                      <w:rFonts w:ascii="Cambria Math" w:hAnsi="Cambria Math"/>
                    </w:rPr>
                  </m:ctrlPr>
                </m:sSubPr>
                <m:e>
                  <m:r>
                    <w:rPr>
                      <w:rFonts w:ascii="Cambria Math" w:hAnsi="Cambria Math"/>
                    </w:rPr>
                    <m:t>v</m:t>
                  </m:r>
                </m:e>
                <m:sub>
                  <m:r>
                    <w:rPr>
                      <w:rFonts w:ascii="Cambria Math" w:hAnsi="Cambria Math"/>
                    </w:rPr>
                    <m:t>e</m:t>
                  </m:r>
                </m:sub>
              </m:sSub>
            </m:oMath>
            <w:r w:rsidR="005F474B" w:rsidRPr="0000452B">
              <w:t>, electron velocity</w:t>
            </w:r>
          </w:p>
        </w:tc>
        <w:tc>
          <w:tcPr>
            <w:tcW w:w="0" w:type="auto"/>
            <w:vAlign w:val="center"/>
            <w:hideMark/>
          </w:tcPr>
          <w:p w14:paraId="5F319E83" w14:textId="00756F7F" w:rsidR="005F474B" w:rsidRPr="0000452B" w:rsidRDefault="004034C6" w:rsidP="000C0FDF">
            <m:oMath>
              <m:sSub>
                <m:sSubPr>
                  <m:ctrlPr>
                    <w:rPr>
                      <w:rFonts w:ascii="Cambria Math" w:hAnsi="Cambria Math"/>
                    </w:rPr>
                  </m:ctrlPr>
                </m:sSubPr>
                <m:e>
                  <m:r>
                    <w:rPr>
                      <w:rFonts w:ascii="Cambria Math" w:hAnsi="Cambria Math"/>
                    </w:rPr>
                    <m:t>ε</m:t>
                  </m:r>
                </m:e>
                <m:sub>
                  <m:r>
                    <w:rPr>
                      <w:rFonts w:ascii="Cambria Math" w:hAnsi="Cambria Math"/>
                    </w:rPr>
                    <m:t>e</m:t>
                  </m:r>
                </m:sub>
              </m:sSub>
            </m:oMath>
            <w:proofErr w:type="gramStart"/>
            <w:r w:rsidR="005F474B" w:rsidRPr="0000452B">
              <w:t>,</w:t>
            </w:r>
            <w:r w:rsidR="00AB12BC" w:rsidRPr="0000452B">
              <w:t xml:space="preserve"> </w:t>
            </w:r>
            <w:r w:rsidR="005F474B" w:rsidRPr="0000452B">
              <w:t>energy</w:t>
            </w:r>
            <w:proofErr w:type="gramEnd"/>
            <w:r w:rsidR="005F474B" w:rsidRPr="0000452B">
              <w:t xml:space="preserve"> per electron</w:t>
            </w:r>
          </w:p>
        </w:tc>
      </w:tr>
      <w:tr w:rsidR="005F474B" w:rsidRPr="0000452B" w14:paraId="0481DF97" w14:textId="77777777" w:rsidTr="000C0FDF">
        <w:trPr>
          <w:tblCellSpacing w:w="15" w:type="dxa"/>
        </w:trPr>
        <w:tc>
          <w:tcPr>
            <w:tcW w:w="0" w:type="auto"/>
            <w:vAlign w:val="center"/>
            <w:hideMark/>
          </w:tcPr>
          <w:p w14:paraId="0C172FFF" w14:textId="77777777" w:rsidR="005F474B" w:rsidRPr="0000452B" w:rsidRDefault="005F474B" w:rsidP="000C0FDF">
            <w:r w:rsidRPr="0000452B">
              <w:t>Phonons</w:t>
            </w:r>
          </w:p>
        </w:tc>
        <w:tc>
          <w:tcPr>
            <w:tcW w:w="0" w:type="auto"/>
            <w:vAlign w:val="center"/>
            <w:hideMark/>
          </w:tcPr>
          <w:p w14:paraId="7098F7B7" w14:textId="77777777" w:rsidR="005F474B" w:rsidRPr="0000452B" w:rsidRDefault="004034C6" w:rsidP="000C0FDF">
            <m:oMathPara>
              <m:oMath>
                <m:sSub>
                  <m:sSubPr>
                    <m:ctrlPr>
                      <w:rPr>
                        <w:rFonts w:ascii="Cambria Math" w:hAnsi="Cambria Math"/>
                      </w:rPr>
                    </m:ctrlPr>
                  </m:sSubPr>
                  <m:e>
                    <m:r>
                      <w:rPr>
                        <w:rFonts w:ascii="Cambria Math" w:hAnsi="Cambria Math"/>
                      </w:rPr>
                      <m:t>q</m:t>
                    </m:r>
                  </m:e>
                  <m:sub>
                    <m:r>
                      <w:rPr>
                        <w:rFonts w:ascii="Cambria Math" w:hAnsi="Cambria Math"/>
                      </w:rPr>
                      <m:t>ph</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ph</m:t>
                    </m:r>
                  </m:sub>
                </m:sSub>
                <m:sSub>
                  <m:sSubPr>
                    <m:ctrlPr>
                      <w:rPr>
                        <w:rFonts w:ascii="Cambria Math" w:hAnsi="Cambria Math"/>
                      </w:rPr>
                    </m:ctrlPr>
                  </m:sSubPr>
                  <m:e>
                    <m:r>
                      <w:rPr>
                        <w:rFonts w:ascii="Cambria Math" w:hAnsi="Cambria Math"/>
                      </w:rPr>
                      <m:t>v</m:t>
                    </m:r>
                  </m:e>
                  <m:sub>
                    <m:r>
                      <w:rPr>
                        <w:rFonts w:ascii="Cambria Math" w:hAnsi="Cambria Math"/>
                      </w:rPr>
                      <m:t>g</m:t>
                    </m:r>
                  </m:sub>
                </m:sSub>
                <m:r>
                  <m:rPr>
                    <m:sty m:val="p"/>
                  </m:rPr>
                  <w:rPr>
                    <w:rFonts w:ascii="Cambria Math" w:hAnsi="Cambria Math"/>
                  </w:rPr>
                  <m:t>ℏ</m:t>
                </m:r>
                <m:r>
                  <w:rPr>
                    <w:rFonts w:ascii="Cambria Math" w:hAnsi="Cambria Math"/>
                  </w:rPr>
                  <m:t>ω</m:t>
                </m:r>
              </m:oMath>
            </m:oMathPara>
          </w:p>
        </w:tc>
        <w:tc>
          <w:tcPr>
            <w:tcW w:w="0" w:type="auto"/>
            <w:vAlign w:val="center"/>
            <w:hideMark/>
          </w:tcPr>
          <w:p w14:paraId="37641C85" w14:textId="77777777" w:rsidR="005F474B" w:rsidRPr="0000452B" w:rsidRDefault="004034C6" w:rsidP="000C0FDF">
            <m:oMath>
              <m:sSub>
                <m:sSubPr>
                  <m:ctrlPr>
                    <w:rPr>
                      <w:rFonts w:ascii="Cambria Math" w:hAnsi="Cambria Math"/>
                    </w:rPr>
                  </m:ctrlPr>
                </m:sSubPr>
                <m:e>
                  <m:r>
                    <w:rPr>
                      <w:rFonts w:ascii="Cambria Math" w:hAnsi="Cambria Math"/>
                    </w:rPr>
                    <m:t>n</m:t>
                  </m:r>
                </m:e>
                <m:sub>
                  <m:r>
                    <w:rPr>
                      <w:rFonts w:ascii="Cambria Math" w:hAnsi="Cambria Math"/>
                    </w:rPr>
                    <m:t>ph</m:t>
                  </m:r>
                </m:sub>
              </m:sSub>
            </m:oMath>
            <w:r w:rsidR="005F474B" w:rsidRPr="0000452B">
              <w:t>, phonon density</w:t>
            </w:r>
          </w:p>
        </w:tc>
        <w:tc>
          <w:tcPr>
            <w:tcW w:w="0" w:type="auto"/>
            <w:vAlign w:val="center"/>
            <w:hideMark/>
          </w:tcPr>
          <w:p w14:paraId="16A6E9AB" w14:textId="77777777" w:rsidR="005F474B" w:rsidRPr="0000452B" w:rsidRDefault="004034C6" w:rsidP="000C0FDF">
            <m:oMath>
              <m:sSub>
                <m:sSubPr>
                  <m:ctrlPr>
                    <w:rPr>
                      <w:rFonts w:ascii="Cambria Math" w:hAnsi="Cambria Math"/>
                    </w:rPr>
                  </m:ctrlPr>
                </m:sSubPr>
                <m:e>
                  <m:r>
                    <w:rPr>
                      <w:rFonts w:ascii="Cambria Math" w:hAnsi="Cambria Math"/>
                    </w:rPr>
                    <m:t>v</m:t>
                  </m:r>
                </m:e>
                <m:sub>
                  <m:r>
                    <w:rPr>
                      <w:rFonts w:ascii="Cambria Math" w:hAnsi="Cambria Math"/>
                    </w:rPr>
                    <m:t>g</m:t>
                  </m:r>
                </m:sub>
              </m:sSub>
            </m:oMath>
            <w:r w:rsidR="005F474B" w:rsidRPr="0000452B">
              <w:t>, phonon group velocity</w:t>
            </w:r>
          </w:p>
        </w:tc>
        <w:tc>
          <w:tcPr>
            <w:tcW w:w="0" w:type="auto"/>
            <w:vAlign w:val="center"/>
            <w:hideMark/>
          </w:tcPr>
          <w:p w14:paraId="1C5F0650" w14:textId="77777777" w:rsidR="005F474B" w:rsidRPr="0000452B" w:rsidRDefault="005F474B" w:rsidP="000C0FDF">
            <m:oMath>
              <m:r>
                <m:rPr>
                  <m:sty m:val="p"/>
                </m:rPr>
                <w:rPr>
                  <w:rFonts w:ascii="Cambria Math" w:hAnsi="Cambria Math"/>
                </w:rPr>
                <m:t>ℏ</m:t>
              </m:r>
              <m:r>
                <w:rPr>
                  <w:rFonts w:ascii="Cambria Math" w:hAnsi="Cambria Math"/>
                </w:rPr>
                <m:t>ω</m:t>
              </m:r>
            </m:oMath>
            <w:proofErr w:type="gramStart"/>
            <w:r w:rsidRPr="0000452B">
              <w:t>, energy</w:t>
            </w:r>
            <w:proofErr w:type="gramEnd"/>
            <w:r w:rsidRPr="0000452B">
              <w:t xml:space="preserve"> per phonon</w:t>
            </w:r>
          </w:p>
        </w:tc>
      </w:tr>
      <w:tr w:rsidR="005F474B" w:rsidRPr="0000452B" w14:paraId="722945D4" w14:textId="77777777" w:rsidTr="000C0FDF">
        <w:trPr>
          <w:tblCellSpacing w:w="15" w:type="dxa"/>
        </w:trPr>
        <w:tc>
          <w:tcPr>
            <w:tcW w:w="0" w:type="auto"/>
            <w:vAlign w:val="center"/>
            <w:hideMark/>
          </w:tcPr>
          <w:p w14:paraId="056B63FF" w14:textId="77777777" w:rsidR="005F474B" w:rsidRPr="0000452B" w:rsidRDefault="005F474B" w:rsidP="000C0FDF">
            <w:r w:rsidRPr="0000452B">
              <w:t>Dislocations</w:t>
            </w:r>
          </w:p>
        </w:tc>
        <w:tc>
          <w:tcPr>
            <w:tcW w:w="0" w:type="auto"/>
            <w:vAlign w:val="center"/>
            <w:hideMark/>
          </w:tcPr>
          <w:p w14:paraId="03E7F3B3" w14:textId="77777777" w:rsidR="005F474B" w:rsidRPr="0000452B" w:rsidRDefault="004034C6" w:rsidP="000C0FDF">
            <m:oMathPara>
              <m:oMath>
                <m:acc>
                  <m:accPr>
                    <m:chr m:val="̇"/>
                    <m:ctrlPr>
                      <w:rPr>
                        <w:rFonts w:ascii="Cambria Math" w:hAnsi="Cambria Math"/>
                      </w:rPr>
                    </m:ctrlPr>
                  </m:accPr>
                  <m:e>
                    <m:r>
                      <w:rPr>
                        <w:rFonts w:ascii="Cambria Math" w:hAnsi="Cambria Math"/>
                      </w:rPr>
                      <m:t>γ</m:t>
                    </m:r>
                  </m:e>
                </m:acc>
                <m: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m</m:t>
                    </m:r>
                  </m:sub>
                </m:sSub>
                <m:sSub>
                  <m:sSubPr>
                    <m:ctrlPr>
                      <w:rPr>
                        <w:rFonts w:ascii="Cambria Math" w:hAnsi="Cambria Math"/>
                      </w:rPr>
                    </m:ctrlPr>
                  </m:sSubPr>
                  <m:e>
                    <m:r>
                      <w:rPr>
                        <w:rFonts w:ascii="Cambria Math" w:hAnsi="Cambria Math"/>
                      </w:rPr>
                      <m:t>v</m:t>
                    </m:r>
                  </m:e>
                  <m:sub>
                    <m:r>
                      <w:rPr>
                        <w:rFonts w:ascii="Cambria Math" w:hAnsi="Cambria Math"/>
                      </w:rPr>
                      <m:t>d</m:t>
                    </m:r>
                  </m:sub>
                </m:sSub>
                <m:r>
                  <w:rPr>
                    <w:rFonts w:ascii="Cambria Math" w:hAnsi="Cambria Math"/>
                  </w:rPr>
                  <m:t>b</m:t>
                </m:r>
              </m:oMath>
            </m:oMathPara>
          </w:p>
        </w:tc>
        <w:tc>
          <w:tcPr>
            <w:tcW w:w="0" w:type="auto"/>
            <w:vAlign w:val="center"/>
            <w:hideMark/>
          </w:tcPr>
          <w:p w14:paraId="747CC722" w14:textId="77777777" w:rsidR="005F474B" w:rsidRPr="0000452B" w:rsidRDefault="004034C6" w:rsidP="000C0FDF">
            <m:oMath>
              <m:sSub>
                <m:sSubPr>
                  <m:ctrlPr>
                    <w:rPr>
                      <w:rFonts w:ascii="Cambria Math" w:hAnsi="Cambria Math"/>
                    </w:rPr>
                  </m:ctrlPr>
                </m:sSubPr>
                <m:e>
                  <m:r>
                    <w:rPr>
                      <w:rFonts w:ascii="Cambria Math" w:hAnsi="Cambria Math"/>
                    </w:rPr>
                    <m:t>ρ</m:t>
                  </m:r>
                </m:e>
                <m:sub>
                  <m:r>
                    <w:rPr>
                      <w:rFonts w:ascii="Cambria Math" w:hAnsi="Cambria Math"/>
                    </w:rPr>
                    <m:t>m</m:t>
                  </m:r>
                </m:sub>
              </m:sSub>
            </m:oMath>
            <w:r w:rsidR="005F474B" w:rsidRPr="0000452B">
              <w:t>, mobile dislocation density</w:t>
            </w:r>
          </w:p>
        </w:tc>
        <w:tc>
          <w:tcPr>
            <w:tcW w:w="0" w:type="auto"/>
            <w:vAlign w:val="center"/>
            <w:hideMark/>
          </w:tcPr>
          <w:p w14:paraId="71F04A86" w14:textId="77777777" w:rsidR="005F474B" w:rsidRPr="0000452B" w:rsidRDefault="004034C6" w:rsidP="000C0FDF">
            <m:oMath>
              <m:sSub>
                <m:sSubPr>
                  <m:ctrlPr>
                    <w:rPr>
                      <w:rFonts w:ascii="Cambria Math" w:hAnsi="Cambria Math"/>
                    </w:rPr>
                  </m:ctrlPr>
                </m:sSubPr>
                <m:e>
                  <m:r>
                    <w:rPr>
                      <w:rFonts w:ascii="Cambria Math" w:hAnsi="Cambria Math"/>
                    </w:rPr>
                    <m:t>v</m:t>
                  </m:r>
                </m:e>
                <m:sub>
                  <m:r>
                    <w:rPr>
                      <w:rFonts w:ascii="Cambria Math" w:hAnsi="Cambria Math"/>
                    </w:rPr>
                    <m:t>d</m:t>
                  </m:r>
                </m:sub>
              </m:sSub>
            </m:oMath>
            <w:r w:rsidR="005F474B" w:rsidRPr="0000452B">
              <w:t>, dislocation velocity</w:t>
            </w:r>
          </w:p>
        </w:tc>
        <w:tc>
          <w:tcPr>
            <w:tcW w:w="0" w:type="auto"/>
            <w:vAlign w:val="center"/>
            <w:hideMark/>
          </w:tcPr>
          <w:p w14:paraId="2A67FB87" w14:textId="77777777" w:rsidR="005F474B" w:rsidRPr="0000452B" w:rsidRDefault="005F474B" w:rsidP="000C0FDF">
            <m:oMath>
              <m:r>
                <w:rPr>
                  <w:rFonts w:ascii="Cambria Math" w:hAnsi="Cambria Math"/>
                </w:rPr>
                <m:t>b</m:t>
              </m:r>
            </m:oMath>
            <w:r w:rsidRPr="0000452B">
              <w:t>, shear displacement</w:t>
            </w:r>
          </w:p>
        </w:tc>
      </w:tr>
    </w:tbl>
    <w:p w14:paraId="3468C369" w14:textId="77777777" w:rsidR="005F474B" w:rsidRPr="0000452B" w:rsidRDefault="005F474B" w:rsidP="005F474B">
      <w:pPr>
        <w:rPr>
          <w:b/>
          <w:bCs/>
        </w:rPr>
      </w:pPr>
    </w:p>
    <w:p w14:paraId="321D747A" w14:textId="77777777" w:rsidR="005F474B" w:rsidRPr="0000452B" w:rsidRDefault="005F474B" w:rsidP="005F474B">
      <w:pPr>
        <w:rPr>
          <w:b/>
          <w:bCs/>
        </w:rPr>
      </w:pPr>
      <w:r w:rsidRPr="0000452B">
        <w:rPr>
          <w:b/>
          <w:bCs/>
        </w:rPr>
        <w:t>Common Dependence on Carrier Population and Velocity</w:t>
      </w:r>
    </w:p>
    <w:p w14:paraId="2F0A444A" w14:textId="77777777" w:rsidR="005F474B" w:rsidRPr="0000452B" w:rsidRDefault="005F474B" w:rsidP="005F474B">
      <w:r w:rsidRPr="0000452B">
        <w:t>Thus, each macroscopic transport response depends on the population of mobile carriers, their velocity, and the physical quantity transported through their motion.</w:t>
      </w:r>
    </w:p>
    <w:p w14:paraId="37EA87CD" w14:textId="77777777" w:rsidR="005F474B" w:rsidRPr="0000452B" w:rsidRDefault="005F474B" w:rsidP="005F474B"/>
    <w:p w14:paraId="3B6890CD" w14:textId="77777777" w:rsidR="005F474B" w:rsidRPr="0000452B" w:rsidRDefault="005F474B" w:rsidP="005F474B">
      <w:pPr>
        <w:rPr>
          <w:b/>
          <w:bCs/>
        </w:rPr>
      </w:pPr>
      <w:r w:rsidRPr="0000452B">
        <w:rPr>
          <w:b/>
          <w:bCs/>
        </w:rPr>
        <w:t>Supplementary Note 2. Estimation of the Electron Mean Free Path in Copper</w:t>
      </w:r>
    </w:p>
    <w:p w14:paraId="0E2A1D4D" w14:textId="77777777" w:rsidR="002D594A" w:rsidRPr="0000452B" w:rsidRDefault="002D594A" w:rsidP="005F474B">
      <w:pPr>
        <w:rPr>
          <w:b/>
          <w:bCs/>
        </w:rPr>
      </w:pPr>
    </w:p>
    <w:p w14:paraId="3587CD55" w14:textId="3374428E" w:rsidR="005F474B" w:rsidRPr="0000452B" w:rsidRDefault="005F474B" w:rsidP="005F474B">
      <w:pPr>
        <w:rPr>
          <w:b/>
          <w:bCs/>
        </w:rPr>
      </w:pPr>
      <w:r w:rsidRPr="0000452B">
        <w:rPr>
          <w:b/>
          <w:bCs/>
        </w:rPr>
        <w:t>Matthiessen-Type Treatment of Electron Scattering</w:t>
      </w:r>
    </w:p>
    <w:p w14:paraId="35DD0CF2" w14:textId="77777777" w:rsidR="005F474B" w:rsidRPr="0000452B" w:rsidRDefault="005F474B" w:rsidP="005F474B">
      <w:r w:rsidRPr="0000452B">
        <w:t xml:space="preserve">The effective electron mean free path,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oMath>
      <w:r w:rsidRPr="0000452B">
        <w:t>, is expressed as a Matthiessen-type summation of independent scattering processes:</w:t>
      </w:r>
    </w:p>
    <w:p w14:paraId="7C467C4C" w14:textId="77777777" w:rsidR="005F474B" w:rsidRPr="0000452B" w:rsidRDefault="004034C6" w:rsidP="005F474B">
      <m:oMathPara>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w:rPr>
              <w:rFonts w:ascii="Cambria Math" w:hAnsi="Cambria Math"/>
            </w:rPr>
            <m:t>=</m:t>
          </m:r>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m:rPr>
                          <m:scr m:val="script"/>
                          <m:sty m:val="p"/>
                        </m:rPr>
                        <w:rPr>
                          <w:rFonts w:ascii="Cambria Math" w:hAnsi="Cambria Math"/>
                        </w:rPr>
                        <m:t>l</m:t>
                      </m:r>
                    </m:e>
                    <m:sub>
                      <m:r>
                        <m:rPr>
                          <m:nor/>
                        </m:rPr>
                        <m:t>phonon</m:t>
                      </m:r>
                    </m:sub>
                  </m:sSub>
                </m:den>
              </m:f>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m:rPr>
                          <m:scr m:val="script"/>
                          <m:sty m:val="p"/>
                        </m:rPr>
                        <w:rPr>
                          <w:rFonts w:ascii="Cambria Math" w:hAnsi="Cambria Math"/>
                        </w:rPr>
                        <m:t>l</m:t>
                      </m:r>
                    </m:e>
                    <m:sub>
                      <m:r>
                        <m:rPr>
                          <m:nor/>
                        </m:rPr>
                        <m:t>defect</m:t>
                      </m:r>
                    </m:sub>
                  </m:sSub>
                </m:den>
              </m:f>
              <m:r>
                <w:rPr>
                  <w:rFonts w:ascii="Cambria Math" w:hAnsi="Cambria Math"/>
                </w:rPr>
                <m:t>)</m:t>
              </m:r>
            </m:e>
            <m:sup>
              <m:r>
                <w:rPr>
                  <w:rFonts w:ascii="Cambria Math" w:hAnsi="Cambria Math"/>
                </w:rPr>
                <m:t>-1</m:t>
              </m:r>
            </m:sup>
          </m:sSup>
          <m:r>
            <m:rPr>
              <m:sty m:val="p"/>
            </m:rPr>
            <w:rPr>
              <w:rFonts w:ascii="Cambria Math" w:hAnsi="Cambria Math"/>
            </w:rPr>
            <w:br/>
          </m:r>
        </m:oMath>
      </m:oMathPara>
    </w:p>
    <w:p w14:paraId="371B6E64" w14:textId="77777777" w:rsidR="005F474B" w:rsidRPr="0000452B" w:rsidRDefault="005F474B" w:rsidP="005F474B">
      <w:r w:rsidRPr="0000452B">
        <w:t xml:space="preserve">where </w:t>
      </w:r>
      <m:oMath>
        <m:sSub>
          <m:sSubPr>
            <m:ctrlPr>
              <w:rPr>
                <w:rFonts w:ascii="Cambria Math" w:hAnsi="Cambria Math"/>
              </w:rPr>
            </m:ctrlPr>
          </m:sSubPr>
          <m:e>
            <m:r>
              <w:rPr>
                <w:rFonts w:ascii="Cambria Math" w:hAnsi="Cambria Math"/>
              </w:rPr>
              <m:t>l</m:t>
            </m:r>
          </m:e>
          <m:sub>
            <m:r>
              <m:rPr>
                <m:sty m:val="p"/>
              </m:rPr>
              <w:rPr>
                <w:rFonts w:ascii="Cambria Math" w:hAnsi="Cambria Math"/>
              </w:rPr>
              <m:t>phonon</m:t>
            </m:r>
          </m:sub>
        </m:sSub>
      </m:oMath>
      <w:r w:rsidRPr="0000452B">
        <w:t xml:space="preserve">represents the temperature-dependent mean free path associated with electron–phonon scattering, and </w:t>
      </w:r>
      <m:oMath>
        <m:sSub>
          <m:sSubPr>
            <m:ctrlPr>
              <w:rPr>
                <w:rFonts w:ascii="Cambria Math" w:hAnsi="Cambria Math"/>
              </w:rPr>
            </m:ctrlPr>
          </m:sSubPr>
          <m:e>
            <m:r>
              <w:rPr>
                <w:rFonts w:ascii="Cambria Math" w:hAnsi="Cambria Math"/>
              </w:rPr>
              <m:t>l</m:t>
            </m:r>
          </m:e>
          <m:sub>
            <m:r>
              <m:rPr>
                <m:sty m:val="p"/>
              </m:rPr>
              <w:rPr>
                <w:rFonts w:ascii="Cambria Math" w:hAnsi="Cambria Math"/>
              </w:rPr>
              <m:t>defect</m:t>
            </m:r>
          </m:sub>
        </m:sSub>
      </m:oMath>
      <w:r w:rsidRPr="0000452B">
        <w:rPr>
          <w:rFonts w:eastAsiaTheme="minorEastAsia"/>
        </w:rPr>
        <w:t xml:space="preserve"> </w:t>
      </w:r>
      <w:r w:rsidRPr="0000452B">
        <w:t>accounts for the temperature-independent mean free path arising from structural defects, including the grain boundaries and Ta-rich clusters present in Cu–3Ta.</w:t>
      </w:r>
    </w:p>
    <w:p w14:paraId="3266B2B1" w14:textId="77777777" w:rsidR="005F474B" w:rsidRPr="0000452B" w:rsidRDefault="005F474B" w:rsidP="005F474B">
      <w:pPr>
        <w:rPr>
          <w:b/>
          <w:bCs/>
        </w:rPr>
      </w:pPr>
    </w:p>
    <w:p w14:paraId="28E20B44" w14:textId="77777777" w:rsidR="005F474B" w:rsidRPr="0000452B" w:rsidRDefault="005F474B" w:rsidP="005F474B">
      <w:pPr>
        <w:rPr>
          <w:b/>
          <w:bCs/>
        </w:rPr>
      </w:pPr>
      <w:r w:rsidRPr="0000452B">
        <w:rPr>
          <w:b/>
          <w:bCs/>
        </w:rPr>
        <w:t>Drude–Sommerfeld Calculation of Electron Mean Free Path</w:t>
      </w:r>
    </w:p>
    <w:p w14:paraId="02D6F6D0" w14:textId="3C23E2A5" w:rsidR="005F474B" w:rsidRPr="0000452B" w:rsidRDefault="005F474B" w:rsidP="005F474B">
      <w:r w:rsidRPr="0000452B">
        <w:t>The electron mean free path in metals is estimated using the Drude–Sommerfeld model</w:t>
      </w:r>
      <w:r w:rsidR="00706C77" w:rsidRPr="0000452B">
        <w:rPr>
          <w:vertAlign w:val="superscript"/>
        </w:rPr>
        <w:t>1</w:t>
      </w:r>
      <w:r w:rsidRPr="0000452B">
        <w:t xml:space="preserve">, in which the mean free path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oMath>
      <w:r w:rsidRPr="0000452B">
        <w:t>is defined as:</w:t>
      </w:r>
    </w:p>
    <w:p w14:paraId="0BC74B81" w14:textId="77777777" w:rsidR="005F474B" w:rsidRPr="0000452B" w:rsidRDefault="004034C6" w:rsidP="005F474B">
      <m:oMathPara>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F</m:t>
              </m:r>
            </m:sub>
          </m:sSub>
          <m:r>
            <w:rPr>
              <w:rFonts w:ascii="Cambria Math" w:hAnsi="Cambria Math"/>
            </w:rPr>
            <m:t>τ</m:t>
          </m:r>
          <m:r>
            <m:rPr>
              <m:sty m:val="p"/>
            </m:rPr>
            <w:rPr>
              <w:rFonts w:ascii="Cambria Math" w:hAnsi="Cambria Math"/>
            </w:rPr>
            <w:br/>
          </m:r>
        </m:oMath>
      </m:oMathPara>
    </w:p>
    <w:p w14:paraId="77A84158" w14:textId="440C9B42" w:rsidR="005F474B" w:rsidRPr="0000452B" w:rsidRDefault="005F474B" w:rsidP="005F474B">
      <w:r w:rsidRPr="0000452B">
        <w:t xml:space="preserve">where </w:t>
      </w:r>
      <m:oMath>
        <m:sSub>
          <m:sSubPr>
            <m:ctrlPr>
              <w:rPr>
                <w:rFonts w:ascii="Cambria Math" w:hAnsi="Cambria Math"/>
              </w:rPr>
            </m:ctrlPr>
          </m:sSubPr>
          <m:e>
            <m:r>
              <w:rPr>
                <w:rFonts w:ascii="Cambria Math" w:hAnsi="Cambria Math"/>
              </w:rPr>
              <m:t>v</m:t>
            </m:r>
          </m:e>
          <m:sub>
            <m:r>
              <w:rPr>
                <w:rFonts w:ascii="Cambria Math" w:hAnsi="Cambria Math"/>
              </w:rPr>
              <m:t>F</m:t>
            </m:r>
          </m:sub>
        </m:sSub>
      </m:oMath>
      <w:r w:rsidRPr="0000452B">
        <w:t>is the Fermi velocity (</w:t>
      </w:r>
      <m:oMath>
        <m:r>
          <w:rPr>
            <w:rFonts w:ascii="Cambria Math" w:hAnsi="Cambria Math"/>
          </w:rPr>
          <m:t>1.57×</m:t>
        </m:r>
        <m:sSup>
          <m:sSupPr>
            <m:ctrlPr>
              <w:rPr>
                <w:rFonts w:ascii="Cambria Math" w:hAnsi="Cambria Math"/>
              </w:rPr>
            </m:ctrlPr>
          </m:sSupPr>
          <m:e>
            <m:r>
              <w:rPr>
                <w:rFonts w:ascii="Cambria Math" w:hAnsi="Cambria Math"/>
              </w:rPr>
              <m:t>10</m:t>
            </m:r>
          </m:e>
          <m:sup>
            <m:r>
              <w:rPr>
                <w:rFonts w:ascii="Cambria Math" w:hAnsi="Cambria Math"/>
              </w:rPr>
              <m:t>6</m:t>
            </m:r>
          </m:sup>
        </m:sSup>
      </m:oMath>
      <w:r w:rsidRPr="0000452B">
        <w:t>m/s)</w:t>
      </w:r>
      <w:r w:rsidR="00706C77" w:rsidRPr="0000452B">
        <w:rPr>
          <w:vertAlign w:val="superscript"/>
        </w:rPr>
        <w:t>2</w:t>
      </w:r>
      <w:r w:rsidRPr="0000452B">
        <w:t xml:space="preserve"> and </w:t>
      </w:r>
      <m:oMath>
        <m:r>
          <w:rPr>
            <w:rFonts w:ascii="Cambria Math" w:hAnsi="Cambria Math"/>
          </w:rPr>
          <m:t xml:space="preserve">τ </m:t>
        </m:r>
      </m:oMath>
      <w:r w:rsidRPr="0000452B">
        <w:t>is the electron relaxation time. The relaxation time is obtained from electrical conductivity via:</w:t>
      </w:r>
    </w:p>
    <w:p w14:paraId="0CDFC79F" w14:textId="77777777" w:rsidR="005F474B" w:rsidRPr="0000452B" w:rsidRDefault="005F474B" w:rsidP="005F474B">
      <m:oMathPara>
        <m:oMath>
          <m:r>
            <w:rPr>
              <w:rFonts w:ascii="Cambria Math" w:hAnsi="Cambria Math"/>
            </w:rPr>
            <m:t>τ=</m:t>
          </m:r>
          <m:f>
            <m:fPr>
              <m:ctrlPr>
                <w:rPr>
                  <w:rFonts w:ascii="Cambria Math" w:hAnsi="Cambria Math"/>
                </w:rPr>
              </m:ctrlPr>
            </m:fPr>
            <m:num>
              <m:r>
                <w:rPr>
                  <w:rFonts w:ascii="Cambria Math" w:hAnsi="Cambria Math"/>
                </w:rPr>
                <m:t>m</m:t>
              </m:r>
            </m:num>
            <m:den>
              <m:r>
                <w:rPr>
                  <w:rFonts w:ascii="Cambria Math" w:hAnsi="Cambria Math"/>
                </w:rPr>
                <m:t>n</m:t>
              </m:r>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ρ</m:t>
              </m:r>
            </m:den>
          </m:f>
          <m:r>
            <m:rPr>
              <m:sty m:val="p"/>
            </m:rPr>
            <w:rPr>
              <w:rFonts w:ascii="Cambria Math" w:hAnsi="Cambria Math"/>
            </w:rPr>
            <w:br/>
          </m:r>
        </m:oMath>
      </m:oMathPara>
    </w:p>
    <w:p w14:paraId="7FF9D049" w14:textId="77777777" w:rsidR="005F474B" w:rsidRPr="0000452B" w:rsidRDefault="005F474B" w:rsidP="005F474B">
      <w:r w:rsidRPr="0000452B">
        <w:t>such that the mean free path can be written as:</w:t>
      </w:r>
    </w:p>
    <w:p w14:paraId="2DB88332" w14:textId="77777777" w:rsidR="005F474B" w:rsidRPr="0000452B" w:rsidRDefault="004034C6" w:rsidP="005F474B">
      <m:oMathPara>
        <m:oMath>
          <m:sSub>
            <m:sSubPr>
              <m:ctrlPr>
                <w:rPr>
                  <w:rFonts w:ascii="Cambria Math" w:hAnsi="Cambria Math"/>
                </w:rPr>
              </m:ctrlPr>
            </m:sSubPr>
            <m:e>
              <m:r>
                <m:rPr>
                  <m:scr m:val="script"/>
                  <m:sty m:val="p"/>
                </m:rPr>
                <w:rPr>
                  <w:rFonts w:ascii="Cambria Math" w:hAnsi="Cambria Math"/>
                </w:rPr>
                <m:t>l</m:t>
              </m:r>
            </m:e>
            <m:sub>
              <m:r>
                <w:rPr>
                  <w:rFonts w:ascii="Cambria Math" w:hAnsi="Cambria Math"/>
                </w:rPr>
                <m:t>e</m:t>
              </m:r>
            </m:sub>
          </m:sSub>
          <m:r>
            <w:rPr>
              <w:rFonts w:ascii="Cambria Math" w:hAnsi="Cambria Math"/>
            </w:rPr>
            <m:t>=</m:t>
          </m:r>
          <m:f>
            <m:fPr>
              <m:ctrlPr>
                <w:rPr>
                  <w:rFonts w:ascii="Cambria Math" w:hAnsi="Cambria Math"/>
                </w:rPr>
              </m:ctrlPr>
            </m:fPr>
            <m:num>
              <m:r>
                <w:rPr>
                  <w:rFonts w:ascii="Cambria Math" w:hAnsi="Cambria Math"/>
                </w:rPr>
                <m:t>m</m:t>
              </m:r>
              <m:sSub>
                <m:sSubPr>
                  <m:ctrlPr>
                    <w:rPr>
                      <w:rFonts w:ascii="Cambria Math" w:hAnsi="Cambria Math"/>
                    </w:rPr>
                  </m:ctrlPr>
                </m:sSubPr>
                <m:e>
                  <m:r>
                    <w:rPr>
                      <w:rFonts w:ascii="Cambria Math" w:hAnsi="Cambria Math"/>
                    </w:rPr>
                    <m:t>v</m:t>
                  </m:r>
                </m:e>
                <m:sub>
                  <m:r>
                    <w:rPr>
                      <w:rFonts w:ascii="Cambria Math" w:hAnsi="Cambria Math"/>
                    </w:rPr>
                    <m:t>F</m:t>
                  </m:r>
                </m:sub>
              </m:sSub>
            </m:num>
            <m:den>
              <m:r>
                <w:rPr>
                  <w:rFonts w:ascii="Cambria Math" w:hAnsi="Cambria Math"/>
                </w:rPr>
                <m:t>n</m:t>
              </m:r>
              <m:sSup>
                <m:sSupPr>
                  <m:ctrlPr>
                    <w:rPr>
                      <w:rFonts w:ascii="Cambria Math" w:hAnsi="Cambria Math"/>
                    </w:rPr>
                  </m:ctrlPr>
                </m:sSupPr>
                <m:e>
                  <m:r>
                    <w:rPr>
                      <w:rFonts w:ascii="Cambria Math" w:hAnsi="Cambria Math"/>
                    </w:rPr>
                    <m:t>e</m:t>
                  </m:r>
                </m:e>
                <m:sup>
                  <m:r>
                    <w:rPr>
                      <w:rFonts w:ascii="Cambria Math" w:hAnsi="Cambria Math"/>
                    </w:rPr>
                    <m:t>2</m:t>
                  </m:r>
                </m:sup>
              </m:sSup>
              <m:r>
                <w:rPr>
                  <w:rFonts w:ascii="Cambria Math" w:hAnsi="Cambria Math"/>
                </w:rPr>
                <m:t>ρ</m:t>
              </m:r>
            </m:den>
          </m:f>
          <m:r>
            <m:rPr>
              <m:sty m:val="p"/>
            </m:rPr>
            <w:rPr>
              <w:rFonts w:ascii="Cambria Math" w:hAnsi="Cambria Math"/>
            </w:rPr>
            <w:br/>
          </m:r>
        </m:oMath>
      </m:oMathPara>
    </w:p>
    <w:p w14:paraId="1A8DE69D" w14:textId="2BED27A9" w:rsidR="005F474B" w:rsidRPr="0000452B" w:rsidRDefault="005F474B" w:rsidP="005F474B">
      <w:r w:rsidRPr="0000452B">
        <w:t xml:space="preserve">where </w:t>
      </w:r>
      <m:oMath>
        <m:r>
          <w:rPr>
            <w:rFonts w:ascii="Cambria Math" w:hAnsi="Cambria Math"/>
          </w:rPr>
          <m:t xml:space="preserve">m </m:t>
        </m:r>
      </m:oMath>
      <w:r w:rsidRPr="0000452B">
        <w:t>is the electron mass (</w:t>
      </w:r>
      <m:oMath>
        <m:r>
          <w:rPr>
            <w:rFonts w:ascii="Cambria Math" w:hAnsi="Cambria Math"/>
          </w:rPr>
          <m:t>9.11×</m:t>
        </m:r>
        <m:sSup>
          <m:sSupPr>
            <m:ctrlPr>
              <w:rPr>
                <w:rFonts w:ascii="Cambria Math" w:hAnsi="Cambria Math"/>
              </w:rPr>
            </m:ctrlPr>
          </m:sSupPr>
          <m:e>
            <m:r>
              <w:rPr>
                <w:rFonts w:ascii="Cambria Math" w:hAnsi="Cambria Math"/>
              </w:rPr>
              <m:t>10</m:t>
            </m:r>
          </m:e>
          <m:sup>
            <m:r>
              <w:rPr>
                <w:rFonts w:ascii="Cambria Math" w:hAnsi="Cambria Math"/>
              </w:rPr>
              <m:t>-31</m:t>
            </m:r>
          </m:sup>
        </m:sSup>
        <m:r>
          <w:rPr>
            <w:rFonts w:ascii="Cambria Math" w:hAnsi="Cambria Math"/>
          </w:rPr>
          <m:t xml:space="preserve"> </m:t>
        </m:r>
      </m:oMath>
      <w:r w:rsidRPr="0000452B">
        <w:t xml:space="preserve">kg), </w:t>
      </w:r>
      <m:oMath>
        <m:r>
          <w:rPr>
            <w:rFonts w:ascii="Cambria Math" w:hAnsi="Cambria Math"/>
          </w:rPr>
          <m:t xml:space="preserve">e </m:t>
        </m:r>
      </m:oMath>
      <w:r w:rsidRPr="0000452B">
        <w:t>is the elementary charge (</w:t>
      </w:r>
      <m:oMath>
        <m:r>
          <w:rPr>
            <w:rFonts w:ascii="Cambria Math" w:hAnsi="Cambria Math"/>
          </w:rPr>
          <m:t>1.602×</m:t>
        </m:r>
        <m:sSup>
          <m:sSupPr>
            <m:ctrlPr>
              <w:rPr>
                <w:rFonts w:ascii="Cambria Math" w:hAnsi="Cambria Math"/>
              </w:rPr>
            </m:ctrlPr>
          </m:sSupPr>
          <m:e>
            <m:r>
              <w:rPr>
                <w:rFonts w:ascii="Cambria Math" w:hAnsi="Cambria Math"/>
              </w:rPr>
              <m:t>10</m:t>
            </m:r>
          </m:e>
          <m:sup>
            <m:r>
              <w:rPr>
                <w:rFonts w:ascii="Cambria Math" w:hAnsi="Cambria Math"/>
              </w:rPr>
              <m:t>-19</m:t>
            </m:r>
          </m:sup>
        </m:sSup>
        <m:r>
          <w:rPr>
            <w:rFonts w:ascii="Cambria Math" w:hAnsi="Cambria Math"/>
          </w:rPr>
          <m:t xml:space="preserve"> </m:t>
        </m:r>
      </m:oMath>
      <w:r w:rsidRPr="0000452B">
        <w:t xml:space="preserve">C), </w:t>
      </w:r>
      <m:oMath>
        <m:r>
          <w:rPr>
            <w:rFonts w:ascii="Cambria Math" w:hAnsi="Cambria Math"/>
          </w:rPr>
          <m:t>n</m:t>
        </m:r>
      </m:oMath>
      <w:r w:rsidRPr="0000452B">
        <w:rPr>
          <w:rFonts w:eastAsiaTheme="minorEastAsia"/>
        </w:rPr>
        <w:t xml:space="preserve"> </w:t>
      </w:r>
      <w:r w:rsidRPr="0000452B">
        <w:t xml:space="preserve">is the electron density </w:t>
      </w:r>
      <m:oMath>
        <m:r>
          <w:rPr>
            <w:rFonts w:ascii="Cambria Math" w:hAnsi="Cambria Math"/>
          </w:rPr>
          <m:t>(8.47×</m:t>
        </m:r>
        <m:sSup>
          <m:sSupPr>
            <m:ctrlPr>
              <w:rPr>
                <w:rFonts w:ascii="Cambria Math" w:hAnsi="Cambria Math"/>
              </w:rPr>
            </m:ctrlPr>
          </m:sSupPr>
          <m:e>
            <m:r>
              <w:rPr>
                <w:rFonts w:ascii="Cambria Math" w:hAnsi="Cambria Math"/>
              </w:rPr>
              <m:t>10</m:t>
            </m:r>
          </m:e>
          <m:sup>
            <m:r>
              <w:rPr>
                <w:rFonts w:ascii="Cambria Math" w:hAnsi="Cambria Math"/>
              </w:rPr>
              <m:t>28</m:t>
            </m:r>
          </m:sup>
        </m:sSup>
        <m:sSup>
          <m:sSupPr>
            <m:ctrlPr>
              <w:rPr>
                <w:rFonts w:ascii="Cambria Math" w:hAnsi="Cambria Math"/>
              </w:rPr>
            </m:ctrlPr>
          </m:sSupPr>
          <m:e>
            <m:r>
              <m:rPr>
                <m:sty m:val="p"/>
              </m:rPr>
              <w:rPr>
                <w:rFonts w:ascii="Cambria Math" w:hAnsi="Cambria Math"/>
              </w:rPr>
              <m:t xml:space="preserve"> m</m:t>
            </m:r>
          </m:e>
          <m:sup>
            <m:r>
              <w:rPr>
                <w:rFonts w:ascii="Cambria Math" w:hAnsi="Cambria Math"/>
              </w:rPr>
              <m:t>-3</m:t>
            </m:r>
          </m:sup>
        </m:sSup>
      </m:oMath>
      <w:r w:rsidRPr="0000452B">
        <w:rPr>
          <w:rFonts w:eastAsiaTheme="minorEastAsia"/>
        </w:rPr>
        <w:t>)</w:t>
      </w:r>
      <w:r w:rsidRPr="0000452B">
        <w:t xml:space="preserve">, and </w:t>
      </w:r>
      <m:oMath>
        <m:r>
          <w:rPr>
            <w:rFonts w:ascii="Cambria Math" w:hAnsi="Cambria Math"/>
          </w:rPr>
          <m:t xml:space="preserve">ρ </m:t>
        </m:r>
      </m:oMath>
      <w:r w:rsidRPr="0000452B">
        <w:t xml:space="preserve">is electrical resistivity at various temperatures as provided in </w:t>
      </w:r>
      <w:r w:rsidR="00DE39FF" w:rsidRPr="0000452B">
        <w:t>Supplementary Table</w:t>
      </w:r>
      <w:r w:rsidRPr="0000452B">
        <w:t xml:space="preserve"> </w:t>
      </w:r>
      <w:r w:rsidR="007578D8" w:rsidRPr="0000452B">
        <w:t>2 below</w:t>
      </w:r>
      <w:r w:rsidRPr="0000452B">
        <w:t>.</w:t>
      </w:r>
    </w:p>
    <w:p w14:paraId="561B97E9" w14:textId="2AA54F80" w:rsidR="005F474B" w:rsidRPr="0000452B" w:rsidRDefault="005F474B" w:rsidP="005F474B">
      <w:r w:rsidRPr="0000452B">
        <w:t> </w:t>
      </w:r>
    </w:p>
    <w:p w14:paraId="4F0132AE" w14:textId="77777777" w:rsidR="002D594A" w:rsidRPr="0000452B" w:rsidRDefault="002D594A" w:rsidP="005F474B">
      <w:pPr>
        <w:rPr>
          <w:b/>
          <w:bCs/>
        </w:rPr>
      </w:pPr>
    </w:p>
    <w:p w14:paraId="34511E32" w14:textId="44174175" w:rsidR="005F474B" w:rsidRPr="0000452B" w:rsidRDefault="00DE39FF" w:rsidP="005F474B">
      <w:r w:rsidRPr="0000452B">
        <w:rPr>
          <w:b/>
          <w:bCs/>
        </w:rPr>
        <w:t>Supplementary Table</w:t>
      </w:r>
      <w:r w:rsidR="005F474B" w:rsidRPr="0000452B">
        <w:rPr>
          <w:b/>
          <w:bCs/>
        </w:rPr>
        <w:t xml:space="preserve"> 2. Temperature-dependent electrical resistivity of pure copper</w:t>
      </w:r>
      <w:r w:rsidR="005F474B" w:rsidRPr="0000452B">
        <w:rPr>
          <w:vertAlign w:val="superscript"/>
        </w:rPr>
        <w:t xml:space="preserve"> a</w:t>
      </w:r>
    </w:p>
    <w:p w14:paraId="27002FD8" w14:textId="77777777" w:rsidR="005F474B" w:rsidRPr="0000452B" w:rsidRDefault="005F474B" w:rsidP="005F474B">
      <w:pPr>
        <w:jc w:val="center"/>
      </w:pPr>
    </w:p>
    <w:tbl>
      <w:tblPr>
        <w:tblStyle w:val="GridTable1Light"/>
        <w:tblW w:w="0" w:type="auto"/>
        <w:jc w:val="center"/>
        <w:tblLook w:val="04A0" w:firstRow="1" w:lastRow="0" w:firstColumn="1" w:lastColumn="0" w:noHBand="0" w:noVBand="1"/>
      </w:tblPr>
      <w:tblGrid>
        <w:gridCol w:w="1902"/>
        <w:gridCol w:w="1307"/>
      </w:tblGrid>
      <w:tr w:rsidR="005F474B" w:rsidRPr="0000452B" w14:paraId="011B034D" w14:textId="77777777" w:rsidTr="000C0FD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38367A"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Temperature (°C)</w:t>
            </w:r>
          </w:p>
        </w:tc>
        <w:tc>
          <w:tcPr>
            <w:tcW w:w="0" w:type="auto"/>
            <w:vAlign w:val="center"/>
            <w:hideMark/>
          </w:tcPr>
          <w:p w14:paraId="008ECB54" w14:textId="77777777" w:rsidR="005F474B" w:rsidRPr="0000452B" w:rsidRDefault="005F474B" w:rsidP="000C0FDF">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m:oMath>
              <m:r>
                <m:rPr>
                  <m:sty m:val="bi"/>
                </m:rPr>
                <w:rPr>
                  <w:rFonts w:ascii="Cambria Math" w:hAnsi="Cambria Math" w:cs="Times New Roman"/>
                </w:rPr>
                <m:t>ρ</m:t>
              </m:r>
            </m:oMath>
            <w:r w:rsidRPr="0000452B">
              <w:rPr>
                <w:rFonts w:ascii="Times New Roman" w:hAnsi="Times New Roman" w:cs="Times New Roman"/>
                <w:b w:val="0"/>
                <w:bCs w:val="0"/>
              </w:rPr>
              <w:t>(Ω·m)</w:t>
            </w:r>
          </w:p>
        </w:tc>
      </w:tr>
      <w:tr w:rsidR="005F474B" w:rsidRPr="0000452B" w14:paraId="53262E4E"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5A53C7"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25</w:t>
            </w:r>
          </w:p>
        </w:tc>
        <w:tc>
          <w:tcPr>
            <w:tcW w:w="0" w:type="auto"/>
            <w:vAlign w:val="center"/>
            <w:hideMark/>
          </w:tcPr>
          <w:p w14:paraId="184CBE1D"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1.7×</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101FEEFF"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CB49EA"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100</w:t>
            </w:r>
          </w:p>
        </w:tc>
        <w:tc>
          <w:tcPr>
            <w:tcW w:w="0" w:type="auto"/>
            <w:vAlign w:val="center"/>
            <w:hideMark/>
          </w:tcPr>
          <w:p w14:paraId="63DF7F35"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2.2×</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1E2B6481"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205ED7"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200</w:t>
            </w:r>
          </w:p>
        </w:tc>
        <w:tc>
          <w:tcPr>
            <w:tcW w:w="0" w:type="auto"/>
            <w:vAlign w:val="center"/>
            <w:hideMark/>
          </w:tcPr>
          <w:p w14:paraId="58E32C68"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2.9×</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47D5CA72"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BB70B9"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300</w:t>
            </w:r>
          </w:p>
        </w:tc>
        <w:tc>
          <w:tcPr>
            <w:tcW w:w="0" w:type="auto"/>
            <w:vAlign w:val="center"/>
            <w:hideMark/>
          </w:tcPr>
          <w:p w14:paraId="0EE0241B"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3.6×</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14DA68B0"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C44F74"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400</w:t>
            </w:r>
          </w:p>
        </w:tc>
        <w:tc>
          <w:tcPr>
            <w:tcW w:w="0" w:type="auto"/>
            <w:vAlign w:val="center"/>
            <w:hideMark/>
          </w:tcPr>
          <w:p w14:paraId="5928FF63"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4.3×</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79F744D4" w14:textId="77777777" w:rsidTr="000C0FD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9EED4BF"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500</w:t>
            </w:r>
          </w:p>
        </w:tc>
        <w:tc>
          <w:tcPr>
            <w:tcW w:w="0" w:type="auto"/>
            <w:vAlign w:val="center"/>
            <w:hideMark/>
          </w:tcPr>
          <w:p w14:paraId="7A646EB0"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5.1×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r w:rsidR="005F474B" w:rsidRPr="0000452B" w14:paraId="29208B56" w14:textId="77777777" w:rsidTr="000C0FDF">
        <w:trPr>
          <w:trHeight w:val="5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1872A0"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600</w:t>
            </w:r>
          </w:p>
        </w:tc>
        <w:tc>
          <w:tcPr>
            <w:tcW w:w="0" w:type="auto"/>
            <w:vAlign w:val="center"/>
            <w:hideMark/>
          </w:tcPr>
          <w:p w14:paraId="2AF23679"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5.8×</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m:oMathPara>
          </w:p>
        </w:tc>
      </w:tr>
    </w:tbl>
    <w:p w14:paraId="608E31BD" w14:textId="77777777" w:rsidR="005F474B" w:rsidRPr="0000452B" w:rsidRDefault="005F474B" w:rsidP="005F474B">
      <w:pPr>
        <w:rPr>
          <w:vertAlign w:val="superscript"/>
        </w:rPr>
      </w:pPr>
    </w:p>
    <w:p w14:paraId="4A171526" w14:textId="490031C2" w:rsidR="005F474B" w:rsidRPr="0000452B" w:rsidRDefault="005F474B" w:rsidP="005F474B">
      <w:proofErr w:type="spellStart"/>
      <w:proofErr w:type="gramStart"/>
      <w:r w:rsidRPr="0000452B">
        <w:rPr>
          <w:vertAlign w:val="superscript"/>
        </w:rPr>
        <w:t>a</w:t>
      </w:r>
      <w:proofErr w:type="spellEnd"/>
      <w:proofErr w:type="gramEnd"/>
      <w:r w:rsidR="004F127A" w:rsidRPr="0000452B">
        <w:rPr>
          <w:vertAlign w:val="superscript"/>
        </w:rPr>
        <w:t xml:space="preserve"> </w:t>
      </w:r>
      <w:r w:rsidRPr="0000452B">
        <w:t>Electrical resistivity values for pure copper were obtained from the recommended values reported by Matula</w:t>
      </w:r>
      <w:r w:rsidR="00706C77" w:rsidRPr="0000452B">
        <w:rPr>
          <w:vertAlign w:val="superscript"/>
        </w:rPr>
        <w:t>3</w:t>
      </w:r>
      <w:r w:rsidRPr="0000452B">
        <w:t xml:space="preserve">. The resistivities listed in </w:t>
      </w:r>
      <w:r w:rsidR="00DE39FF" w:rsidRPr="0000452B">
        <w:t>Supplementary Table</w:t>
      </w:r>
      <w:r w:rsidRPr="0000452B">
        <w:t xml:space="preserve"> </w:t>
      </w:r>
      <w:r w:rsidR="00044F2C" w:rsidRPr="0000452B">
        <w:t>2</w:t>
      </w:r>
      <w:r w:rsidRPr="0000452B">
        <w:t xml:space="preserve"> are corrected for thermal expansion. Values at temperatures not explicitly tabulated were obtained using the interpolation procedure recommended by </w:t>
      </w:r>
      <w:r w:rsidR="00810F65" w:rsidRPr="0000452B">
        <w:t>Matula</w:t>
      </w:r>
      <w:r w:rsidR="00706C77" w:rsidRPr="0000452B">
        <w:rPr>
          <w:vertAlign w:val="superscript"/>
        </w:rPr>
        <w:t>3</w:t>
      </w:r>
      <w:r w:rsidR="00810F65" w:rsidRPr="0000452B">
        <w:t xml:space="preserve"> </w:t>
      </w:r>
      <w:r w:rsidRPr="0000452B">
        <w:t>for the solid state.</w:t>
      </w:r>
    </w:p>
    <w:p w14:paraId="285BA85E" w14:textId="77777777" w:rsidR="007578D8" w:rsidRPr="0000452B" w:rsidRDefault="007578D8" w:rsidP="005F474B"/>
    <w:p w14:paraId="23133D83" w14:textId="77777777" w:rsidR="007578D8" w:rsidRPr="0000452B" w:rsidRDefault="007578D8" w:rsidP="005F474B"/>
    <w:p w14:paraId="056A6E83" w14:textId="77777777" w:rsidR="007578D8" w:rsidRPr="0000452B" w:rsidRDefault="007578D8" w:rsidP="005F474B"/>
    <w:p w14:paraId="29B6AB64" w14:textId="77777777" w:rsidR="007578D8" w:rsidRPr="0000452B" w:rsidRDefault="007578D8" w:rsidP="005F474B"/>
    <w:p w14:paraId="44AB464E" w14:textId="77777777" w:rsidR="007578D8" w:rsidRPr="0000452B" w:rsidRDefault="007578D8" w:rsidP="005F474B"/>
    <w:p w14:paraId="3003381D" w14:textId="77777777" w:rsidR="007578D8" w:rsidRPr="0000452B" w:rsidRDefault="007578D8" w:rsidP="005F474B"/>
    <w:p w14:paraId="0E0EF4FE" w14:textId="77777777" w:rsidR="00413B97" w:rsidRPr="0000452B" w:rsidRDefault="00413B97" w:rsidP="005F474B">
      <w:pPr>
        <w:rPr>
          <w:b/>
          <w:bCs/>
        </w:rPr>
      </w:pPr>
    </w:p>
    <w:p w14:paraId="36F8C690" w14:textId="77777777" w:rsidR="004F127A" w:rsidRPr="0000452B" w:rsidRDefault="004F127A" w:rsidP="005F474B">
      <w:pPr>
        <w:rPr>
          <w:b/>
          <w:bCs/>
        </w:rPr>
      </w:pPr>
    </w:p>
    <w:p w14:paraId="210BB613" w14:textId="15736139" w:rsidR="005F474B" w:rsidRPr="0000452B" w:rsidRDefault="00DE39FF" w:rsidP="005F474B">
      <w:r w:rsidRPr="0000452B">
        <w:rPr>
          <w:b/>
          <w:bCs/>
        </w:rPr>
        <w:t>Supplementary Table</w:t>
      </w:r>
      <w:r w:rsidR="005F474B" w:rsidRPr="0000452B">
        <w:rPr>
          <w:b/>
          <w:bCs/>
        </w:rPr>
        <w:t xml:space="preserve"> 3. Estimated electron mean free path in pure copper as a function of temperature</w:t>
      </w:r>
    </w:p>
    <w:tbl>
      <w:tblPr>
        <w:tblStyle w:val="GridTable1Light"/>
        <w:tblW w:w="0" w:type="auto"/>
        <w:jc w:val="center"/>
        <w:tblLook w:val="04A0" w:firstRow="1" w:lastRow="0" w:firstColumn="1" w:lastColumn="0" w:noHBand="0" w:noVBand="1"/>
      </w:tblPr>
      <w:tblGrid>
        <w:gridCol w:w="1902"/>
        <w:gridCol w:w="921"/>
      </w:tblGrid>
      <w:tr w:rsidR="005F474B" w:rsidRPr="0000452B" w14:paraId="21CAFF26" w14:textId="77777777" w:rsidTr="000C0F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54AF19"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lastRenderedPageBreak/>
              <w:t>Temperature (°C)</w:t>
            </w:r>
          </w:p>
        </w:tc>
        <w:tc>
          <w:tcPr>
            <w:tcW w:w="0" w:type="auto"/>
            <w:vAlign w:val="center"/>
            <w:hideMark/>
          </w:tcPr>
          <w:p w14:paraId="20CE34C4" w14:textId="77777777" w:rsidR="005F474B" w:rsidRPr="0000452B" w:rsidRDefault="004034C6" w:rsidP="000C0FDF">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m:oMath>
              <m:sSub>
                <m:sSubPr>
                  <m:ctrlPr>
                    <w:rPr>
                      <w:rFonts w:ascii="Cambria Math" w:hAnsi="Cambria Math" w:cs="Times New Roman"/>
                      <w:b w:val="0"/>
                      <w:bCs w:val="0"/>
                    </w:rPr>
                  </m:ctrlPr>
                </m:sSubPr>
                <m:e>
                  <m:r>
                    <m:rPr>
                      <m:scr m:val="script"/>
                      <m:sty m:val="b"/>
                    </m:rPr>
                    <w:rPr>
                      <w:rFonts w:ascii="Cambria Math" w:hAnsi="Cambria Math" w:cs="Times New Roman"/>
                    </w:rPr>
                    <m:t>l</m:t>
                  </m:r>
                </m:e>
                <m:sub>
                  <m:r>
                    <m:rPr>
                      <m:sty m:val="bi"/>
                    </m:rPr>
                    <w:rPr>
                      <w:rFonts w:ascii="Cambria Math" w:hAnsi="Cambria Math" w:cs="Times New Roman"/>
                    </w:rPr>
                    <m:t>e</m:t>
                  </m:r>
                </m:sub>
              </m:sSub>
            </m:oMath>
            <w:r w:rsidR="005F474B" w:rsidRPr="0000452B">
              <w:rPr>
                <w:rFonts w:ascii="Times New Roman" w:hAnsi="Times New Roman" w:cs="Times New Roman"/>
                <w:b w:val="0"/>
                <w:bCs w:val="0"/>
              </w:rPr>
              <w:t>(nm)</w:t>
            </w:r>
          </w:p>
        </w:tc>
      </w:tr>
      <w:tr w:rsidR="005F474B" w:rsidRPr="0000452B" w14:paraId="7DF563E8"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AB1446"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25</w:t>
            </w:r>
          </w:p>
        </w:tc>
        <w:tc>
          <w:tcPr>
            <w:tcW w:w="0" w:type="auto"/>
            <w:vAlign w:val="center"/>
            <w:hideMark/>
          </w:tcPr>
          <w:p w14:paraId="55356F23"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~39</w:t>
            </w:r>
          </w:p>
        </w:tc>
      </w:tr>
      <w:tr w:rsidR="005F474B" w:rsidRPr="0000452B" w14:paraId="05A150B2"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06C573"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100</w:t>
            </w:r>
          </w:p>
        </w:tc>
        <w:tc>
          <w:tcPr>
            <w:tcW w:w="0" w:type="auto"/>
            <w:vAlign w:val="center"/>
            <w:hideMark/>
          </w:tcPr>
          <w:p w14:paraId="00D1A486"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~30</w:t>
            </w:r>
          </w:p>
        </w:tc>
      </w:tr>
      <w:tr w:rsidR="005F474B" w:rsidRPr="0000452B" w14:paraId="60686785"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A16FFE"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200</w:t>
            </w:r>
          </w:p>
        </w:tc>
        <w:tc>
          <w:tcPr>
            <w:tcW w:w="0" w:type="auto"/>
            <w:vAlign w:val="center"/>
            <w:hideMark/>
          </w:tcPr>
          <w:p w14:paraId="04523282"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~23</w:t>
            </w:r>
          </w:p>
        </w:tc>
      </w:tr>
      <w:tr w:rsidR="005F474B" w:rsidRPr="0000452B" w14:paraId="3613432E"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58317E"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300</w:t>
            </w:r>
          </w:p>
        </w:tc>
        <w:tc>
          <w:tcPr>
            <w:tcW w:w="0" w:type="auto"/>
            <w:vAlign w:val="center"/>
            <w:hideMark/>
          </w:tcPr>
          <w:p w14:paraId="726F6219"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~18</w:t>
            </w:r>
          </w:p>
        </w:tc>
      </w:tr>
      <w:tr w:rsidR="005F474B" w:rsidRPr="0000452B" w14:paraId="38899636"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051D58"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400</w:t>
            </w:r>
          </w:p>
        </w:tc>
        <w:tc>
          <w:tcPr>
            <w:tcW w:w="0" w:type="auto"/>
            <w:vAlign w:val="center"/>
            <w:hideMark/>
          </w:tcPr>
          <w:p w14:paraId="0B438673"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~15</w:t>
            </w:r>
          </w:p>
        </w:tc>
      </w:tr>
      <w:tr w:rsidR="005F474B" w:rsidRPr="0000452B" w14:paraId="6645A2CF"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546472"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500</w:t>
            </w:r>
          </w:p>
        </w:tc>
        <w:tc>
          <w:tcPr>
            <w:tcW w:w="0" w:type="auto"/>
            <w:vAlign w:val="center"/>
            <w:hideMark/>
          </w:tcPr>
          <w:p w14:paraId="6D9E202F"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~13</w:t>
            </w:r>
          </w:p>
        </w:tc>
      </w:tr>
      <w:tr w:rsidR="005F474B" w:rsidRPr="0000452B" w14:paraId="2ABB78DB" w14:textId="77777777" w:rsidTr="000C0FDF">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83C33B" w14:textId="77777777" w:rsidR="005F474B" w:rsidRPr="0000452B" w:rsidRDefault="005F474B" w:rsidP="000C0FDF">
            <w:pPr>
              <w:spacing w:after="160" w:line="278" w:lineRule="auto"/>
              <w:jc w:val="center"/>
              <w:rPr>
                <w:rFonts w:ascii="Times New Roman" w:hAnsi="Times New Roman" w:cs="Times New Roman"/>
                <w:b w:val="0"/>
                <w:bCs w:val="0"/>
              </w:rPr>
            </w:pPr>
            <w:r w:rsidRPr="0000452B">
              <w:rPr>
                <w:rFonts w:ascii="Times New Roman" w:hAnsi="Times New Roman" w:cs="Times New Roman"/>
                <w:b w:val="0"/>
                <w:bCs w:val="0"/>
              </w:rPr>
              <w:t>600</w:t>
            </w:r>
          </w:p>
        </w:tc>
        <w:tc>
          <w:tcPr>
            <w:tcW w:w="0" w:type="auto"/>
            <w:vAlign w:val="center"/>
            <w:hideMark/>
          </w:tcPr>
          <w:p w14:paraId="11E574B8" w14:textId="77777777" w:rsidR="005F474B" w:rsidRPr="0000452B" w:rsidRDefault="005F474B" w:rsidP="000C0FDF">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452B">
              <w:rPr>
                <w:rFonts w:ascii="Times New Roman" w:hAnsi="Times New Roman" w:cs="Times New Roman"/>
              </w:rPr>
              <w:t>~11</w:t>
            </w:r>
          </w:p>
        </w:tc>
      </w:tr>
    </w:tbl>
    <w:p w14:paraId="7518445E" w14:textId="77777777" w:rsidR="005F474B" w:rsidRPr="0000452B" w:rsidRDefault="005F474B" w:rsidP="005F474B">
      <w:pPr>
        <w:jc w:val="center"/>
      </w:pPr>
    </w:p>
    <w:p w14:paraId="3F03D00C" w14:textId="77777777" w:rsidR="005F474B" w:rsidRPr="0000452B" w:rsidRDefault="005F474B" w:rsidP="005F474B">
      <w:pPr>
        <w:rPr>
          <w:b/>
          <w:bCs/>
        </w:rPr>
      </w:pPr>
      <w:r w:rsidRPr="0000452B">
        <w:rPr>
          <w:b/>
          <w:bCs/>
        </w:rPr>
        <w:t>Temperature Dependence of the Electron Mean Free Path</w:t>
      </w:r>
    </w:p>
    <w:p w14:paraId="1051269E" w14:textId="77777777" w:rsidR="005F474B" w:rsidRPr="0000452B" w:rsidRDefault="005F474B" w:rsidP="005F474B">
      <w:r w:rsidRPr="0000452B">
        <w:t>These calculations show that in pure copper, the electron mean free path decreases by approximately a factor of four between room temperature and 600 °C.</w:t>
      </w:r>
    </w:p>
    <w:p w14:paraId="14432F1A" w14:textId="77777777" w:rsidR="005F474B" w:rsidRPr="0000452B" w:rsidRDefault="005F474B" w:rsidP="005F474B"/>
    <w:p w14:paraId="7072B8A8" w14:textId="77777777" w:rsidR="005F474B" w:rsidRPr="0000452B" w:rsidRDefault="005F474B" w:rsidP="005F474B">
      <w:pPr>
        <w:rPr>
          <w:b/>
          <w:bCs/>
        </w:rPr>
      </w:pPr>
      <w:r w:rsidRPr="0000452B">
        <w:rPr>
          <w:b/>
          <w:bCs/>
        </w:rPr>
        <w:t>Supplementary Note 3. Estimation of Dislocation Acceleration and Travel Distance</w:t>
      </w:r>
    </w:p>
    <w:p w14:paraId="7C22F86B" w14:textId="26E929AA" w:rsidR="005F474B" w:rsidRPr="0000452B" w:rsidRDefault="005F474B" w:rsidP="005F474B">
      <w:r w:rsidRPr="0000452B">
        <w:t>To determine whether dislocations can reach the high-velocity regime associated with substantial phonon drag, the acceleration of a single dislocation was evaluated using the treatment developed by Gillis and Kratochvil</w:t>
      </w:r>
      <w:r w:rsidR="00706C77" w:rsidRPr="0000452B">
        <w:rPr>
          <w:vertAlign w:val="superscript"/>
        </w:rPr>
        <w:t>4</w:t>
      </w:r>
      <w:r w:rsidRPr="0000452B">
        <w:t>. In this model, dislocation motion is governed by the competition between the driving force produced by the applied resolved shear stress and the opposing drag force. The applied stress acting on an individual dislocation was first estimated from the flow stress measured during microprojectile impact</w:t>
      </w:r>
      <w:r w:rsidR="00706C77" w:rsidRPr="0000452B">
        <w:rPr>
          <w:vertAlign w:val="superscript"/>
        </w:rPr>
        <w:t>5</w:t>
      </w:r>
      <w:r w:rsidRPr="0000452B">
        <w:t xml:space="preserve">. </w:t>
      </w:r>
    </w:p>
    <w:p w14:paraId="64A11695" w14:textId="77777777" w:rsidR="005F474B" w:rsidRPr="0000452B" w:rsidRDefault="005F474B" w:rsidP="005F474B">
      <w:r w:rsidRPr="0000452B">
        <w:t>The effective applied tensile stress was calculated as</w:t>
      </w:r>
    </w:p>
    <w:p w14:paraId="12EC39C2" w14:textId="77777777" w:rsidR="005F474B" w:rsidRPr="0000452B" w:rsidRDefault="004034C6" w:rsidP="005F474B">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w:rPr>
                        <w:rFonts w:ascii="Cambria Math" w:hAnsi="Cambria Math"/>
                      </w:rPr>
                      <m:t>σ</m:t>
                    </m:r>
                  </m:e>
                  <m:sub>
                    <m:r>
                      <m:rPr>
                        <m:sty m:val="p"/>
                      </m:rPr>
                      <w:rPr>
                        <w:rFonts w:ascii="Cambria Math" w:hAnsi="Cambria Math"/>
                      </w:rPr>
                      <m:t>AP</m:t>
                    </m:r>
                  </m:sub>
                </m:sSub>
                <m:r>
                  <w:rPr>
                    <w:rFonts w:ascii="Cambria Math" w:hAnsi="Cambria Math"/>
                  </w:rPr>
                  <m:t>=</m:t>
                </m:r>
                <m:f>
                  <m:fPr>
                    <m:ctrlPr>
                      <w:rPr>
                        <w:rFonts w:ascii="Cambria Math" w:hAnsi="Cambria Math"/>
                      </w:rPr>
                    </m:ctrlPr>
                  </m:fPr>
                  <m:num>
                    <m:r>
                      <w:rPr>
                        <w:rFonts w:ascii="Cambria Math" w:hAnsi="Cambria Math"/>
                      </w:rPr>
                      <m:t>H</m:t>
                    </m:r>
                  </m:num>
                  <m:den>
                    <m:r>
                      <w:rPr>
                        <w:rFonts w:ascii="Cambria Math" w:hAnsi="Cambria Math"/>
                      </w:rPr>
                      <m:t>3</m:t>
                    </m:r>
                  </m:den>
                </m:f>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HP</m:t>
                    </m:r>
                  </m:sub>
                </m:sSub>
                <m: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ROM</m:t>
                    </m:r>
                  </m:sub>
                </m:sSub>
                <m:r>
                  <w:rPr>
                    <w:rFonts w:ascii="Cambria Math" w:hAnsi="Cambria Math"/>
                  </w:rPr>
                  <m:t>,</m:t>
                </m:r>
              </m:e>
              <m:e/>
              <m:e/>
            </m:mr>
          </m:m>
          <m:r>
            <m:rPr>
              <m:sty m:val="p"/>
            </m:rPr>
            <w:br/>
          </m:r>
        </m:oMath>
      </m:oMathPara>
    </w:p>
    <w:p w14:paraId="0B7082F9" w14:textId="6D461960" w:rsidR="005F474B" w:rsidRPr="0000452B" w:rsidRDefault="005F474B" w:rsidP="005F474B">
      <w:r w:rsidRPr="0000452B">
        <w:t xml:space="preserve">where </w:t>
      </w:r>
      <m:oMath>
        <m:r>
          <w:rPr>
            <w:rFonts w:ascii="Cambria Math" w:hAnsi="Cambria Math"/>
          </w:rPr>
          <m:t>H</m:t>
        </m:r>
      </m:oMath>
      <w:r w:rsidRPr="0000452B">
        <w:t xml:space="preserve">is the average hardness measured following microprojectile impact, </w:t>
      </w:r>
      <m:oMath>
        <m:r>
          <w:rPr>
            <w:rFonts w:ascii="Cambria Math" w:hAnsi="Cambria Math"/>
          </w:rPr>
          <m:t>H</m:t>
        </m:r>
        <m:r>
          <m:rPr>
            <m:sty m:val="p"/>
          </m:rPr>
          <w:rPr>
            <w:rFonts w:ascii="Cambria Math" w:hAnsi="Cambria Math"/>
          </w:rPr>
          <m:t>/</m:t>
        </m:r>
        <m:r>
          <w:rPr>
            <w:rFonts w:ascii="Cambria Math" w:hAnsi="Cambria Math"/>
          </w:rPr>
          <m:t>3</m:t>
        </m:r>
      </m:oMath>
      <w:r w:rsidR="00413B97" w:rsidRPr="0000452B">
        <w:t xml:space="preserve"> provides </w:t>
      </w:r>
      <w:r w:rsidRPr="0000452B">
        <w:t xml:space="preserve">an estimate of the corresponding flow stress, </w:t>
      </w:r>
      <m:oMath>
        <m:sSub>
          <m:sSubPr>
            <m:ctrlPr>
              <w:rPr>
                <w:rFonts w:ascii="Cambria Math" w:hAnsi="Cambria Math"/>
              </w:rPr>
            </m:ctrlPr>
          </m:sSubPr>
          <m:e>
            <m:r>
              <w:rPr>
                <w:rFonts w:ascii="Cambria Math" w:hAnsi="Cambria Math"/>
              </w:rPr>
              <m:t>σ</m:t>
            </m:r>
          </m:e>
          <m:sub>
            <m:r>
              <w:rPr>
                <w:rFonts w:ascii="Cambria Math" w:hAnsi="Cambria Math"/>
              </w:rPr>
              <m:t xml:space="preserve">0 </m:t>
            </m:r>
          </m:sub>
        </m:sSub>
      </m:oMath>
      <w:r w:rsidRPr="0000452B">
        <w:t xml:space="preserve">is the threshold stress associated with thermally activated dislocation glide, </w:t>
      </w:r>
      <m:oMath>
        <m:sSub>
          <m:sSubPr>
            <m:ctrlPr>
              <w:rPr>
                <w:rFonts w:ascii="Cambria Math" w:hAnsi="Cambria Math"/>
              </w:rPr>
            </m:ctrlPr>
          </m:sSubPr>
          <m:e>
            <m:r>
              <w:rPr>
                <w:rFonts w:ascii="Cambria Math" w:hAnsi="Cambria Math"/>
              </w:rPr>
              <m:t>σ</m:t>
            </m:r>
          </m:e>
          <m:sub>
            <m:r>
              <m:rPr>
                <m:sty m:val="p"/>
              </m:rPr>
              <w:rPr>
                <w:rFonts w:ascii="Cambria Math" w:hAnsi="Cambria Math"/>
              </w:rPr>
              <m:t>HP</m:t>
            </m:r>
          </m:sub>
        </m:sSub>
        <m:r>
          <w:rPr>
            <w:rFonts w:ascii="Cambria Math" w:hAnsi="Cambria Math"/>
          </w:rPr>
          <m:t xml:space="preserve"> </m:t>
        </m:r>
      </m:oMath>
      <w:r w:rsidRPr="0000452B">
        <w:t xml:space="preserve">is the Hall–Petch contribution, and </w:t>
      </w:r>
      <m:oMath>
        <m:sSub>
          <m:sSubPr>
            <m:ctrlPr>
              <w:rPr>
                <w:rFonts w:ascii="Cambria Math" w:hAnsi="Cambria Math"/>
              </w:rPr>
            </m:ctrlPr>
          </m:sSubPr>
          <m:e>
            <m:r>
              <w:rPr>
                <w:rFonts w:ascii="Cambria Math" w:hAnsi="Cambria Math"/>
              </w:rPr>
              <m:t>σ</m:t>
            </m:r>
          </m:e>
          <m:sub>
            <m:r>
              <m:rPr>
                <m:sty m:val="p"/>
              </m:rPr>
              <w:rPr>
                <w:rFonts w:ascii="Cambria Math" w:hAnsi="Cambria Math"/>
              </w:rPr>
              <m:t>ROM</m:t>
            </m:r>
          </m:sub>
        </m:sSub>
        <m:r>
          <w:rPr>
            <w:rFonts w:ascii="Cambria Math" w:hAnsi="Cambria Math"/>
          </w:rPr>
          <m:t xml:space="preserve"> </m:t>
        </m:r>
      </m:oMath>
      <w:r w:rsidRPr="0000452B">
        <w:t>is the contribution from the Ta-rich clusters.</w:t>
      </w:r>
    </w:p>
    <w:p w14:paraId="79DFD485" w14:textId="77777777" w:rsidR="00413B97" w:rsidRPr="0000452B" w:rsidRDefault="00413B97" w:rsidP="005F474B"/>
    <w:p w14:paraId="765D4679" w14:textId="2CE575AA" w:rsidR="005F474B" w:rsidRPr="0000452B" w:rsidRDefault="005F474B" w:rsidP="005F474B">
      <w:r w:rsidRPr="0000452B">
        <w:t>The Hall–Petch contribution was calculated as</w:t>
      </w:r>
    </w:p>
    <w:p w14:paraId="73657CC0" w14:textId="77777777" w:rsidR="005F474B" w:rsidRPr="0000452B" w:rsidRDefault="004034C6" w:rsidP="005F474B">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w:rPr>
                        <w:rFonts w:ascii="Cambria Math" w:hAnsi="Cambria Math"/>
                      </w:rPr>
                      <m:t>σ</m:t>
                    </m:r>
                  </m:e>
                  <m:sub>
                    <m:r>
                      <m:rPr>
                        <m:sty m:val="p"/>
                      </m:rPr>
                      <w:rPr>
                        <w:rFonts w:ascii="Cambria Math" w:hAnsi="Cambria Math"/>
                      </w:rPr>
                      <m:t>HP</m:t>
                    </m:r>
                  </m:sub>
                </m:sSub>
                <m:r>
                  <w:rPr>
                    <w:rFonts w:ascii="Cambria Math" w:hAnsi="Cambria Math"/>
                  </w:rPr>
                  <m:t>=k</m:t>
                </m:r>
                <m:sSup>
                  <m:sSupPr>
                    <m:ctrlPr>
                      <w:rPr>
                        <w:rFonts w:ascii="Cambria Math" w:hAnsi="Cambria Math"/>
                      </w:rPr>
                    </m:ctrlPr>
                  </m:sSupPr>
                  <m:e>
                    <m:r>
                      <w:rPr>
                        <w:rFonts w:ascii="Cambria Math" w:hAnsi="Cambria Math"/>
                      </w:rPr>
                      <m:t>d</m:t>
                    </m:r>
                  </m:e>
                  <m:sup>
                    <m:r>
                      <w:rPr>
                        <w:rFonts w:ascii="Cambria Math" w:hAnsi="Cambria Math"/>
                      </w:rPr>
                      <m:t>-1</m:t>
                    </m:r>
                    <m:r>
                      <m:rPr>
                        <m:sty m:val="p"/>
                      </m:rPr>
                      <w:rPr>
                        <w:rFonts w:ascii="Cambria Math" w:hAnsi="Cambria Math"/>
                      </w:rPr>
                      <m:t>/</m:t>
                    </m:r>
                    <m:r>
                      <w:rPr>
                        <w:rFonts w:ascii="Cambria Math" w:hAnsi="Cambria Math"/>
                      </w:rPr>
                      <m:t>2</m:t>
                    </m:r>
                  </m:sup>
                </m:sSup>
                <m:r>
                  <w:rPr>
                    <w:rFonts w:ascii="Cambria Math" w:hAnsi="Cambria Math"/>
                  </w:rPr>
                  <m:t>,</m:t>
                </m:r>
              </m:e>
              <m:e/>
              <m:e/>
            </m:mr>
          </m:m>
          <m:r>
            <m:rPr>
              <m:sty m:val="p"/>
            </m:rPr>
            <w:br/>
          </m:r>
        </m:oMath>
      </m:oMathPara>
    </w:p>
    <w:p w14:paraId="176FC811" w14:textId="46481D31" w:rsidR="005F474B" w:rsidRPr="0000452B" w:rsidRDefault="005F474B" w:rsidP="005F474B">
      <w:r w:rsidRPr="0000452B">
        <w:t xml:space="preserve">where </w:t>
      </w:r>
      <m:oMath>
        <m:r>
          <w:rPr>
            <w:rFonts w:ascii="Cambria Math" w:hAnsi="Cambria Math"/>
          </w:rPr>
          <m:t xml:space="preserve">k </m:t>
        </m:r>
      </m:oMath>
      <w:r w:rsidRPr="0000452B">
        <w:t xml:space="preserve">is the Hall–Petch coefficient and </w:t>
      </w:r>
      <m:oMath>
        <m:r>
          <w:rPr>
            <w:rFonts w:ascii="Cambria Math" w:hAnsi="Cambria Math"/>
          </w:rPr>
          <m:t xml:space="preserve">d </m:t>
        </m:r>
      </m:oMath>
      <w:r w:rsidRPr="0000452B">
        <w:t>is the average grain size. The contribution associated with the Ta-rich clusters was estimated using</w:t>
      </w:r>
    </w:p>
    <w:p w14:paraId="365AE076" w14:textId="77777777" w:rsidR="005F474B" w:rsidRPr="0000452B" w:rsidRDefault="004034C6" w:rsidP="005F474B">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w:rPr>
                        <w:rFonts w:ascii="Cambria Math" w:hAnsi="Cambria Math"/>
                      </w:rPr>
                      <m:t>σ</m:t>
                    </m:r>
                  </m:e>
                  <m:sub>
                    <m:r>
                      <m:rPr>
                        <m:sty m:val="p"/>
                      </m:rPr>
                      <w:rPr>
                        <w:rFonts w:ascii="Cambria Math" w:hAnsi="Cambria Math"/>
                      </w:rPr>
                      <m:t>ROM</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Ta</m:t>
                    </m:r>
                  </m:sub>
                </m:sSub>
                <m:d>
                  <m:dPr>
                    <m:sep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H</m:t>
                            </m:r>
                          </m:e>
                          <m:sub>
                            <m:r>
                              <m:rPr>
                                <m:sty m:val="p"/>
                              </m:rPr>
                              <w:rPr>
                                <w:rFonts w:ascii="Cambria Math" w:hAnsi="Cambria Math"/>
                              </w:rPr>
                              <m:t>Ta</m:t>
                            </m:r>
                          </m:sub>
                        </m:sSub>
                      </m:num>
                      <m:den>
                        <m:r>
                          <w:rPr>
                            <w:rFonts w:ascii="Cambria Math" w:hAnsi="Cambria Math"/>
                          </w:rPr>
                          <m:t>3</m:t>
                        </m:r>
                      </m:den>
                    </m:f>
                  </m:e>
                  <m:e>
                    <m:sSub>
                      <m:sSubPr>
                        <m:ctrlPr>
                          <w:rPr>
                            <w:rFonts w:ascii="Cambria Math" w:hAnsi="Cambria Math"/>
                          </w:rPr>
                        </m:ctrlPr>
                      </m:sSubPr>
                      <m:e>
                        <m:r>
                          <w:rPr>
                            <w:rFonts w:ascii="Cambria Math" w:hAnsi="Cambria Math"/>
                          </w:rPr>
                          <m:t>σ</m:t>
                        </m:r>
                      </m:e>
                      <m:sub>
                        <m:r>
                          <m:rPr>
                            <m:sty m:val="p"/>
                          </m:rPr>
                          <w:rPr>
                            <w:rFonts w:ascii="Cambria Math" w:hAnsi="Cambria Math"/>
                          </w:rPr>
                          <m:t>HP</m:t>
                        </m:r>
                      </m:sub>
                    </m:sSub>
                  </m:e>
                </m:d>
                <m:r>
                  <w:rPr>
                    <w:rFonts w:ascii="Cambria Math" w:hAnsi="Cambria Math"/>
                  </w:rPr>
                  <m:t>,</m:t>
                </m:r>
              </m:e>
              <m:e/>
              <m:e/>
            </m:mr>
          </m:m>
          <m:r>
            <m:rPr>
              <m:sty m:val="p"/>
            </m:rPr>
            <w:br/>
          </m:r>
        </m:oMath>
      </m:oMathPara>
    </w:p>
    <w:p w14:paraId="5761CFC1" w14:textId="77777777" w:rsidR="005F474B" w:rsidRPr="0000452B" w:rsidRDefault="005F474B" w:rsidP="005F474B">
      <w:r w:rsidRPr="0000452B">
        <w:t xml:space="preserve">where </w:t>
      </w:r>
      <m:oMath>
        <m:sSub>
          <m:sSubPr>
            <m:ctrlPr>
              <w:rPr>
                <w:rFonts w:ascii="Cambria Math" w:hAnsi="Cambria Math"/>
              </w:rPr>
            </m:ctrlPr>
          </m:sSubPr>
          <m:e>
            <m:r>
              <w:rPr>
                <w:rFonts w:ascii="Cambria Math" w:hAnsi="Cambria Math"/>
              </w:rPr>
              <m:t>V</m:t>
            </m:r>
          </m:e>
          <m:sub>
            <m:r>
              <m:rPr>
                <m:sty m:val="p"/>
              </m:rPr>
              <w:rPr>
                <w:rFonts w:ascii="Cambria Math" w:hAnsi="Cambria Math"/>
              </w:rPr>
              <m:t>Ta</m:t>
            </m:r>
          </m:sub>
        </m:sSub>
      </m:oMath>
      <w:r w:rsidRPr="0000452B">
        <w:t xml:space="preserve">is the volume fraction of Ta-rich clusters and </w:t>
      </w:r>
      <m:oMath>
        <m:sSub>
          <m:sSubPr>
            <m:ctrlPr>
              <w:rPr>
                <w:rFonts w:ascii="Cambria Math" w:hAnsi="Cambria Math"/>
              </w:rPr>
            </m:ctrlPr>
          </m:sSubPr>
          <m:e>
            <m:r>
              <w:rPr>
                <w:rFonts w:ascii="Cambria Math" w:hAnsi="Cambria Math"/>
              </w:rPr>
              <m:t>H</m:t>
            </m:r>
          </m:e>
          <m:sub>
            <m:r>
              <m:rPr>
                <m:sty m:val="p"/>
              </m:rPr>
              <w:rPr>
                <w:rFonts w:ascii="Cambria Math" w:hAnsi="Cambria Math"/>
              </w:rPr>
              <m:t>Ta</m:t>
            </m:r>
          </m:sub>
        </m:sSub>
      </m:oMath>
      <w:r w:rsidRPr="0000452B">
        <w:t xml:space="preserve">is their hardness. The contribution from Orowan looping was assumed to be small because Cu–Ta exhibits limited strain hardening under these conditions. Substitution of the measured and reported material parameters yielded an </w:t>
      </w:r>
      <w:r w:rsidRPr="0000452B">
        <w:lastRenderedPageBreak/>
        <w:t>effective applied tensile stress of approximately 689.2 MPa. Using a Taylor factor of 3.06, the corresponding applied resolved shear stress was</w:t>
      </w:r>
    </w:p>
    <w:p w14:paraId="5E6C047D" w14:textId="77777777" w:rsidR="005F474B" w:rsidRPr="0000452B" w:rsidRDefault="004034C6" w:rsidP="005F474B">
      <m:oMathPara>
        <m:oMath>
          <m:sSub>
            <m:sSubPr>
              <m:ctrlPr>
                <w:rPr>
                  <w:rFonts w:ascii="Cambria Math" w:hAnsi="Cambria Math"/>
                </w:rPr>
              </m:ctrlPr>
            </m:sSubPr>
            <m:e>
              <m:r>
                <w:rPr>
                  <w:rFonts w:ascii="Cambria Math" w:hAnsi="Cambria Math"/>
                </w:rPr>
                <m:t>τ</m:t>
              </m:r>
            </m:e>
            <m:sub>
              <m:r>
                <m:rPr>
                  <m:sty m:val="p"/>
                </m:rPr>
                <w:rPr>
                  <w:rFonts w:ascii="Cambria Math" w:hAnsi="Cambria Math"/>
                </w:rPr>
                <m:t>AP</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m:rPr>
                      <m:sty m:val="p"/>
                    </m:rPr>
                    <w:rPr>
                      <w:rFonts w:ascii="Cambria Math" w:hAnsi="Cambria Math"/>
                    </w:rPr>
                    <m:t>AP</m:t>
                  </m:r>
                </m:sub>
              </m:sSub>
            </m:num>
            <m:den>
              <m:r>
                <w:rPr>
                  <w:rFonts w:ascii="Cambria Math" w:hAnsi="Cambria Math"/>
                </w:rPr>
                <m:t>3.06</m:t>
              </m:r>
            </m:den>
          </m:f>
          <m:r>
            <w:rPr>
              <w:rFonts w:ascii="Cambria Math" w:hAnsi="Cambria Math"/>
            </w:rPr>
            <m:t>≈225.2</m:t>
          </m:r>
          <m:r>
            <m:rPr>
              <m:sty m:val="p"/>
            </m:rPr>
            <w:rPr>
              <w:rFonts w:ascii="Cambria Math" w:hAnsi="Cambria Math"/>
            </w:rPr>
            <m:t> MPa.</m:t>
          </m:r>
          <m:r>
            <m:rPr>
              <m:sty m:val="p"/>
            </m:rPr>
            <w:br/>
          </m:r>
        </m:oMath>
      </m:oMathPara>
    </w:p>
    <w:p w14:paraId="70F52665" w14:textId="77777777" w:rsidR="005F474B" w:rsidRPr="0000452B" w:rsidRDefault="005F474B" w:rsidP="005F474B">
      <w:r w:rsidRPr="0000452B">
        <w:t xml:space="preserve">These stress calculations and the parameter values used in them follow the published supplementary treatment for nanocrystalline Cu–3Ta. </w:t>
      </w:r>
    </w:p>
    <w:p w14:paraId="07CEDB9E" w14:textId="046A7935" w:rsidR="005F474B" w:rsidRPr="0000452B" w:rsidRDefault="005F474B" w:rsidP="005F474B">
      <w:r w:rsidRPr="0000452B">
        <w:t>The applied resolved shear stress was then used in the Gillis–Kratochvil</w:t>
      </w:r>
      <w:r w:rsidR="004F127A" w:rsidRPr="0000452B">
        <w:rPr>
          <w:vertAlign w:val="superscript"/>
        </w:rPr>
        <w:t>4</w:t>
      </w:r>
      <w:r w:rsidRPr="0000452B">
        <w:t xml:space="preserve"> expression for the velocity-dependent acceleration of a dislocation:</w:t>
      </w:r>
    </w:p>
    <w:p w14:paraId="25CBF7AB" w14:textId="77777777" w:rsidR="005F474B" w:rsidRPr="0000452B" w:rsidRDefault="004034C6" w:rsidP="005F474B">
      <m:oMathPara>
        <m:oMath>
          <m:m>
            <m:mPr>
              <m:plcHide m:val="1"/>
              <m:mcs>
                <m:mc>
                  <m:mcPr>
                    <m:count m:val="4"/>
                    <m:mcJc m:val="center"/>
                  </m:mcPr>
                </m:mc>
              </m:mcs>
              <m:ctrlPr>
                <w:rPr>
                  <w:rFonts w:ascii="Cambria Math" w:hAnsi="Cambria Math"/>
                </w:rPr>
              </m:ctrlPr>
            </m:mPr>
            <m:mr>
              <m:e/>
              <m:e>
                <m:r>
                  <w:rPr>
                    <w:rFonts w:ascii="Cambria Math" w:hAnsi="Cambria Math"/>
                  </w:rPr>
                  <m:t>a(v)=</m:t>
                </m:r>
                <m:f>
                  <m:fPr>
                    <m:ctrlPr>
                      <w:rPr>
                        <w:rFonts w:ascii="Cambria Math" w:hAnsi="Cambria Math"/>
                      </w:rPr>
                    </m:ctrlPr>
                  </m:fPr>
                  <m:num>
                    <m:sSub>
                      <m:sSubPr>
                        <m:ctrlPr>
                          <w:rPr>
                            <w:rFonts w:ascii="Cambria Math" w:hAnsi="Cambria Math"/>
                          </w:rPr>
                        </m:ctrlPr>
                      </m:sSubPr>
                      <m:e>
                        <m:r>
                          <w:rPr>
                            <w:rFonts w:ascii="Cambria Math" w:hAnsi="Cambria Math"/>
                          </w:rPr>
                          <m:t>τ</m:t>
                        </m:r>
                      </m:e>
                      <m:sub>
                        <m:r>
                          <m:rPr>
                            <m:sty m:val="p"/>
                          </m:rPr>
                          <w:rPr>
                            <w:rFonts w:ascii="Cambria Math" w:hAnsi="Cambria Math"/>
                          </w:rPr>
                          <m:t>AP</m:t>
                        </m:r>
                      </m:sub>
                    </m:sSub>
                    <m:sSup>
                      <m:sSupPr>
                        <m:ctrlPr>
                          <w:rPr>
                            <w:rFonts w:ascii="Cambria Math" w:hAnsi="Cambria Math"/>
                          </w:rPr>
                        </m:ctrlPr>
                      </m:sSupPr>
                      <m:e>
                        <m:r>
                          <w:rPr>
                            <w:rFonts w:ascii="Cambria Math" w:hAnsi="Cambria Math"/>
                          </w:rPr>
                          <m:t>β</m:t>
                        </m:r>
                      </m:e>
                      <m:sup>
                        <m:r>
                          <w:rPr>
                            <w:rFonts w:ascii="Cambria Math" w:hAnsi="Cambria Math"/>
                          </w:rPr>
                          <m:t>3</m:t>
                        </m:r>
                      </m:sup>
                    </m:sSup>
                  </m:num>
                  <m:den>
                    <m:r>
                      <w:rPr>
                        <w:rFonts w:ascii="Cambria Math" w:hAnsi="Cambria Math"/>
                      </w:rPr>
                      <m:t>ρb</m:t>
                    </m:r>
                  </m:den>
                </m:f>
                <m:r>
                  <w:rPr>
                    <w:rFonts w:ascii="Cambria Math" w:hAnsi="Cambria Math"/>
                  </w:rPr>
                  <m:t>-</m:t>
                </m:r>
                <m:f>
                  <m:fPr>
                    <m:ctrlPr>
                      <w:rPr>
                        <w:rFonts w:ascii="Cambria Math" w:hAnsi="Cambria Math"/>
                      </w:rPr>
                    </m:ctrlPr>
                  </m:fPr>
                  <m:num>
                    <m:acc>
                      <m:accPr>
                        <m:chr m:val="ˉ"/>
                        <m:ctrlPr>
                          <w:rPr>
                            <w:rFonts w:ascii="Cambria Math" w:hAnsi="Cambria Math"/>
                          </w:rPr>
                        </m:ctrlPr>
                      </m:accPr>
                      <m:e>
                        <m:r>
                          <w:rPr>
                            <w:rFonts w:ascii="Cambria Math" w:hAnsi="Cambria Math"/>
                          </w:rPr>
                          <m:t>B</m:t>
                        </m:r>
                      </m:e>
                    </m:acc>
                    <m:r>
                      <w:rPr>
                        <w:rFonts w:ascii="Cambria Math" w:hAnsi="Cambria Math"/>
                      </w:rPr>
                      <m:t>vβ</m:t>
                    </m:r>
                  </m:num>
                  <m:den>
                    <m:r>
                      <w:rPr>
                        <w:rFonts w:ascii="Cambria Math" w:hAnsi="Cambria Math"/>
                      </w:rPr>
                      <m:t>ρ</m:t>
                    </m:r>
                    <m:sSup>
                      <m:sSupPr>
                        <m:ctrlPr>
                          <w:rPr>
                            <w:rFonts w:ascii="Cambria Math" w:hAnsi="Cambria Math"/>
                          </w:rPr>
                        </m:ctrlPr>
                      </m:sSupPr>
                      <m:e>
                        <m:r>
                          <w:rPr>
                            <w:rFonts w:ascii="Cambria Math" w:hAnsi="Cambria Math"/>
                          </w:rPr>
                          <m:t>b</m:t>
                        </m:r>
                      </m:e>
                      <m:sup>
                        <m:r>
                          <w:rPr>
                            <w:rFonts w:ascii="Cambria Math" w:hAnsi="Cambria Math"/>
                          </w:rPr>
                          <m:t>2</m:t>
                        </m:r>
                      </m:sup>
                    </m:sSup>
                  </m:den>
                </m:f>
                <m:r>
                  <w:rPr>
                    <w:rFonts w:ascii="Cambria Math" w:hAnsi="Cambria Math"/>
                  </w:rPr>
                  <m:t>,</m:t>
                </m:r>
              </m:e>
              <m:e/>
              <m:e/>
            </m:mr>
          </m:m>
          <m:r>
            <m:rPr>
              <m:sty m:val="p"/>
            </m:rPr>
            <w:br/>
          </m:r>
        </m:oMath>
      </m:oMathPara>
    </w:p>
    <w:p w14:paraId="1CE92899" w14:textId="77777777" w:rsidR="005F474B" w:rsidRPr="0000452B" w:rsidRDefault="005F474B" w:rsidP="005F474B">
      <w:proofErr w:type="gramStart"/>
      <w:r w:rsidRPr="0000452B">
        <w:t>where</w:t>
      </w:r>
      <w:proofErr w:type="gramEnd"/>
    </w:p>
    <w:p w14:paraId="37C74861" w14:textId="77777777" w:rsidR="005F474B" w:rsidRPr="0000452B" w:rsidRDefault="005F474B" w:rsidP="005F474B">
      <m:oMathPara>
        <m:oMath>
          <m:r>
            <w:rPr>
              <w:rFonts w:ascii="Cambria Math" w:hAnsi="Cambria Math"/>
            </w:rPr>
            <m:t>β=</m:t>
          </m:r>
          <m:rad>
            <m:radPr>
              <m:degHide m:val="1"/>
              <m:ctrlPr>
                <w:rPr>
                  <w:rFonts w:ascii="Cambria Math" w:hAnsi="Cambria Math"/>
                </w:rPr>
              </m:ctrlPr>
            </m:radPr>
            <m:deg/>
            <m:e>
              <m: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v</m:t>
                      </m:r>
                    </m:e>
                    <m:sup>
                      <m:r>
                        <w:rPr>
                          <w:rFonts w:ascii="Cambria Math" w:hAnsi="Cambria Math"/>
                        </w:rPr>
                        <m:t>2</m:t>
                      </m:r>
                    </m:sup>
                  </m:sSup>
                </m:num>
                <m:den>
                  <m:sSubSup>
                    <m:sSubSupPr>
                      <m:ctrlPr>
                        <w:rPr>
                          <w:rFonts w:ascii="Cambria Math" w:hAnsi="Cambria Math"/>
                        </w:rPr>
                      </m:ctrlPr>
                    </m:sSubSupPr>
                    <m:e>
                      <m:r>
                        <w:rPr>
                          <w:rFonts w:ascii="Cambria Math" w:hAnsi="Cambria Math"/>
                        </w:rPr>
                        <m:t>v</m:t>
                      </m:r>
                    </m:e>
                    <m:sub>
                      <m:r>
                        <w:rPr>
                          <w:rFonts w:ascii="Cambria Math" w:hAnsi="Cambria Math"/>
                        </w:rPr>
                        <m:t>s</m:t>
                      </m:r>
                    </m:sub>
                    <m:sup>
                      <m:r>
                        <w:rPr>
                          <w:rFonts w:ascii="Cambria Math" w:hAnsi="Cambria Math"/>
                        </w:rPr>
                        <m:t>2</m:t>
                      </m:r>
                    </m:sup>
                  </m:sSubSup>
                </m:den>
              </m:f>
            </m:e>
          </m:rad>
          <m:r>
            <m:rPr>
              <m:sty m:val="p"/>
            </m:rPr>
            <w:rPr>
              <w:rFonts w:ascii="Cambria Math" w:hAnsi="Cambria Math"/>
            </w:rPr>
            <m:t>.</m:t>
          </m:r>
          <m:r>
            <m:rPr>
              <m:sty m:val="p"/>
            </m:rPr>
            <w:br/>
          </m:r>
        </m:oMath>
      </m:oMathPara>
    </w:p>
    <w:p w14:paraId="7330800F" w14:textId="16124078" w:rsidR="005F474B" w:rsidRPr="0000452B" w:rsidRDefault="005F474B" w:rsidP="005F474B">
      <w:r w:rsidRPr="0000452B">
        <w:t xml:space="preserve">Here, </w:t>
      </w:r>
      <m:oMath>
        <m:r>
          <w:rPr>
            <w:rFonts w:ascii="Cambria Math" w:hAnsi="Cambria Math"/>
          </w:rPr>
          <m:t xml:space="preserve">v </m:t>
        </m:r>
      </m:oMath>
      <w:r w:rsidRPr="0000452B">
        <w:t xml:space="preserve">is the instantaneous dislocation velocity, </w:t>
      </w:r>
      <m:oMath>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 xml:space="preserve"> </m:t>
        </m:r>
      </m:oMath>
      <w:r w:rsidRPr="0000452B">
        <w:t xml:space="preserve">is the shear-wave velocity, </w:t>
      </w:r>
      <m:oMath>
        <m:r>
          <w:rPr>
            <w:rFonts w:ascii="Cambria Math" w:hAnsi="Cambria Math"/>
          </w:rPr>
          <m:t xml:space="preserve">ρ </m:t>
        </m:r>
      </m:oMath>
      <w:r w:rsidRPr="0000452B">
        <w:t xml:space="preserve">is the mass density of Cu, </w:t>
      </w:r>
      <m:oMath>
        <m:r>
          <w:rPr>
            <w:rFonts w:ascii="Cambria Math" w:hAnsi="Cambria Math"/>
          </w:rPr>
          <m:t xml:space="preserve">b </m:t>
        </m:r>
      </m:oMath>
      <w:r w:rsidRPr="0000452B">
        <w:t xml:space="preserve">is the magnitude of the Burgers vector, and </w:t>
      </w:r>
      <m:oMath>
        <m:acc>
          <m:accPr>
            <m:chr m:val="ˉ"/>
            <m:ctrlPr>
              <w:rPr>
                <w:rFonts w:ascii="Cambria Math" w:hAnsi="Cambria Math"/>
              </w:rPr>
            </m:ctrlPr>
          </m:accPr>
          <m:e>
            <m:r>
              <w:rPr>
                <w:rFonts w:ascii="Cambria Math" w:hAnsi="Cambria Math"/>
              </w:rPr>
              <m:t>B</m:t>
            </m:r>
          </m:e>
        </m:acc>
        <m:r>
          <w:rPr>
            <w:rFonts w:ascii="Cambria Math" w:hAnsi="Cambria Math"/>
          </w:rPr>
          <m:t xml:space="preserve"> </m:t>
        </m:r>
      </m:oMath>
      <w:r w:rsidRPr="0000452B">
        <w:t xml:space="preserve">is the characteristic drag coefficient of the Cu matrix. The first term represents acceleration produced by the applied shear stress, whereas the second term represents the resistance associated with dislocation drag. As the dislocation velocity increases, the drag contribution becomes progressively more important and the acceleration decreases. </w:t>
      </w:r>
    </w:p>
    <w:p w14:paraId="26ADC2F3" w14:textId="77777777" w:rsidR="005F474B" w:rsidRPr="0000452B" w:rsidRDefault="005F474B" w:rsidP="005F474B">
      <w:r w:rsidRPr="0000452B">
        <w:t xml:space="preserve">The acceleration history was calculated numerically using an initial dislocation velocity of zero and a time increment of </w:t>
      </w:r>
      <m:oMath>
        <m:sSup>
          <m:sSupPr>
            <m:ctrlPr>
              <w:rPr>
                <w:rFonts w:ascii="Cambria Math" w:hAnsi="Cambria Math"/>
              </w:rPr>
            </m:ctrlPr>
          </m:sSupPr>
          <m:e>
            <m:r>
              <w:rPr>
                <w:rFonts w:ascii="Cambria Math" w:hAnsi="Cambria Math"/>
              </w:rPr>
              <m:t>10</m:t>
            </m:r>
          </m:e>
          <m:sup>
            <m:r>
              <w:rPr>
                <w:rFonts w:ascii="Cambria Math" w:hAnsi="Cambria Math"/>
              </w:rPr>
              <m:t>-15</m:t>
            </m:r>
          </m:sup>
        </m:sSup>
      </m:oMath>
      <w:r w:rsidRPr="0000452B">
        <w:t xml:space="preserve">s. At </w:t>
      </w:r>
      <w:proofErr w:type="gramStart"/>
      <w:r w:rsidRPr="0000452B">
        <w:t>each time</w:t>
      </w:r>
      <w:proofErr w:type="gramEnd"/>
      <w:r w:rsidRPr="0000452B">
        <w:t xml:space="preserve"> step, the acceleration was evaluated using the velocity obtained at the end of the preceding step. The velocity after </w:t>
      </w:r>
      <m:oMath>
        <m:r>
          <w:rPr>
            <w:rFonts w:ascii="Cambria Math" w:hAnsi="Cambria Math"/>
          </w:rPr>
          <m:t>n</m:t>
        </m:r>
      </m:oMath>
      <w:r w:rsidRPr="0000452B">
        <w:t>time steps was calculated as</w:t>
      </w:r>
    </w:p>
    <w:p w14:paraId="731CB5B9" w14:textId="77777777" w:rsidR="005F474B" w:rsidRPr="0000452B" w:rsidRDefault="004034C6" w:rsidP="005F474B">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w:rPr>
                        <w:rFonts w:ascii="Cambria Math" w:hAnsi="Cambria Math"/>
                      </w:rPr>
                      <m:t>v</m:t>
                    </m:r>
                  </m:e>
                  <m:sub>
                    <m:r>
                      <w:rPr>
                        <w:rFonts w:ascii="Cambria Math" w:hAnsi="Cambria Math"/>
                      </w:rPr>
                      <m:t>n</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a</m:t>
                        </m:r>
                      </m:e>
                      <m:sub>
                        <m:r>
                          <w:rPr>
                            <w:rFonts w:ascii="Cambria Math" w:hAnsi="Cambria Math"/>
                          </w:rPr>
                          <m:t>i</m:t>
                        </m:r>
                      </m:sub>
                    </m:sSub>
                  </m:e>
                </m:nary>
                <m:r>
                  <m:rPr>
                    <m:sty m:val="p"/>
                  </m:rPr>
                  <w:rPr>
                    <w:rFonts w:ascii="Cambria Math" w:hAnsi="Cambria Math"/>
                  </w:rPr>
                  <m:t>Δ</m:t>
                </m:r>
                <m:r>
                  <w:rPr>
                    <w:rFonts w:ascii="Cambria Math" w:hAnsi="Cambria Math"/>
                  </w:rPr>
                  <m:t>t,</m:t>
                </m:r>
              </m:e>
              <m:e/>
              <m:e/>
            </m:mr>
          </m:m>
          <m:r>
            <m:rPr>
              <m:sty m:val="p"/>
            </m:rPr>
            <w:br/>
          </m:r>
        </m:oMath>
      </m:oMathPara>
    </w:p>
    <w:p w14:paraId="2F74650E" w14:textId="77777777" w:rsidR="005F474B" w:rsidRPr="0000452B" w:rsidRDefault="005F474B" w:rsidP="005F474B">
      <w:r w:rsidRPr="0000452B">
        <w:t>and the corresponding total travel distance was calculated as</w:t>
      </w:r>
    </w:p>
    <w:p w14:paraId="1F55A4D4" w14:textId="77777777" w:rsidR="005F474B" w:rsidRPr="0000452B" w:rsidRDefault="004034C6" w:rsidP="005F474B">
      <m:oMathPara>
        <m:oMath>
          <m:m>
            <m:mPr>
              <m:plcHide m:val="1"/>
              <m:mcs>
                <m:mc>
                  <m:mcPr>
                    <m:count m:val="4"/>
                    <m:mcJc m:val="center"/>
                  </m:mcPr>
                </m:mc>
              </m:mcs>
              <m:ctrlPr>
                <w:rPr>
                  <w:rFonts w:ascii="Cambria Math" w:hAnsi="Cambria Math"/>
                </w:rPr>
              </m:ctrlPr>
            </m:mPr>
            <m:mr>
              <m:e/>
              <m:e>
                <m:sSub>
                  <m:sSubPr>
                    <m:ctrlPr>
                      <w:rPr>
                        <w:rFonts w:ascii="Cambria Math" w:hAnsi="Cambria Math"/>
                      </w:rPr>
                    </m:ctrlPr>
                  </m:sSubPr>
                  <m:e>
                    <m:r>
                      <w:rPr>
                        <w:rFonts w:ascii="Cambria Math" w:hAnsi="Cambria Math"/>
                      </w:rPr>
                      <m:t>x</m:t>
                    </m:r>
                  </m:e>
                  <m:sub>
                    <m:r>
                      <w:rPr>
                        <w:rFonts w:ascii="Cambria Math" w:hAnsi="Cambria Math"/>
                      </w:rPr>
                      <m:t>n</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i-1</m:t>
                            </m:r>
                          </m:sub>
                        </m:sSub>
                        <m:r>
                          <m:rPr>
                            <m:sty m:val="p"/>
                          </m:rPr>
                          <w:rPr>
                            <w:rFonts w:ascii="Cambria Math" w:hAnsi="Cambria Math"/>
                          </w:rPr>
                          <m:t>Δ</m:t>
                        </m:r>
                        <m:r>
                          <w:rPr>
                            <w:rFonts w:ascii="Cambria Math" w:hAnsi="Cambria Math"/>
                          </w:rPr>
                          <m:t>t+</m:t>
                        </m:r>
                        <m:f>
                          <m:fPr>
                            <m:ctrlPr>
                              <w:rPr>
                                <w:rFonts w:ascii="Cambria Math" w:hAnsi="Cambria Math"/>
                              </w:rPr>
                            </m:ctrlPr>
                          </m:fPr>
                          <m:num>
                            <m:r>
                              <w:rPr>
                                <w:rFonts w:ascii="Cambria Math" w:hAnsi="Cambria Math"/>
                              </w:rPr>
                              <m:t>1</m:t>
                            </m:r>
                          </m:num>
                          <m:den>
                            <m:r>
                              <w:rPr>
                                <w:rFonts w:ascii="Cambria Math" w:hAnsi="Cambria Math"/>
                              </w:rPr>
                              <m:t>2</m:t>
                            </m:r>
                          </m:den>
                        </m:f>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Δ</m:t>
                        </m:r>
                        <m:sSup>
                          <m:sSupPr>
                            <m:ctrlPr>
                              <w:rPr>
                                <w:rFonts w:ascii="Cambria Math" w:hAnsi="Cambria Math"/>
                              </w:rPr>
                            </m:ctrlPr>
                          </m:sSupPr>
                          <m:e>
                            <m:r>
                              <w:rPr>
                                <w:rFonts w:ascii="Cambria Math" w:hAnsi="Cambria Math"/>
                              </w:rPr>
                              <m:t>t</m:t>
                            </m:r>
                          </m:e>
                          <m:sup>
                            <m:r>
                              <w:rPr>
                                <w:rFonts w:ascii="Cambria Math" w:hAnsi="Cambria Math"/>
                              </w:rPr>
                              <m:t>2</m:t>
                            </m:r>
                          </m:sup>
                        </m:sSup>
                      </m:e>
                    </m:d>
                  </m:e>
                </m:nary>
                <m:r>
                  <m:rPr>
                    <m:sty m:val="p"/>
                  </m:rPr>
                  <w:rPr>
                    <w:rFonts w:ascii="Cambria Math" w:hAnsi="Cambria Math"/>
                  </w:rPr>
                  <m:t>.</m:t>
                </m:r>
              </m:e>
              <m:e/>
              <m:e/>
            </m:mr>
          </m:m>
          <m:r>
            <m:rPr>
              <m:sty m:val="p"/>
            </m:rPr>
            <w:br/>
          </m:r>
        </m:oMath>
      </m:oMathPara>
    </w:p>
    <w:p w14:paraId="33A10B38" w14:textId="77777777" w:rsidR="005F474B" w:rsidRPr="0000452B" w:rsidRDefault="005F474B" w:rsidP="005F474B">
      <w:r w:rsidRPr="0000452B">
        <w:t xml:space="preserve">This procedure provides the normalized dislocation velocity, </w:t>
      </w:r>
      <m:oMath>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oMath>
      <w:r w:rsidRPr="0000452B">
        <w:t xml:space="preserve">, as a function of uninterrupted travel distance. The calculation shows that a dislocation in an unconstrained Cu matrix accelerates rapidly at </w:t>
      </w:r>
      <w:proofErr w:type="gramStart"/>
      <w:r w:rsidRPr="0000452B">
        <w:t>first, but</w:t>
      </w:r>
      <w:proofErr w:type="gramEnd"/>
      <w:r w:rsidRPr="0000452B">
        <w:t xml:space="preserve"> approaches its steady-state velocity more gradually as the drag force increases. Under the applied stress considered here, the dislocation approaches a steady-state velocity of approximately </w:t>
      </w:r>
      <m:oMath>
        <m:r>
          <w:rPr>
            <w:rFonts w:ascii="Cambria Math" w:hAnsi="Cambria Math"/>
          </w:rPr>
          <m:t>0.6</m:t>
        </m:r>
        <m:sSub>
          <m:sSubPr>
            <m:ctrlPr>
              <w:rPr>
                <w:rFonts w:ascii="Cambria Math" w:hAnsi="Cambria Math"/>
              </w:rPr>
            </m:ctrlPr>
          </m:sSubPr>
          <m:e>
            <m:r>
              <w:rPr>
                <w:rFonts w:ascii="Cambria Math" w:hAnsi="Cambria Math"/>
              </w:rPr>
              <m:t>v</m:t>
            </m:r>
          </m:e>
          <m:sub>
            <m:r>
              <w:rPr>
                <w:rFonts w:ascii="Cambria Math" w:hAnsi="Cambria Math"/>
              </w:rPr>
              <m:t>s</m:t>
            </m:r>
          </m:sub>
        </m:sSub>
      </m:oMath>
      <w:r w:rsidRPr="0000452B">
        <w:t xml:space="preserve">after traveling approximately 85 nm. </w:t>
      </w:r>
    </w:p>
    <w:p w14:paraId="443831A5" w14:textId="77777777" w:rsidR="005F474B" w:rsidRPr="0000452B" w:rsidRDefault="005F474B" w:rsidP="005F474B">
      <w:r w:rsidRPr="0000452B">
        <w:t xml:space="preserve">This calculated acceleration distance is substantially greater than the approximately 15 nm architectural spacing measured in the Cu–Ta alloy considered in the present study. The internal cluster network therefore interrupts dislocation glide well before the calculated steady-state velocity can be reached. The comparison provides the basis for interpreting the Ta-rich cluster spacing as an architecture-imposed upper bound on dislocation acceleration and the transition </w:t>
      </w:r>
      <w:r w:rsidRPr="0000452B">
        <w:lastRenderedPageBreak/>
        <w:t xml:space="preserve">into the phonon-drag-dominated regime. The current manuscript already frames this contrast as approximately 85 nm of required uninterrupted glide compared with an architectural spacing near 15 nm. </w:t>
      </w:r>
    </w:p>
    <w:p w14:paraId="3AD559AA" w14:textId="77777777" w:rsidR="005F474B" w:rsidRPr="0000452B" w:rsidRDefault="005F474B" w:rsidP="005F474B"/>
    <w:p w14:paraId="25DD969E" w14:textId="77777777" w:rsidR="005F474B" w:rsidRPr="0000452B" w:rsidRDefault="005F474B" w:rsidP="005F474B"/>
    <w:p w14:paraId="1FBCC496" w14:textId="77777777" w:rsidR="00706C77" w:rsidRPr="0000452B" w:rsidRDefault="00706C77" w:rsidP="00706C77">
      <w:pPr>
        <w:rPr>
          <w:b/>
          <w:bCs/>
        </w:rPr>
      </w:pPr>
      <w:r w:rsidRPr="0000452B">
        <w:rPr>
          <w:b/>
          <w:bCs/>
        </w:rPr>
        <w:t>Supplementary References:</w:t>
      </w:r>
    </w:p>
    <w:p w14:paraId="45520B4C" w14:textId="77777777" w:rsidR="00706C77" w:rsidRPr="0000452B" w:rsidRDefault="00706C77" w:rsidP="00706C77"/>
    <w:p w14:paraId="5BB6DADE" w14:textId="1535A044" w:rsidR="00706C77" w:rsidRPr="0000452B" w:rsidRDefault="00706C77" w:rsidP="00706C77">
      <w:r w:rsidRPr="0000452B">
        <w:t xml:space="preserve">1. Ashcroft, N. W. &amp; Mermin, N. D. </w:t>
      </w:r>
      <w:r w:rsidRPr="0000452B">
        <w:rPr>
          <w:i/>
          <w:iCs/>
        </w:rPr>
        <w:t>Solid State Physics</w:t>
      </w:r>
      <w:r w:rsidRPr="0000452B">
        <w:t xml:space="preserve"> (Holt, Rinehart and Winston, 1976).</w:t>
      </w:r>
    </w:p>
    <w:p w14:paraId="10F76E89" w14:textId="77777777" w:rsidR="00706C77" w:rsidRPr="0000452B" w:rsidRDefault="00706C77" w:rsidP="00706C77">
      <w:r w:rsidRPr="0000452B">
        <w:t xml:space="preserve">2. Kittel, C. </w:t>
      </w:r>
      <w:r w:rsidRPr="0000452B">
        <w:rPr>
          <w:i/>
          <w:iCs/>
        </w:rPr>
        <w:t>Introduction to Solid State Physics</w:t>
      </w:r>
      <w:r w:rsidRPr="0000452B">
        <w:t xml:space="preserve">, 7th </w:t>
      </w:r>
      <w:proofErr w:type="spellStart"/>
      <w:r w:rsidRPr="0000452B">
        <w:t>edn</w:t>
      </w:r>
      <w:proofErr w:type="spellEnd"/>
      <w:r w:rsidRPr="0000452B">
        <w:t xml:space="preserve"> (John Wiley &amp; Sons (Asia), Singapore, 1996).</w:t>
      </w:r>
    </w:p>
    <w:p w14:paraId="7F584938" w14:textId="77777777" w:rsidR="00706C77" w:rsidRPr="0000452B" w:rsidRDefault="00706C77" w:rsidP="00706C77">
      <w:r w:rsidRPr="0000452B">
        <w:t xml:space="preserve">3. Matula, R. A. Electrical resistivity of copper, gold, palladium, and silver. </w:t>
      </w:r>
      <w:r w:rsidRPr="0000452B">
        <w:rPr>
          <w:i/>
          <w:iCs/>
        </w:rPr>
        <w:t xml:space="preserve">J. Phys. Chem. Ref. Data </w:t>
      </w:r>
      <w:r w:rsidRPr="0000452B">
        <w:rPr>
          <w:b/>
          <w:bCs/>
        </w:rPr>
        <w:t>8</w:t>
      </w:r>
      <w:r w:rsidRPr="0000452B">
        <w:t>, 1147–1298 (1979).</w:t>
      </w:r>
    </w:p>
    <w:p w14:paraId="78FDE62C" w14:textId="77777777" w:rsidR="00706C77" w:rsidRPr="0000452B" w:rsidRDefault="00706C77" w:rsidP="00706C77">
      <w:r w:rsidRPr="0000452B">
        <w:t xml:space="preserve">4. Gillis, P. P. &amp; Kratochvil, J. Dislocation acceleration. </w:t>
      </w:r>
      <w:r w:rsidRPr="0000452B">
        <w:rPr>
          <w:i/>
          <w:iCs/>
        </w:rPr>
        <w:t xml:space="preserve">Philos. Mag. </w:t>
      </w:r>
      <w:r w:rsidRPr="0000452B">
        <w:rPr>
          <w:b/>
          <w:bCs/>
        </w:rPr>
        <w:t>21</w:t>
      </w:r>
      <w:r w:rsidRPr="0000452B">
        <w:t>, 425–432 (1970).</w:t>
      </w:r>
    </w:p>
    <w:p w14:paraId="3F741780" w14:textId="77777777" w:rsidR="00706C77" w:rsidRPr="00563E05" w:rsidRDefault="00706C77" w:rsidP="00706C77">
      <w:r w:rsidRPr="0000452B">
        <w:t xml:space="preserve">5. Tang, Q. </w:t>
      </w:r>
      <w:r w:rsidRPr="0000452B">
        <w:rPr>
          <w:i/>
          <w:iCs/>
        </w:rPr>
        <w:t>et al.</w:t>
      </w:r>
      <w:r w:rsidRPr="0000452B">
        <w:t xml:space="preserve"> Suppressed ballistic transport of dislocations at strain rates up to 10⁹ s⁻¹ in a stable nanocrystalline alloy. </w:t>
      </w:r>
      <w:r w:rsidRPr="0000452B">
        <w:rPr>
          <w:i/>
          <w:iCs/>
        </w:rPr>
        <w:t xml:space="preserve">Commun. Mater. </w:t>
      </w:r>
      <w:r w:rsidRPr="0000452B">
        <w:rPr>
          <w:b/>
          <w:bCs/>
        </w:rPr>
        <w:t>6</w:t>
      </w:r>
      <w:r w:rsidRPr="0000452B">
        <w:t>, 43 (2025).</w:t>
      </w:r>
    </w:p>
    <w:p w14:paraId="10BF7DE9" w14:textId="77777777" w:rsidR="00B9440A" w:rsidRPr="00015F74" w:rsidRDefault="00B9440A" w:rsidP="00B9440A">
      <w:pPr>
        <w:pStyle w:val="SMcaption"/>
      </w:pPr>
    </w:p>
    <w:sectPr w:rsidR="00B9440A" w:rsidRPr="00015F74" w:rsidSect="00E853D5">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63CB" w14:textId="77777777" w:rsidR="004034C6" w:rsidRDefault="004034C6">
      <w:r>
        <w:separator/>
      </w:r>
    </w:p>
  </w:endnote>
  <w:endnote w:type="continuationSeparator" w:id="0">
    <w:p w14:paraId="618928EC" w14:textId="77777777" w:rsidR="004034C6" w:rsidRDefault="0040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F5808" w14:textId="77777777" w:rsidR="004034C6" w:rsidRDefault="004034C6">
      <w:r>
        <w:separator/>
      </w:r>
    </w:p>
  </w:footnote>
  <w:footnote w:type="continuationSeparator" w:id="0">
    <w:p w14:paraId="7895BFC1" w14:textId="77777777" w:rsidR="004034C6" w:rsidRDefault="00403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07F"/>
    <w:rsid w:val="0000452B"/>
    <w:rsid w:val="00015F74"/>
    <w:rsid w:val="00044F2C"/>
    <w:rsid w:val="00065EBD"/>
    <w:rsid w:val="00066D0C"/>
    <w:rsid w:val="00083B44"/>
    <w:rsid w:val="000850DC"/>
    <w:rsid w:val="000C07BF"/>
    <w:rsid w:val="000C2771"/>
    <w:rsid w:val="000D46F4"/>
    <w:rsid w:val="000F0DCE"/>
    <w:rsid w:val="000F6BE3"/>
    <w:rsid w:val="00112C5B"/>
    <w:rsid w:val="00114193"/>
    <w:rsid w:val="00115A38"/>
    <w:rsid w:val="0011687B"/>
    <w:rsid w:val="00124F82"/>
    <w:rsid w:val="0012582D"/>
    <w:rsid w:val="00150272"/>
    <w:rsid w:val="00153418"/>
    <w:rsid w:val="00155734"/>
    <w:rsid w:val="0016337A"/>
    <w:rsid w:val="00164269"/>
    <w:rsid w:val="00195F6F"/>
    <w:rsid w:val="001A1BDE"/>
    <w:rsid w:val="001B13CE"/>
    <w:rsid w:val="001F0876"/>
    <w:rsid w:val="001F14FF"/>
    <w:rsid w:val="001F167C"/>
    <w:rsid w:val="001F5E91"/>
    <w:rsid w:val="002077B9"/>
    <w:rsid w:val="00260D25"/>
    <w:rsid w:val="00262D72"/>
    <w:rsid w:val="00294FBB"/>
    <w:rsid w:val="002C030F"/>
    <w:rsid w:val="002D594A"/>
    <w:rsid w:val="002E3F5F"/>
    <w:rsid w:val="002F0FB6"/>
    <w:rsid w:val="002F43D4"/>
    <w:rsid w:val="003032DE"/>
    <w:rsid w:val="0031671A"/>
    <w:rsid w:val="00331D75"/>
    <w:rsid w:val="00355362"/>
    <w:rsid w:val="00363E44"/>
    <w:rsid w:val="003659A8"/>
    <w:rsid w:val="003669F9"/>
    <w:rsid w:val="00392402"/>
    <w:rsid w:val="00393BAB"/>
    <w:rsid w:val="00395E86"/>
    <w:rsid w:val="003A2FD8"/>
    <w:rsid w:val="003B40E6"/>
    <w:rsid w:val="003E74FB"/>
    <w:rsid w:val="003F5904"/>
    <w:rsid w:val="003F6E14"/>
    <w:rsid w:val="004034C6"/>
    <w:rsid w:val="00405336"/>
    <w:rsid w:val="00413B97"/>
    <w:rsid w:val="00435ABE"/>
    <w:rsid w:val="004571D5"/>
    <w:rsid w:val="00461D81"/>
    <w:rsid w:val="0046356B"/>
    <w:rsid w:val="00477182"/>
    <w:rsid w:val="004779CB"/>
    <w:rsid w:val="00492C14"/>
    <w:rsid w:val="004A6F57"/>
    <w:rsid w:val="004D0135"/>
    <w:rsid w:val="004E42D8"/>
    <w:rsid w:val="004E7BA2"/>
    <w:rsid w:val="004F127A"/>
    <w:rsid w:val="004F7EDF"/>
    <w:rsid w:val="005001AC"/>
    <w:rsid w:val="00527D71"/>
    <w:rsid w:val="00533910"/>
    <w:rsid w:val="005520A8"/>
    <w:rsid w:val="005607DD"/>
    <w:rsid w:val="00586E21"/>
    <w:rsid w:val="005A558C"/>
    <w:rsid w:val="005A68C6"/>
    <w:rsid w:val="005A7AD8"/>
    <w:rsid w:val="005D712F"/>
    <w:rsid w:val="005E28F8"/>
    <w:rsid w:val="005E6513"/>
    <w:rsid w:val="005F474B"/>
    <w:rsid w:val="00607E8E"/>
    <w:rsid w:val="006315B5"/>
    <w:rsid w:val="00632CA3"/>
    <w:rsid w:val="00651114"/>
    <w:rsid w:val="00664560"/>
    <w:rsid w:val="00670299"/>
    <w:rsid w:val="00691985"/>
    <w:rsid w:val="00697611"/>
    <w:rsid w:val="006A1B64"/>
    <w:rsid w:val="006E1529"/>
    <w:rsid w:val="00706C77"/>
    <w:rsid w:val="007108F5"/>
    <w:rsid w:val="00713E5B"/>
    <w:rsid w:val="007275F3"/>
    <w:rsid w:val="007402FC"/>
    <w:rsid w:val="007411A1"/>
    <w:rsid w:val="00747EDD"/>
    <w:rsid w:val="007578D8"/>
    <w:rsid w:val="00775404"/>
    <w:rsid w:val="00793072"/>
    <w:rsid w:val="007C45B3"/>
    <w:rsid w:val="007E2786"/>
    <w:rsid w:val="00807D35"/>
    <w:rsid w:val="00810F65"/>
    <w:rsid w:val="008218C4"/>
    <w:rsid w:val="0084046E"/>
    <w:rsid w:val="008542AF"/>
    <w:rsid w:val="00855442"/>
    <w:rsid w:val="00867A98"/>
    <w:rsid w:val="00870867"/>
    <w:rsid w:val="00885C9B"/>
    <w:rsid w:val="008D5D2A"/>
    <w:rsid w:val="00914B63"/>
    <w:rsid w:val="009354F3"/>
    <w:rsid w:val="00937DC6"/>
    <w:rsid w:val="009447DC"/>
    <w:rsid w:val="00945471"/>
    <w:rsid w:val="00950234"/>
    <w:rsid w:val="00961BA5"/>
    <w:rsid w:val="009743A9"/>
    <w:rsid w:val="0097557E"/>
    <w:rsid w:val="0099647F"/>
    <w:rsid w:val="009A5287"/>
    <w:rsid w:val="009A7C5F"/>
    <w:rsid w:val="009B2AC5"/>
    <w:rsid w:val="009B7984"/>
    <w:rsid w:val="009F4BED"/>
    <w:rsid w:val="009F7D93"/>
    <w:rsid w:val="00A02E0C"/>
    <w:rsid w:val="00A3403B"/>
    <w:rsid w:val="00A51A12"/>
    <w:rsid w:val="00A53A78"/>
    <w:rsid w:val="00A627D4"/>
    <w:rsid w:val="00A74DA2"/>
    <w:rsid w:val="00A77632"/>
    <w:rsid w:val="00A84B8B"/>
    <w:rsid w:val="00AB12BC"/>
    <w:rsid w:val="00AB399E"/>
    <w:rsid w:val="00AC59D0"/>
    <w:rsid w:val="00AD16B1"/>
    <w:rsid w:val="00AD499C"/>
    <w:rsid w:val="00B341CE"/>
    <w:rsid w:val="00B36869"/>
    <w:rsid w:val="00B43B31"/>
    <w:rsid w:val="00B47CFA"/>
    <w:rsid w:val="00B574A3"/>
    <w:rsid w:val="00B57F00"/>
    <w:rsid w:val="00B63245"/>
    <w:rsid w:val="00B73C69"/>
    <w:rsid w:val="00B77B2A"/>
    <w:rsid w:val="00B82C22"/>
    <w:rsid w:val="00B93DBA"/>
    <w:rsid w:val="00B9440A"/>
    <w:rsid w:val="00BA5635"/>
    <w:rsid w:val="00BB2D2A"/>
    <w:rsid w:val="00BB530D"/>
    <w:rsid w:val="00BC290E"/>
    <w:rsid w:val="00BC3E04"/>
    <w:rsid w:val="00BD58CF"/>
    <w:rsid w:val="00BF0C92"/>
    <w:rsid w:val="00C01B47"/>
    <w:rsid w:val="00C04CC1"/>
    <w:rsid w:val="00C4096C"/>
    <w:rsid w:val="00C50C6D"/>
    <w:rsid w:val="00C600D9"/>
    <w:rsid w:val="00C92B22"/>
    <w:rsid w:val="00CB5328"/>
    <w:rsid w:val="00CC1384"/>
    <w:rsid w:val="00CD3720"/>
    <w:rsid w:val="00CF1848"/>
    <w:rsid w:val="00CF5C2F"/>
    <w:rsid w:val="00D04BCF"/>
    <w:rsid w:val="00D11A56"/>
    <w:rsid w:val="00D143D9"/>
    <w:rsid w:val="00D27E54"/>
    <w:rsid w:val="00D30C95"/>
    <w:rsid w:val="00D51C15"/>
    <w:rsid w:val="00D5511B"/>
    <w:rsid w:val="00D766F1"/>
    <w:rsid w:val="00DB7D85"/>
    <w:rsid w:val="00DD2E17"/>
    <w:rsid w:val="00DE39FF"/>
    <w:rsid w:val="00DF7D88"/>
    <w:rsid w:val="00E02F59"/>
    <w:rsid w:val="00E257C8"/>
    <w:rsid w:val="00E40A10"/>
    <w:rsid w:val="00E41512"/>
    <w:rsid w:val="00E4519A"/>
    <w:rsid w:val="00E853D5"/>
    <w:rsid w:val="00E9773B"/>
    <w:rsid w:val="00EA6F42"/>
    <w:rsid w:val="00EA7EC1"/>
    <w:rsid w:val="00EC0920"/>
    <w:rsid w:val="00EC13A3"/>
    <w:rsid w:val="00EC7C85"/>
    <w:rsid w:val="00ED2CBE"/>
    <w:rsid w:val="00EF14D3"/>
    <w:rsid w:val="00F03BC3"/>
    <w:rsid w:val="00F125EE"/>
    <w:rsid w:val="00F12E98"/>
    <w:rsid w:val="00F22029"/>
    <w:rsid w:val="00F4194F"/>
    <w:rsid w:val="00F515FB"/>
    <w:rsid w:val="00F630EA"/>
    <w:rsid w:val="00F7007E"/>
    <w:rsid w:val="00F73193"/>
    <w:rsid w:val="00F74F95"/>
    <w:rsid w:val="00F80705"/>
    <w:rsid w:val="00FA02C2"/>
    <w:rsid w:val="00FA1481"/>
    <w:rsid w:val="00FE6D76"/>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paragraph" w:customStyle="1" w:styleId="Head">
    <w:name w:val="Head"/>
    <w:basedOn w:val="Normal"/>
    <w:rsid w:val="00BA5635"/>
    <w:pPr>
      <w:keepNext/>
      <w:spacing w:before="120" w:after="120"/>
      <w:jc w:val="center"/>
      <w:outlineLvl w:val="0"/>
    </w:pPr>
    <w:rPr>
      <w:b/>
      <w:bCs/>
      <w:kern w:val="28"/>
      <w:sz w:val="28"/>
      <w:szCs w:val="28"/>
    </w:rPr>
  </w:style>
  <w:style w:type="table" w:styleId="GridTable1Light">
    <w:name w:val="Grid Table 1 Light"/>
    <w:basedOn w:val="TableNormal"/>
    <w:uiPriority w:val="46"/>
    <w:rsid w:val="005F474B"/>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DE39FF"/>
    <w:pPr>
      <w:spacing w:before="120"/>
      <w:ind w:firstLine="7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Darling, Kristopher A CIV USARMY DEVCOM ARL (USA)</cp:lastModifiedBy>
  <cp:revision>5</cp:revision>
  <cp:lastPrinted>2018-01-11T19:53:00Z</cp:lastPrinted>
  <dcterms:created xsi:type="dcterms:W3CDTF">2026-09-22T16:40:00Z</dcterms:created>
  <dcterms:modified xsi:type="dcterms:W3CDTF">2026-09-30T18:22:00Z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