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28A4EE" w14:textId="77777777" w:rsidR="00D331FE" w:rsidRPr="001B3FCA" w:rsidRDefault="00000000" w:rsidP="004938BB">
      <w:pPr>
        <w:spacing w:after="160" w:line="480" w:lineRule="auto"/>
        <w:jc w:val="center"/>
        <w:rPr>
          <w:sz w:val="28"/>
          <w:szCs w:val="28"/>
        </w:rPr>
      </w:pPr>
      <w:r w:rsidRPr="001B3FCA">
        <w:rPr>
          <w:b/>
          <w:sz w:val="28"/>
          <w:szCs w:val="28"/>
        </w:rPr>
        <w:t>Supplementary Information</w:t>
      </w:r>
    </w:p>
    <w:p w14:paraId="390D3E2B" w14:textId="77777777" w:rsidR="001B3FCA" w:rsidRPr="00090723" w:rsidRDefault="001B3FCA" w:rsidP="004938BB">
      <w:pPr>
        <w:spacing w:after="0" w:line="480" w:lineRule="auto"/>
        <w:jc w:val="center"/>
        <w:rPr>
          <w:rFonts w:cs="Times New Roman"/>
          <w:b/>
          <w:bCs/>
          <w:color w:val="000000"/>
          <w:sz w:val="28"/>
          <w:szCs w:val="28"/>
        </w:rPr>
      </w:pPr>
      <w:r w:rsidRPr="00090723">
        <w:rPr>
          <w:rFonts w:cs="Times New Roman"/>
          <w:b/>
          <w:bCs/>
          <w:color w:val="000000"/>
          <w:sz w:val="28"/>
          <w:szCs w:val="28"/>
        </w:rPr>
        <w:t>Quantifying the Impact of Evaluation Design on Deep Learning–Based CT Histologic Subtyping of Non–Small Cell Lung Cancer: A Leakage-Audited Cross-Cohort Multi-Architecture Study</w:t>
      </w:r>
    </w:p>
    <w:p w14:paraId="4C16BD61" w14:textId="77777777" w:rsidR="001B3FCA" w:rsidRPr="00090723" w:rsidRDefault="001B3FCA" w:rsidP="004938BB">
      <w:pPr>
        <w:spacing w:after="0" w:line="240" w:lineRule="auto"/>
        <w:jc w:val="center"/>
        <w:rPr>
          <w:rFonts w:cs="Times New Roman"/>
          <w:b/>
          <w:bCs/>
          <w:color w:val="000000"/>
        </w:rPr>
      </w:pPr>
    </w:p>
    <w:p w14:paraId="1F6C1033" w14:textId="77777777" w:rsidR="001B3FCA" w:rsidRPr="00090723" w:rsidRDefault="001B3FCA" w:rsidP="004938BB">
      <w:pPr>
        <w:spacing w:after="0" w:line="480" w:lineRule="auto"/>
        <w:jc w:val="center"/>
        <w:rPr>
          <w:rFonts w:cs="Times New Roman"/>
        </w:rPr>
      </w:pPr>
      <w:r w:rsidRPr="00090723">
        <w:rPr>
          <w:rFonts w:cs="Times New Roman"/>
        </w:rPr>
        <w:t>Necati Vardar</w:t>
      </w:r>
      <w:r w:rsidRPr="00090723">
        <w:rPr>
          <w:rFonts w:cs="Times New Roman"/>
          <w:vertAlign w:val="superscript"/>
        </w:rPr>
        <w:t>1,</w:t>
      </w:r>
      <w:r w:rsidRPr="00090723">
        <w:rPr>
          <w:rFonts w:cs="Times New Roman"/>
        </w:rPr>
        <w:t xml:space="preserve"> *</w:t>
      </w:r>
    </w:p>
    <w:p w14:paraId="0FB645D4" w14:textId="77777777" w:rsidR="001B3FCA" w:rsidRPr="00090723" w:rsidRDefault="001B3FCA" w:rsidP="004938BB">
      <w:pPr>
        <w:spacing w:after="0" w:line="240" w:lineRule="auto"/>
        <w:jc w:val="center"/>
        <w:rPr>
          <w:rFonts w:cs="Times New Roman"/>
        </w:rPr>
      </w:pPr>
    </w:p>
    <w:p w14:paraId="5EA18C90" w14:textId="77777777" w:rsidR="001B3FCA" w:rsidRPr="00090723" w:rsidRDefault="001B3FCA" w:rsidP="004938BB">
      <w:pPr>
        <w:spacing w:after="0" w:line="480" w:lineRule="auto"/>
        <w:jc w:val="center"/>
        <w:rPr>
          <w:rFonts w:cs="Times New Roman"/>
          <w:sz w:val="20"/>
          <w:szCs w:val="20"/>
        </w:rPr>
      </w:pPr>
      <w:r w:rsidRPr="00090723">
        <w:rPr>
          <w:rFonts w:cs="Times New Roman"/>
          <w:sz w:val="20"/>
          <w:szCs w:val="20"/>
          <w:vertAlign w:val="superscript"/>
        </w:rPr>
        <w:t>1</w:t>
      </w:r>
      <w:r w:rsidRPr="00090723">
        <w:rPr>
          <w:rFonts w:cs="Times New Roman"/>
          <w:sz w:val="20"/>
          <w:szCs w:val="20"/>
        </w:rPr>
        <w:t>Department of Electrical and Electronic Engineering, Faculty of Engineering and Natural Sciences,</w:t>
      </w:r>
    </w:p>
    <w:p w14:paraId="769A5324" w14:textId="77777777" w:rsidR="001B3FCA" w:rsidRPr="00090723" w:rsidRDefault="001B3FCA" w:rsidP="004938BB">
      <w:pPr>
        <w:spacing w:after="0" w:line="480" w:lineRule="auto"/>
        <w:jc w:val="center"/>
        <w:rPr>
          <w:rFonts w:cs="Times New Roman"/>
          <w:sz w:val="20"/>
          <w:szCs w:val="20"/>
        </w:rPr>
      </w:pPr>
      <w:r w:rsidRPr="00090723">
        <w:rPr>
          <w:rFonts w:cs="Times New Roman"/>
          <w:sz w:val="20"/>
          <w:szCs w:val="20"/>
        </w:rPr>
        <w:t>KTO Karatay University, Konya 42020, Turkey</w:t>
      </w:r>
    </w:p>
    <w:p w14:paraId="19747C53" w14:textId="77777777" w:rsidR="001B3FCA" w:rsidRPr="00090723" w:rsidRDefault="001B3FCA" w:rsidP="004938BB">
      <w:pPr>
        <w:spacing w:after="0" w:line="240" w:lineRule="auto"/>
        <w:jc w:val="center"/>
        <w:rPr>
          <w:rFonts w:cs="Times New Roman"/>
          <w:sz w:val="20"/>
          <w:szCs w:val="20"/>
        </w:rPr>
      </w:pPr>
    </w:p>
    <w:p w14:paraId="24D23360" w14:textId="77777777" w:rsidR="001B3FCA" w:rsidRPr="00090723" w:rsidRDefault="001B3FCA" w:rsidP="004938BB">
      <w:pPr>
        <w:spacing w:after="0" w:line="480" w:lineRule="auto"/>
        <w:jc w:val="center"/>
        <w:rPr>
          <w:rFonts w:cs="Times New Roman"/>
          <w:sz w:val="20"/>
          <w:szCs w:val="20"/>
        </w:rPr>
      </w:pPr>
      <w:r w:rsidRPr="00090723">
        <w:rPr>
          <w:rFonts w:cs="Times New Roman"/>
          <w:sz w:val="20"/>
          <w:szCs w:val="20"/>
        </w:rPr>
        <w:t xml:space="preserve">*Corresponding author: </w:t>
      </w:r>
      <w:hyperlink r:id="rId8" w:history="1">
        <w:r w:rsidRPr="00090723">
          <w:rPr>
            <w:rStyle w:val="Hyperlink"/>
            <w:rFonts w:cs="Times New Roman"/>
            <w:sz w:val="20"/>
            <w:szCs w:val="20"/>
          </w:rPr>
          <w:t>necati.vardar@karatay.edu.tr</w:t>
        </w:r>
      </w:hyperlink>
      <w:r w:rsidRPr="00090723">
        <w:rPr>
          <w:rFonts w:cs="Times New Roman"/>
          <w:sz w:val="20"/>
          <w:szCs w:val="20"/>
        </w:rPr>
        <w:t xml:space="preserve"> </w:t>
      </w:r>
    </w:p>
    <w:p w14:paraId="479CF8AC" w14:textId="77777777" w:rsidR="00D331FE" w:rsidRDefault="00000000" w:rsidP="004938BB">
      <w:pPr>
        <w:pStyle w:val="SIHeading1"/>
        <w:spacing w:line="480" w:lineRule="auto"/>
      </w:pPr>
      <w:r>
        <w:t>Contents</w:t>
      </w:r>
    </w:p>
    <w:p w14:paraId="6BFCC1FD" w14:textId="77777777" w:rsidR="00D331FE" w:rsidRDefault="00000000" w:rsidP="004938BB">
      <w:pPr>
        <w:spacing w:line="480" w:lineRule="auto"/>
        <w:ind w:left="259" w:hanging="173"/>
      </w:pPr>
      <w:r>
        <w:rPr>
          <w:sz w:val="20"/>
        </w:rPr>
        <w:t>•  Supplementary Table S1. Fold-specific best epochs and final development-model epoch locks</w:t>
      </w:r>
    </w:p>
    <w:p w14:paraId="5AAAE924" w14:textId="77777777" w:rsidR="00D331FE" w:rsidRDefault="00000000" w:rsidP="004938BB">
      <w:pPr>
        <w:spacing w:line="480" w:lineRule="auto"/>
        <w:ind w:left="259" w:hanging="173"/>
      </w:pPr>
      <w:r>
        <w:rPr>
          <w:sz w:val="20"/>
        </w:rPr>
        <w:t>•  Supplementary Table S2. Post hoc five-epoch training-duration sensitivity analysis</w:t>
      </w:r>
    </w:p>
    <w:p w14:paraId="69BEE903" w14:textId="77777777" w:rsidR="00D331FE" w:rsidRDefault="00000000" w:rsidP="004938BB">
      <w:pPr>
        <w:pStyle w:val="SIHeading1"/>
        <w:spacing w:line="480" w:lineRule="auto"/>
      </w:pPr>
      <w:r>
        <w:t xml:space="preserve">Supplementary Table S1. </w:t>
      </w:r>
      <w:r w:rsidRPr="001B3FCA">
        <w:rPr>
          <w:b w:val="0"/>
          <w:bCs/>
        </w:rPr>
        <w:t>Fold-specific best epochs and final development-model epoch locks</w:t>
      </w:r>
    </w:p>
    <w:tbl>
      <w:tblPr>
        <w:tblStyle w:val="TableGridLight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2"/>
        <w:gridCol w:w="1083"/>
        <w:gridCol w:w="1410"/>
        <w:gridCol w:w="1139"/>
        <w:gridCol w:w="1481"/>
        <w:gridCol w:w="1298"/>
        <w:gridCol w:w="2779"/>
        <w:gridCol w:w="2580"/>
      </w:tblGrid>
      <w:tr w:rsidR="00D331FE" w:rsidRPr="001B3FCA" w14:paraId="247A9FF8" w14:textId="77777777" w:rsidTr="004938BB"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5BFDF73F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b/>
                <w:sz w:val="20"/>
                <w:szCs w:val="20"/>
              </w:rPr>
              <w:t>Model</w:t>
            </w:r>
          </w:p>
        </w:tc>
        <w:tc>
          <w:tcPr>
            <w:tcW w:w="762" w:type="dxa"/>
            <w:tcBorders>
              <w:bottom w:val="single" w:sz="4" w:space="0" w:color="auto"/>
            </w:tcBorders>
            <w:vAlign w:val="center"/>
          </w:tcPr>
          <w:p w14:paraId="39031FF4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b/>
                <w:sz w:val="20"/>
                <w:szCs w:val="20"/>
              </w:rPr>
              <w:t>Fold 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7ED94FA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b/>
                <w:sz w:val="20"/>
                <w:szCs w:val="20"/>
              </w:rPr>
              <w:t>Fold 2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vAlign w:val="center"/>
          </w:tcPr>
          <w:p w14:paraId="007923A6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b/>
                <w:sz w:val="20"/>
                <w:szCs w:val="20"/>
              </w:rPr>
              <w:t>Fold 3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14:paraId="42594F34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b/>
                <w:sz w:val="20"/>
                <w:szCs w:val="20"/>
              </w:rPr>
              <w:t>Fold 4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vAlign w:val="center"/>
          </w:tcPr>
          <w:p w14:paraId="774044B2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b/>
                <w:sz w:val="20"/>
                <w:szCs w:val="20"/>
              </w:rPr>
              <w:t>Fold 5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77985EEA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b/>
                <w:sz w:val="20"/>
                <w:szCs w:val="20"/>
              </w:rPr>
              <w:t>Median best epoch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14:paraId="2B7E39C2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b/>
                <w:sz w:val="20"/>
                <w:szCs w:val="20"/>
              </w:rPr>
              <w:t>Final epoch lock</w:t>
            </w:r>
          </w:p>
        </w:tc>
      </w:tr>
      <w:tr w:rsidR="00D331FE" w:rsidRPr="001B3FCA" w14:paraId="3C8DD0AB" w14:textId="77777777" w:rsidTr="004938BB">
        <w:tc>
          <w:tcPr>
            <w:tcW w:w="1648" w:type="dxa"/>
            <w:tcBorders>
              <w:top w:val="single" w:sz="4" w:space="0" w:color="auto"/>
              <w:bottom w:val="nil"/>
            </w:tcBorders>
            <w:vAlign w:val="center"/>
          </w:tcPr>
          <w:p w14:paraId="0F57B46E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ResNet50</w:t>
            </w:r>
          </w:p>
        </w:tc>
        <w:tc>
          <w:tcPr>
            <w:tcW w:w="762" w:type="dxa"/>
            <w:tcBorders>
              <w:top w:val="single" w:sz="4" w:space="0" w:color="auto"/>
              <w:bottom w:val="nil"/>
            </w:tcBorders>
            <w:vAlign w:val="center"/>
          </w:tcPr>
          <w:p w14:paraId="32B19071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60FF0688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bottom w:val="nil"/>
            </w:tcBorders>
            <w:vAlign w:val="center"/>
          </w:tcPr>
          <w:p w14:paraId="32AA7430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  <w:vAlign w:val="center"/>
          </w:tcPr>
          <w:p w14:paraId="503814AD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bottom w:val="nil"/>
            </w:tcBorders>
            <w:vAlign w:val="center"/>
          </w:tcPr>
          <w:p w14:paraId="127E1661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bottom w:val="nil"/>
            </w:tcBorders>
            <w:vAlign w:val="center"/>
          </w:tcPr>
          <w:p w14:paraId="0A2D3F70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1815" w:type="dxa"/>
            <w:tcBorders>
              <w:top w:val="single" w:sz="4" w:space="0" w:color="auto"/>
              <w:bottom w:val="nil"/>
            </w:tcBorders>
            <w:vAlign w:val="center"/>
          </w:tcPr>
          <w:p w14:paraId="04E76802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</w:tr>
      <w:tr w:rsidR="00D331FE" w:rsidRPr="001B3FCA" w14:paraId="177937CA" w14:textId="77777777" w:rsidTr="004938BB">
        <w:tc>
          <w:tcPr>
            <w:tcW w:w="1648" w:type="dxa"/>
            <w:tcBorders>
              <w:top w:val="nil"/>
            </w:tcBorders>
            <w:vAlign w:val="center"/>
          </w:tcPr>
          <w:p w14:paraId="278B15F3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ConvNeXt-Tiny</w:t>
            </w:r>
          </w:p>
        </w:tc>
        <w:tc>
          <w:tcPr>
            <w:tcW w:w="762" w:type="dxa"/>
            <w:tcBorders>
              <w:top w:val="nil"/>
            </w:tcBorders>
            <w:vAlign w:val="center"/>
          </w:tcPr>
          <w:p w14:paraId="1DD5DF59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30E62B88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</w:tcBorders>
            <w:vAlign w:val="center"/>
          </w:tcPr>
          <w:p w14:paraId="0920BDDA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5</w:t>
            </w:r>
          </w:p>
        </w:tc>
        <w:tc>
          <w:tcPr>
            <w:tcW w:w="1042" w:type="dxa"/>
            <w:tcBorders>
              <w:top w:val="nil"/>
            </w:tcBorders>
            <w:vAlign w:val="center"/>
          </w:tcPr>
          <w:p w14:paraId="48200593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913" w:type="dxa"/>
            <w:tcBorders>
              <w:top w:val="nil"/>
            </w:tcBorders>
            <w:vAlign w:val="center"/>
          </w:tcPr>
          <w:p w14:paraId="0F82A6C8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4</w:t>
            </w:r>
          </w:p>
        </w:tc>
        <w:tc>
          <w:tcPr>
            <w:tcW w:w="1955" w:type="dxa"/>
            <w:tcBorders>
              <w:top w:val="nil"/>
            </w:tcBorders>
            <w:vAlign w:val="center"/>
          </w:tcPr>
          <w:p w14:paraId="2244F9FC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1815" w:type="dxa"/>
            <w:tcBorders>
              <w:top w:val="nil"/>
            </w:tcBorders>
            <w:vAlign w:val="center"/>
          </w:tcPr>
          <w:p w14:paraId="4B36FC48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</w:tr>
      <w:tr w:rsidR="00D331FE" w:rsidRPr="001B3FCA" w14:paraId="004A3DA3" w14:textId="77777777" w:rsidTr="004938BB">
        <w:tc>
          <w:tcPr>
            <w:tcW w:w="1648" w:type="dxa"/>
            <w:vAlign w:val="center"/>
          </w:tcPr>
          <w:p w14:paraId="205E0DDC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ViT-B/16</w:t>
            </w:r>
          </w:p>
        </w:tc>
        <w:tc>
          <w:tcPr>
            <w:tcW w:w="762" w:type="dxa"/>
            <w:vAlign w:val="center"/>
          </w:tcPr>
          <w:p w14:paraId="534683B7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5337F8AB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801" w:type="dxa"/>
            <w:vAlign w:val="center"/>
          </w:tcPr>
          <w:p w14:paraId="254B9542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6</w:t>
            </w:r>
          </w:p>
        </w:tc>
        <w:tc>
          <w:tcPr>
            <w:tcW w:w="1042" w:type="dxa"/>
            <w:vAlign w:val="center"/>
          </w:tcPr>
          <w:p w14:paraId="5FA9D659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2</w:t>
            </w:r>
          </w:p>
        </w:tc>
        <w:tc>
          <w:tcPr>
            <w:tcW w:w="913" w:type="dxa"/>
            <w:vAlign w:val="center"/>
          </w:tcPr>
          <w:p w14:paraId="1190F837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1955" w:type="dxa"/>
            <w:vAlign w:val="center"/>
          </w:tcPr>
          <w:p w14:paraId="018F0E55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1815" w:type="dxa"/>
            <w:vAlign w:val="center"/>
          </w:tcPr>
          <w:p w14:paraId="682576C4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</w:tr>
      <w:tr w:rsidR="00D331FE" w:rsidRPr="001B3FCA" w14:paraId="0AF4EA9C" w14:textId="77777777" w:rsidTr="004938BB">
        <w:tc>
          <w:tcPr>
            <w:tcW w:w="1648" w:type="dxa"/>
            <w:vAlign w:val="center"/>
          </w:tcPr>
          <w:p w14:paraId="3B2B3B88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Swin-T</w:t>
            </w:r>
          </w:p>
        </w:tc>
        <w:tc>
          <w:tcPr>
            <w:tcW w:w="762" w:type="dxa"/>
            <w:vAlign w:val="center"/>
          </w:tcPr>
          <w:p w14:paraId="0497956C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464BF6E6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801" w:type="dxa"/>
            <w:vAlign w:val="center"/>
          </w:tcPr>
          <w:p w14:paraId="6B4BA4E7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3</w:t>
            </w:r>
          </w:p>
        </w:tc>
        <w:tc>
          <w:tcPr>
            <w:tcW w:w="1042" w:type="dxa"/>
            <w:vAlign w:val="center"/>
          </w:tcPr>
          <w:p w14:paraId="50021978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913" w:type="dxa"/>
            <w:vAlign w:val="center"/>
          </w:tcPr>
          <w:p w14:paraId="7B97EB7A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1955" w:type="dxa"/>
            <w:vAlign w:val="center"/>
          </w:tcPr>
          <w:p w14:paraId="0E31B430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  <w:tc>
          <w:tcPr>
            <w:tcW w:w="1815" w:type="dxa"/>
            <w:vAlign w:val="center"/>
          </w:tcPr>
          <w:p w14:paraId="23DA5B7F" w14:textId="77777777" w:rsidR="00D331FE" w:rsidRPr="001B3FCA" w:rsidRDefault="00000000" w:rsidP="004938BB">
            <w:pPr>
              <w:spacing w:after="0" w:line="480" w:lineRule="auto"/>
              <w:jc w:val="center"/>
              <w:rPr>
                <w:sz w:val="20"/>
                <w:szCs w:val="20"/>
              </w:rPr>
            </w:pPr>
            <w:r w:rsidRPr="001B3FCA">
              <w:rPr>
                <w:sz w:val="20"/>
                <w:szCs w:val="20"/>
              </w:rPr>
              <w:t>1</w:t>
            </w:r>
          </w:p>
        </w:tc>
      </w:tr>
    </w:tbl>
    <w:p w14:paraId="70D9237B" w14:textId="368F7915" w:rsidR="00D331FE" w:rsidRDefault="00000000" w:rsidP="004938BB">
      <w:pPr>
        <w:spacing w:before="60" w:after="60" w:line="480" w:lineRule="auto"/>
        <w:jc w:val="both"/>
      </w:pPr>
      <w:r>
        <w:rPr>
          <w:b/>
          <w:sz w:val="18"/>
        </w:rPr>
        <w:lastRenderedPageBreak/>
        <w:t xml:space="preserve">Note. </w:t>
      </w:r>
      <w:r>
        <w:rPr>
          <w:sz w:val="18"/>
        </w:rPr>
        <w:t xml:space="preserve">For each architecture, the best epoch in each strict patient-grouped E3 fold was defined by the minimum fold-specific validation loss. The final development-model training duration was prespecified as the median of the five E3 best epochs for that architecture. This rule yielded a one-epoch lock for all four architectures. </w:t>
      </w:r>
      <w:r w:rsidR="002D7E42" w:rsidRPr="002D7E42">
        <w:rPr>
          <w:sz w:val="18"/>
        </w:rPr>
        <w:t>No external-cohort data were used to determine these epoch locks.</w:t>
      </w:r>
    </w:p>
    <w:p w14:paraId="26F09F40" w14:textId="77777777" w:rsidR="00D331FE" w:rsidRDefault="00000000" w:rsidP="004938BB">
      <w:pPr>
        <w:pStyle w:val="SIHeading1"/>
        <w:spacing w:line="480" w:lineRule="auto"/>
      </w:pPr>
      <w:r>
        <w:t xml:space="preserve">Supplementary Table S2. </w:t>
      </w:r>
      <w:r w:rsidRPr="001B3FCA">
        <w:rPr>
          <w:b w:val="0"/>
          <w:bCs/>
        </w:rPr>
        <w:t>Post hoc five-epoch training-duration sensitivity analysis</w:t>
      </w:r>
    </w:p>
    <w:tbl>
      <w:tblPr>
        <w:tblStyle w:val="TableGridLight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1693"/>
        <w:gridCol w:w="2591"/>
        <w:gridCol w:w="2010"/>
        <w:gridCol w:w="2303"/>
        <w:gridCol w:w="2160"/>
        <w:gridCol w:w="2169"/>
      </w:tblGrid>
      <w:tr w:rsidR="00D331FE" w14:paraId="7EA4024F" w14:textId="77777777" w:rsidTr="002D7E42">
        <w:tc>
          <w:tcPr>
            <w:tcW w:w="1168" w:type="dxa"/>
            <w:tcBorders>
              <w:bottom w:val="single" w:sz="4" w:space="0" w:color="auto"/>
            </w:tcBorders>
          </w:tcPr>
          <w:p w14:paraId="781A1E6F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b/>
                <w:sz w:val="20"/>
                <w:szCs w:val="20"/>
              </w:rPr>
              <w:t>Cohort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14:paraId="1D0E6D68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D87E39B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b/>
                <w:sz w:val="20"/>
                <w:szCs w:val="20"/>
              </w:rPr>
              <w:t>Primary 1-epoch AUROC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71338D51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b/>
                <w:sz w:val="20"/>
                <w:szCs w:val="20"/>
              </w:rPr>
              <w:t>5-epoch AUROC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1C15EB9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b/>
                <w:sz w:val="20"/>
                <w:szCs w:val="20"/>
              </w:rPr>
              <w:t>5-epoch 95% CI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25BDA9D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b/>
                <w:sz w:val="20"/>
                <w:szCs w:val="20"/>
              </w:rPr>
              <w:t>ΔAUROC (5−1)</w:t>
            </w:r>
          </w:p>
        </w:tc>
        <w:tc>
          <w:tcPr>
            <w:tcW w:w="2136" w:type="dxa"/>
            <w:tcBorders>
              <w:bottom w:val="single" w:sz="4" w:space="0" w:color="auto"/>
            </w:tcBorders>
          </w:tcPr>
          <w:p w14:paraId="28DE9918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b/>
                <w:sz w:val="20"/>
                <w:szCs w:val="20"/>
              </w:rPr>
              <w:t>Paired 95% CI</w:t>
            </w:r>
          </w:p>
        </w:tc>
      </w:tr>
      <w:tr w:rsidR="00D331FE" w14:paraId="0A4A9A6B" w14:textId="77777777" w:rsidTr="002D7E42">
        <w:tc>
          <w:tcPr>
            <w:tcW w:w="1168" w:type="dxa"/>
            <w:tcBorders>
              <w:top w:val="single" w:sz="4" w:space="0" w:color="auto"/>
              <w:bottom w:val="nil"/>
            </w:tcBorders>
          </w:tcPr>
          <w:p w14:paraId="74F993AC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External A</w:t>
            </w:r>
          </w:p>
        </w:tc>
        <w:tc>
          <w:tcPr>
            <w:tcW w:w="1667" w:type="dxa"/>
            <w:tcBorders>
              <w:top w:val="single" w:sz="4" w:space="0" w:color="auto"/>
              <w:bottom w:val="nil"/>
            </w:tcBorders>
          </w:tcPr>
          <w:p w14:paraId="25A31ACF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ResNet50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7D482B45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0.6246</w:t>
            </w:r>
          </w:p>
        </w:tc>
        <w:tc>
          <w:tcPr>
            <w:tcW w:w="1979" w:type="dxa"/>
            <w:tcBorders>
              <w:top w:val="single" w:sz="4" w:space="0" w:color="auto"/>
              <w:bottom w:val="nil"/>
            </w:tcBorders>
          </w:tcPr>
          <w:p w14:paraId="54B0FF7C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0.6353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254616D5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0.5480–0.7203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</w:tcPr>
          <w:p w14:paraId="0CE6BA9B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+0.0107</w:t>
            </w:r>
          </w:p>
        </w:tc>
        <w:tc>
          <w:tcPr>
            <w:tcW w:w="2136" w:type="dxa"/>
            <w:tcBorders>
              <w:top w:val="single" w:sz="4" w:space="0" w:color="auto"/>
              <w:bottom w:val="nil"/>
            </w:tcBorders>
          </w:tcPr>
          <w:p w14:paraId="0A917BE4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−0.0447 to +0.0684</w:t>
            </w:r>
          </w:p>
        </w:tc>
      </w:tr>
      <w:tr w:rsidR="00D331FE" w14:paraId="07C6892D" w14:textId="77777777" w:rsidTr="002D7E42">
        <w:tc>
          <w:tcPr>
            <w:tcW w:w="1168" w:type="dxa"/>
            <w:tcBorders>
              <w:top w:val="nil"/>
            </w:tcBorders>
          </w:tcPr>
          <w:p w14:paraId="6B12C460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External A</w:t>
            </w:r>
          </w:p>
        </w:tc>
        <w:tc>
          <w:tcPr>
            <w:tcW w:w="1667" w:type="dxa"/>
            <w:tcBorders>
              <w:top w:val="nil"/>
            </w:tcBorders>
          </w:tcPr>
          <w:p w14:paraId="4A0477FB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ConvNeXt-Tiny</w:t>
            </w:r>
          </w:p>
        </w:tc>
        <w:tc>
          <w:tcPr>
            <w:tcW w:w="2552" w:type="dxa"/>
            <w:tcBorders>
              <w:top w:val="nil"/>
            </w:tcBorders>
          </w:tcPr>
          <w:p w14:paraId="287BC19C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0.5973</w:t>
            </w:r>
          </w:p>
        </w:tc>
        <w:tc>
          <w:tcPr>
            <w:tcW w:w="1979" w:type="dxa"/>
            <w:tcBorders>
              <w:top w:val="nil"/>
            </w:tcBorders>
          </w:tcPr>
          <w:p w14:paraId="2EBF46F4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0.5958</w:t>
            </w:r>
          </w:p>
        </w:tc>
        <w:tc>
          <w:tcPr>
            <w:tcW w:w="2268" w:type="dxa"/>
            <w:tcBorders>
              <w:top w:val="nil"/>
            </w:tcBorders>
          </w:tcPr>
          <w:p w14:paraId="7B11CAD7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0.5084–0.6849</w:t>
            </w:r>
          </w:p>
        </w:tc>
        <w:tc>
          <w:tcPr>
            <w:tcW w:w="2127" w:type="dxa"/>
            <w:tcBorders>
              <w:top w:val="nil"/>
            </w:tcBorders>
          </w:tcPr>
          <w:p w14:paraId="749F8FE4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−0.0015</w:t>
            </w:r>
          </w:p>
        </w:tc>
        <w:tc>
          <w:tcPr>
            <w:tcW w:w="2136" w:type="dxa"/>
            <w:tcBorders>
              <w:top w:val="nil"/>
            </w:tcBorders>
          </w:tcPr>
          <w:p w14:paraId="28600C59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−0.0503 to +0.0481</w:t>
            </w:r>
          </w:p>
        </w:tc>
      </w:tr>
      <w:tr w:rsidR="00D331FE" w14:paraId="18F62FA6" w14:textId="77777777" w:rsidTr="002D7E42">
        <w:tc>
          <w:tcPr>
            <w:tcW w:w="1168" w:type="dxa"/>
          </w:tcPr>
          <w:p w14:paraId="66894AD4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External A</w:t>
            </w:r>
          </w:p>
        </w:tc>
        <w:tc>
          <w:tcPr>
            <w:tcW w:w="1667" w:type="dxa"/>
          </w:tcPr>
          <w:p w14:paraId="3C088BCB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ViT-B/16</w:t>
            </w:r>
          </w:p>
        </w:tc>
        <w:tc>
          <w:tcPr>
            <w:tcW w:w="2552" w:type="dxa"/>
          </w:tcPr>
          <w:p w14:paraId="2EE7D05A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0.6298</w:t>
            </w:r>
          </w:p>
        </w:tc>
        <w:tc>
          <w:tcPr>
            <w:tcW w:w="1979" w:type="dxa"/>
          </w:tcPr>
          <w:p w14:paraId="0E30CBDD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0.5955</w:t>
            </w:r>
          </w:p>
        </w:tc>
        <w:tc>
          <w:tcPr>
            <w:tcW w:w="2268" w:type="dxa"/>
          </w:tcPr>
          <w:p w14:paraId="0109957C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0.5041–0.6829</w:t>
            </w:r>
          </w:p>
        </w:tc>
        <w:tc>
          <w:tcPr>
            <w:tcW w:w="2127" w:type="dxa"/>
          </w:tcPr>
          <w:p w14:paraId="67B8725D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−0.0343</w:t>
            </w:r>
          </w:p>
        </w:tc>
        <w:tc>
          <w:tcPr>
            <w:tcW w:w="2136" w:type="dxa"/>
          </w:tcPr>
          <w:p w14:paraId="2A083C18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−0.0804 to +0.0094</w:t>
            </w:r>
          </w:p>
        </w:tc>
      </w:tr>
      <w:tr w:rsidR="00D331FE" w14:paraId="0CD1F9F6" w14:textId="77777777" w:rsidTr="002D7E42">
        <w:tc>
          <w:tcPr>
            <w:tcW w:w="1168" w:type="dxa"/>
          </w:tcPr>
          <w:p w14:paraId="378EBF5C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External A</w:t>
            </w:r>
          </w:p>
        </w:tc>
        <w:tc>
          <w:tcPr>
            <w:tcW w:w="1667" w:type="dxa"/>
          </w:tcPr>
          <w:p w14:paraId="7A4FEDE8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Swin-T</w:t>
            </w:r>
          </w:p>
        </w:tc>
        <w:tc>
          <w:tcPr>
            <w:tcW w:w="2552" w:type="dxa"/>
          </w:tcPr>
          <w:p w14:paraId="6766D40A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0.6267</w:t>
            </w:r>
          </w:p>
        </w:tc>
        <w:tc>
          <w:tcPr>
            <w:tcW w:w="1979" w:type="dxa"/>
          </w:tcPr>
          <w:p w14:paraId="6EE18016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0.6213</w:t>
            </w:r>
          </w:p>
        </w:tc>
        <w:tc>
          <w:tcPr>
            <w:tcW w:w="2268" w:type="dxa"/>
          </w:tcPr>
          <w:p w14:paraId="5BFBC0E1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0.5310–0.7085</w:t>
            </w:r>
          </w:p>
        </w:tc>
        <w:tc>
          <w:tcPr>
            <w:tcW w:w="2127" w:type="dxa"/>
          </w:tcPr>
          <w:p w14:paraId="64235F5D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−0.0054</w:t>
            </w:r>
          </w:p>
        </w:tc>
        <w:tc>
          <w:tcPr>
            <w:tcW w:w="2136" w:type="dxa"/>
          </w:tcPr>
          <w:p w14:paraId="3C0E54A4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−0.0580 to +0.0447</w:t>
            </w:r>
          </w:p>
        </w:tc>
      </w:tr>
      <w:tr w:rsidR="00D331FE" w14:paraId="1503E278" w14:textId="77777777" w:rsidTr="002D7E42">
        <w:tc>
          <w:tcPr>
            <w:tcW w:w="1168" w:type="dxa"/>
          </w:tcPr>
          <w:p w14:paraId="6E6F18CC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External B</w:t>
            </w:r>
          </w:p>
        </w:tc>
        <w:tc>
          <w:tcPr>
            <w:tcW w:w="1667" w:type="dxa"/>
          </w:tcPr>
          <w:p w14:paraId="3717406C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ResNet50</w:t>
            </w:r>
          </w:p>
        </w:tc>
        <w:tc>
          <w:tcPr>
            <w:tcW w:w="2552" w:type="dxa"/>
          </w:tcPr>
          <w:p w14:paraId="120F41E2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0.5199</w:t>
            </w:r>
          </w:p>
        </w:tc>
        <w:tc>
          <w:tcPr>
            <w:tcW w:w="1979" w:type="dxa"/>
          </w:tcPr>
          <w:p w14:paraId="6E5F3BFD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0.5874</w:t>
            </w:r>
          </w:p>
        </w:tc>
        <w:tc>
          <w:tcPr>
            <w:tcW w:w="2268" w:type="dxa"/>
          </w:tcPr>
          <w:p w14:paraId="568D3E49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0.4528–0.7147</w:t>
            </w:r>
          </w:p>
        </w:tc>
        <w:tc>
          <w:tcPr>
            <w:tcW w:w="2127" w:type="dxa"/>
          </w:tcPr>
          <w:p w14:paraId="039B6D96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+0.0676</w:t>
            </w:r>
          </w:p>
        </w:tc>
        <w:tc>
          <w:tcPr>
            <w:tcW w:w="2136" w:type="dxa"/>
          </w:tcPr>
          <w:p w14:paraId="7CC7B8A7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+0.0022 to +0.1381</w:t>
            </w:r>
          </w:p>
        </w:tc>
      </w:tr>
      <w:tr w:rsidR="00D331FE" w14:paraId="33BFB7F0" w14:textId="77777777" w:rsidTr="002D7E42">
        <w:tc>
          <w:tcPr>
            <w:tcW w:w="1168" w:type="dxa"/>
          </w:tcPr>
          <w:p w14:paraId="5113DC8D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External B</w:t>
            </w:r>
          </w:p>
        </w:tc>
        <w:tc>
          <w:tcPr>
            <w:tcW w:w="1667" w:type="dxa"/>
          </w:tcPr>
          <w:p w14:paraId="0200E797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ConvNeXt-Tiny</w:t>
            </w:r>
          </w:p>
        </w:tc>
        <w:tc>
          <w:tcPr>
            <w:tcW w:w="2552" w:type="dxa"/>
          </w:tcPr>
          <w:p w14:paraId="77C14193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0.5579</w:t>
            </w:r>
          </w:p>
        </w:tc>
        <w:tc>
          <w:tcPr>
            <w:tcW w:w="1979" w:type="dxa"/>
          </w:tcPr>
          <w:p w14:paraId="4BFDADAC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0.6071</w:t>
            </w:r>
          </w:p>
        </w:tc>
        <w:tc>
          <w:tcPr>
            <w:tcW w:w="2268" w:type="dxa"/>
          </w:tcPr>
          <w:p w14:paraId="5DFC8742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0.4908–0.7132</w:t>
            </w:r>
          </w:p>
        </w:tc>
        <w:tc>
          <w:tcPr>
            <w:tcW w:w="2127" w:type="dxa"/>
          </w:tcPr>
          <w:p w14:paraId="3BDDDEC5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+0.0493</w:t>
            </w:r>
          </w:p>
        </w:tc>
        <w:tc>
          <w:tcPr>
            <w:tcW w:w="2136" w:type="dxa"/>
          </w:tcPr>
          <w:p w14:paraId="49B805B4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−0.0410 to +0.1360</w:t>
            </w:r>
          </w:p>
        </w:tc>
      </w:tr>
      <w:tr w:rsidR="00D331FE" w14:paraId="77B9A198" w14:textId="77777777" w:rsidTr="002D7E42">
        <w:tc>
          <w:tcPr>
            <w:tcW w:w="1168" w:type="dxa"/>
          </w:tcPr>
          <w:p w14:paraId="5D003B17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External B</w:t>
            </w:r>
          </w:p>
        </w:tc>
        <w:tc>
          <w:tcPr>
            <w:tcW w:w="1667" w:type="dxa"/>
          </w:tcPr>
          <w:p w14:paraId="6CE7D771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ViT-B/16</w:t>
            </w:r>
          </w:p>
        </w:tc>
        <w:tc>
          <w:tcPr>
            <w:tcW w:w="2552" w:type="dxa"/>
          </w:tcPr>
          <w:p w14:paraId="1540EE15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0.5040</w:t>
            </w:r>
          </w:p>
        </w:tc>
        <w:tc>
          <w:tcPr>
            <w:tcW w:w="1979" w:type="dxa"/>
          </w:tcPr>
          <w:p w14:paraId="76FA61FC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0.5068</w:t>
            </w:r>
          </w:p>
        </w:tc>
        <w:tc>
          <w:tcPr>
            <w:tcW w:w="2268" w:type="dxa"/>
          </w:tcPr>
          <w:p w14:paraId="7E8DEFE3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0.3932–0.6207</w:t>
            </w:r>
          </w:p>
        </w:tc>
        <w:tc>
          <w:tcPr>
            <w:tcW w:w="2127" w:type="dxa"/>
          </w:tcPr>
          <w:p w14:paraId="2638D486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+0.0028</w:t>
            </w:r>
          </w:p>
        </w:tc>
        <w:tc>
          <w:tcPr>
            <w:tcW w:w="2136" w:type="dxa"/>
          </w:tcPr>
          <w:p w14:paraId="6D3DD24C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−0.0767 to +0.0785</w:t>
            </w:r>
          </w:p>
        </w:tc>
      </w:tr>
      <w:tr w:rsidR="00D331FE" w14:paraId="79B9E34A" w14:textId="77777777" w:rsidTr="002D7E42">
        <w:tc>
          <w:tcPr>
            <w:tcW w:w="1168" w:type="dxa"/>
          </w:tcPr>
          <w:p w14:paraId="27794B51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External B</w:t>
            </w:r>
          </w:p>
        </w:tc>
        <w:tc>
          <w:tcPr>
            <w:tcW w:w="1667" w:type="dxa"/>
          </w:tcPr>
          <w:p w14:paraId="734B2915" w14:textId="77777777" w:rsidR="00D331FE" w:rsidRPr="001B3FCA" w:rsidRDefault="00000000" w:rsidP="004938BB">
            <w:pPr>
              <w:spacing w:after="0" w:line="480" w:lineRule="auto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Swin-T</w:t>
            </w:r>
          </w:p>
        </w:tc>
        <w:tc>
          <w:tcPr>
            <w:tcW w:w="2552" w:type="dxa"/>
          </w:tcPr>
          <w:p w14:paraId="2573EF7C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0.6084</w:t>
            </w:r>
          </w:p>
        </w:tc>
        <w:tc>
          <w:tcPr>
            <w:tcW w:w="1979" w:type="dxa"/>
          </w:tcPr>
          <w:p w14:paraId="6BB72E41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0.5603</w:t>
            </w:r>
          </w:p>
        </w:tc>
        <w:tc>
          <w:tcPr>
            <w:tcW w:w="2268" w:type="dxa"/>
          </w:tcPr>
          <w:p w14:paraId="6D765505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0.4398–0.6792</w:t>
            </w:r>
          </w:p>
        </w:tc>
        <w:tc>
          <w:tcPr>
            <w:tcW w:w="2127" w:type="dxa"/>
          </w:tcPr>
          <w:p w14:paraId="6FA87FBF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−0.0480</w:t>
            </w:r>
          </w:p>
        </w:tc>
        <w:tc>
          <w:tcPr>
            <w:tcW w:w="2136" w:type="dxa"/>
          </w:tcPr>
          <w:p w14:paraId="2E39C7FC" w14:textId="77777777" w:rsidR="00D331FE" w:rsidRPr="001B3FCA" w:rsidRDefault="00000000" w:rsidP="004938BB">
            <w:pPr>
              <w:spacing w:after="0"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B3FCA">
              <w:rPr>
                <w:rFonts w:cs="Times New Roman"/>
                <w:sz w:val="20"/>
                <w:szCs w:val="20"/>
              </w:rPr>
              <w:t>−0.1522 to +0.0543</w:t>
            </w:r>
          </w:p>
        </w:tc>
      </w:tr>
    </w:tbl>
    <w:p w14:paraId="6B51786E" w14:textId="59B8AA7F" w:rsidR="00D331FE" w:rsidRDefault="00000000" w:rsidP="004938BB">
      <w:pPr>
        <w:spacing w:before="60" w:after="60" w:line="480" w:lineRule="auto"/>
        <w:jc w:val="both"/>
      </w:pPr>
      <w:r>
        <w:rPr>
          <w:b/>
          <w:sz w:val="18"/>
        </w:rPr>
        <w:t xml:space="preserve">Note. </w:t>
      </w:r>
      <w:r>
        <w:rPr>
          <w:sz w:val="18"/>
        </w:rPr>
        <w:t>The primary models were fitted for one epoch according to the prespecified E3 median-best-epoch rule. Post hoc sensitivity models were trained for five fixed epochs on the complete 311-patient development cohort using the same preprocessing and training framework. Models were applied unchanged to External A and External B. ΔAUROC is five-epoch AUROC minus one-epoch AUROC. Paired 95% confidence intervals were derived from 10000 paired patient-level bootstrap replicates after aligning one-epoch and five-epoch predictions by patient identifier. No external fine-tuning, model selection, threshold re-optimization, or recalibration was performed.</w:t>
      </w:r>
    </w:p>
    <w:p w14:paraId="2F85F90A" w14:textId="77777777" w:rsidR="00D331FE" w:rsidRDefault="00000000" w:rsidP="004938BB">
      <w:pPr>
        <w:spacing w:before="60" w:after="60" w:line="480" w:lineRule="auto"/>
        <w:jc w:val="both"/>
      </w:pPr>
      <w:r>
        <w:rPr>
          <w:b/>
          <w:sz w:val="18"/>
        </w:rPr>
        <w:t xml:space="preserve">Abbreviations: </w:t>
      </w:r>
      <w:r>
        <w:rPr>
          <w:sz w:val="18"/>
        </w:rPr>
        <w:t>AUROC, area under the receiver operating characteristic curve; CI, confidence interval; E3, strict patient-grouped internal evaluation.</w:t>
      </w:r>
    </w:p>
    <w:sectPr w:rsidR="00D331FE" w:rsidSect="004938BB">
      <w:footerReference w:type="even" r:id="rId9"/>
      <w:footerReference w:type="default" r:id="rId10"/>
      <w:pgSz w:w="15840" w:h="12240" w:orient="landscape"/>
      <w:pgMar w:top="864" w:right="864" w:bottom="864" w:left="864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A0EFF3" w14:textId="77777777" w:rsidR="00A02E57" w:rsidRDefault="00A02E57" w:rsidP="004938BB">
      <w:pPr>
        <w:spacing w:after="0" w:line="240" w:lineRule="auto"/>
      </w:pPr>
      <w:r>
        <w:separator/>
      </w:r>
    </w:p>
  </w:endnote>
  <w:endnote w:type="continuationSeparator" w:id="0">
    <w:p w14:paraId="506D3998" w14:textId="77777777" w:rsidR="00A02E57" w:rsidRDefault="00A02E57" w:rsidP="00493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23085922"/>
      <w:docPartObj>
        <w:docPartGallery w:val="Page Numbers (Bottom of Page)"/>
        <w:docPartUnique/>
      </w:docPartObj>
    </w:sdtPr>
    <w:sdtContent>
      <w:p w14:paraId="18512DBD" w14:textId="2A95DF16" w:rsidR="004938BB" w:rsidRDefault="004938BB" w:rsidP="00A432F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3AA5379" w14:textId="77777777" w:rsidR="004938BB" w:rsidRDefault="004938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86704547"/>
      <w:docPartObj>
        <w:docPartGallery w:val="Page Numbers (Bottom of Page)"/>
        <w:docPartUnique/>
      </w:docPartObj>
    </w:sdtPr>
    <w:sdtContent>
      <w:p w14:paraId="49E67248" w14:textId="49DDE7C5" w:rsidR="004938BB" w:rsidRDefault="004938BB" w:rsidP="00A432F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12314EC" w14:textId="77777777" w:rsidR="004938BB" w:rsidRDefault="004938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1436A0" w14:textId="77777777" w:rsidR="00A02E57" w:rsidRDefault="00A02E57" w:rsidP="004938BB">
      <w:pPr>
        <w:spacing w:after="0" w:line="240" w:lineRule="auto"/>
      </w:pPr>
      <w:r>
        <w:separator/>
      </w:r>
    </w:p>
  </w:footnote>
  <w:footnote w:type="continuationSeparator" w:id="0">
    <w:p w14:paraId="7032CDC4" w14:textId="77777777" w:rsidR="00A02E57" w:rsidRDefault="00A02E57" w:rsidP="00493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3412939">
    <w:abstractNumId w:val="8"/>
  </w:num>
  <w:num w:numId="2" w16cid:durableId="108860831">
    <w:abstractNumId w:val="6"/>
  </w:num>
  <w:num w:numId="3" w16cid:durableId="229582897">
    <w:abstractNumId w:val="5"/>
  </w:num>
  <w:num w:numId="4" w16cid:durableId="1099762839">
    <w:abstractNumId w:val="4"/>
  </w:num>
  <w:num w:numId="5" w16cid:durableId="815950622">
    <w:abstractNumId w:val="7"/>
  </w:num>
  <w:num w:numId="6" w16cid:durableId="394864192">
    <w:abstractNumId w:val="3"/>
  </w:num>
  <w:num w:numId="7" w16cid:durableId="1315986888">
    <w:abstractNumId w:val="2"/>
  </w:num>
  <w:num w:numId="8" w16cid:durableId="1532109721">
    <w:abstractNumId w:val="1"/>
  </w:num>
  <w:num w:numId="9" w16cid:durableId="2173247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3FCA"/>
    <w:rsid w:val="0029639D"/>
    <w:rsid w:val="002D7E42"/>
    <w:rsid w:val="00326F90"/>
    <w:rsid w:val="004938BB"/>
    <w:rsid w:val="005F73B9"/>
    <w:rsid w:val="007176F4"/>
    <w:rsid w:val="00783BB4"/>
    <w:rsid w:val="007D43F6"/>
    <w:rsid w:val="0093620A"/>
    <w:rsid w:val="00A02E57"/>
    <w:rsid w:val="00AA1D8D"/>
    <w:rsid w:val="00B47730"/>
    <w:rsid w:val="00CB0664"/>
    <w:rsid w:val="00D331FE"/>
    <w:rsid w:val="00D76F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2DAB56"/>
  <w14:defaultImageDpi w14:val="300"/>
  <w15:docId w15:val="{2A5227B2-17D9-3345-BB82-250706E54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IHeading1">
    <w:name w:val="SI Heading 1"/>
    <w:pPr>
      <w:spacing w:before="160" w:after="100"/>
    </w:pPr>
    <w:rPr>
      <w:rFonts w:ascii="Times New Roman" w:hAnsi="Times New Roman"/>
      <w:b/>
      <w:sz w:val="24"/>
    </w:rPr>
  </w:style>
  <w:style w:type="paragraph" w:customStyle="1" w:styleId="SIHeading2">
    <w:name w:val="SI Heading 2"/>
    <w:pPr>
      <w:spacing w:before="160" w:after="100"/>
    </w:pPr>
    <w:rPr>
      <w:rFonts w:ascii="Times New Roman" w:hAnsi="Times New Roman"/>
      <w:b/>
    </w:rPr>
  </w:style>
  <w:style w:type="character" w:styleId="Hyperlink">
    <w:name w:val="Hyperlink"/>
    <w:basedOn w:val="DefaultParagraphFont"/>
    <w:uiPriority w:val="99"/>
    <w:unhideWhenUsed/>
    <w:rsid w:val="001B3FCA"/>
    <w:rPr>
      <w:color w:val="0000FF" w:themeColor="hyperlink"/>
      <w:u w:val="single"/>
    </w:rPr>
  </w:style>
  <w:style w:type="table" w:styleId="TableGridLight">
    <w:name w:val="Grid Table Light"/>
    <w:basedOn w:val="TableNormal"/>
    <w:uiPriority w:val="99"/>
    <w:rsid w:val="001B3FC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4938BB"/>
  </w:style>
  <w:style w:type="character" w:styleId="PageNumber">
    <w:name w:val="page number"/>
    <w:basedOn w:val="DefaultParagraphFont"/>
    <w:uiPriority w:val="99"/>
    <w:semiHidden/>
    <w:unhideWhenUsed/>
    <w:rsid w:val="00493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cati.vardar@karatay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7</cp:revision>
  <dcterms:created xsi:type="dcterms:W3CDTF">2026-09-19T18:10:00Z</dcterms:created>
  <dcterms:modified xsi:type="dcterms:W3CDTF">2026-09-30T16:23:00Z</dcterms:modified>
  <cp:category/>
</cp:coreProperties>
</file>