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55BB8" w14:textId="77777777" w:rsidR="00155F8D" w:rsidRPr="000B60A9" w:rsidRDefault="00155F8D" w:rsidP="00155F8D">
      <w:pPr>
        <w:spacing w:before="120" w:after="120" w:line="360" w:lineRule="auto"/>
        <w:jc w:val="center"/>
        <w:rPr>
          <w:rFonts w:ascii="Times New Roman" w:eastAsia="Times New Roman" w:hAnsi="Times New Roman" w:cs="Times New Roman"/>
          <w:b/>
          <w:bCs/>
          <w:sz w:val="24"/>
          <w:szCs w:val="24"/>
        </w:rPr>
      </w:pPr>
      <w:r w:rsidRPr="000B60A9">
        <w:rPr>
          <w:rFonts w:ascii="Times New Roman" w:eastAsia="Times New Roman" w:hAnsi="Times New Roman" w:cs="Times New Roman"/>
          <w:b/>
          <w:bCs/>
          <w:sz w:val="24"/>
          <w:szCs w:val="24"/>
        </w:rPr>
        <w:t>Supplementary Material</w:t>
      </w:r>
    </w:p>
    <w:p w14:paraId="6A2C9096" w14:textId="77777777" w:rsidR="00155F8D" w:rsidRPr="000B60A9" w:rsidRDefault="00155F8D" w:rsidP="00155F8D">
      <w:pPr>
        <w:spacing w:before="120" w:after="120" w:line="360" w:lineRule="auto"/>
        <w:jc w:val="both"/>
        <w:rPr>
          <w:rFonts w:ascii="Times New Roman" w:eastAsia="Times New Roman" w:hAnsi="Times New Roman" w:cs="Times New Roman"/>
          <w:b/>
          <w:bCs/>
        </w:rPr>
      </w:pPr>
      <w:r w:rsidRPr="000B60A9">
        <w:rPr>
          <w:rFonts w:ascii="Times New Roman" w:eastAsia="Times New Roman" w:hAnsi="Times New Roman" w:cs="Times New Roman"/>
          <w:b/>
          <w:bCs/>
        </w:rPr>
        <w:t>Supplementary Measurement Analyses</w:t>
      </w:r>
    </w:p>
    <w:p w14:paraId="4AB3B62A" w14:textId="77777777" w:rsidR="00155F8D" w:rsidRPr="000B60A9" w:rsidRDefault="00155F8D" w:rsidP="00155F8D">
      <w:pPr>
        <w:spacing w:before="120" w:after="120" w:line="360" w:lineRule="auto"/>
        <w:jc w:val="both"/>
        <w:rPr>
          <w:rFonts w:ascii="Times New Roman" w:eastAsia="Times New Roman" w:hAnsi="Times New Roman" w:cs="Times New Roman"/>
        </w:rPr>
      </w:pPr>
      <w:r w:rsidRPr="000B60A9">
        <w:rPr>
          <w:rFonts w:ascii="Times New Roman" w:eastAsia="Times New Roman" w:hAnsi="Times New Roman" w:cs="Times New Roman"/>
        </w:rPr>
        <w:t>To further examine the psychometric adequacy of the measures used in the main analyses, supplementary item-level analyses were conducted in the final analytic sample of 212 unique participants. These analyses assessed internal consistency, the factor structure of the four multi-item constructs, and the robustness of the primary structural model when the selflessness-related constructs and non-attachment were modeled as latent variables rather than observed composite scores. All confirmatory factor analyses and structural equation models were estimated using robust maximum likelihood estimation (MLR) with full-information maximum likelihood for missing data. Latent factors were standardized by fixing their variances to 1.</w:t>
      </w:r>
    </w:p>
    <w:p w14:paraId="6B6043C5" w14:textId="77777777" w:rsidR="00155F8D" w:rsidRPr="000B60A9" w:rsidRDefault="00155F8D" w:rsidP="00155F8D">
      <w:pPr>
        <w:spacing w:before="120" w:after="120" w:line="360" w:lineRule="auto"/>
        <w:jc w:val="both"/>
        <w:rPr>
          <w:rFonts w:ascii="Times New Roman" w:eastAsia="Times New Roman" w:hAnsi="Times New Roman" w:cs="Times New Roman"/>
          <w:b/>
          <w:bCs/>
        </w:rPr>
      </w:pPr>
      <w:r w:rsidRPr="000B60A9">
        <w:rPr>
          <w:rFonts w:ascii="Times New Roman" w:eastAsia="Times New Roman" w:hAnsi="Times New Roman" w:cs="Times New Roman"/>
          <w:b/>
          <w:bCs/>
        </w:rPr>
        <w:t>Internal Consistency</w:t>
      </w:r>
    </w:p>
    <w:p w14:paraId="6714C696" w14:textId="77777777" w:rsidR="00155F8D" w:rsidRPr="000B60A9" w:rsidRDefault="00155F8D" w:rsidP="00155F8D">
      <w:pPr>
        <w:spacing w:before="120" w:after="120" w:line="360" w:lineRule="auto"/>
        <w:jc w:val="both"/>
        <w:rPr>
          <w:rFonts w:ascii="Times New Roman" w:eastAsia="Times New Roman" w:hAnsi="Times New Roman" w:cs="Times New Roman"/>
          <w:sz w:val="24"/>
          <w:szCs w:val="24"/>
        </w:rPr>
      </w:pPr>
      <w:r w:rsidRPr="000B60A9">
        <w:rPr>
          <w:rFonts w:ascii="Times New Roman" w:eastAsia="Times New Roman" w:hAnsi="Times New Roman" w:cs="Times New Roman"/>
        </w:rPr>
        <w:t xml:space="preserve">Internal consistency was good to excellent across the multi-item measures (Table S1). Cronbach’s alpha ranged from .80 to .91 for the four multi-item constructs, and omega total ranged from .83 to .92. The two-item authentic happiness indicator showed a strong inter-item correlation between happiness and inner peace, </w:t>
      </w:r>
      <w:r w:rsidRPr="000B60A9">
        <w:rPr>
          <w:rFonts w:ascii="Times New Roman" w:eastAsia="Times New Roman" w:hAnsi="Times New Roman" w:cs="Times New Roman"/>
          <w:i/>
          <w:iCs/>
        </w:rPr>
        <w:t>r</w:t>
      </w:r>
      <w:r w:rsidRPr="000B60A9">
        <w:rPr>
          <w:rFonts w:ascii="Times New Roman" w:eastAsia="Times New Roman" w:hAnsi="Times New Roman" w:cs="Times New Roman"/>
        </w:rPr>
        <w:t xml:space="preserve"> = .77.</w:t>
      </w:r>
    </w:p>
    <w:tbl>
      <w:tblPr>
        <w:tblW w:w="9045" w:type="dxa"/>
        <w:tblLayout w:type="fixed"/>
        <w:tblLook w:val="0600" w:firstRow="0" w:lastRow="0" w:firstColumn="0" w:lastColumn="0" w:noHBand="1" w:noVBand="1"/>
      </w:tblPr>
      <w:tblGrid>
        <w:gridCol w:w="3390"/>
        <w:gridCol w:w="1005"/>
        <w:gridCol w:w="1650"/>
        <w:gridCol w:w="1725"/>
        <w:gridCol w:w="1275"/>
      </w:tblGrid>
      <w:tr w:rsidR="00155F8D" w:rsidRPr="000B60A9" w14:paraId="3AC6C4C9" w14:textId="77777777" w:rsidTr="00C72743">
        <w:trPr>
          <w:trHeight w:val="515"/>
        </w:trPr>
        <w:tc>
          <w:tcPr>
            <w:tcW w:w="9045" w:type="dxa"/>
            <w:gridSpan w:val="5"/>
            <w:tcBorders>
              <w:bottom w:val="single" w:sz="4" w:space="0" w:color="000000"/>
            </w:tcBorders>
            <w:tcMar>
              <w:top w:w="100" w:type="dxa"/>
              <w:left w:w="100" w:type="dxa"/>
              <w:bottom w:w="100" w:type="dxa"/>
              <w:right w:w="100" w:type="dxa"/>
            </w:tcMar>
          </w:tcPr>
          <w:p w14:paraId="23136999"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b/>
                <w:bCs/>
                <w:sz w:val="24"/>
                <w:szCs w:val="24"/>
              </w:rPr>
              <w:t xml:space="preserve">Table S1. </w:t>
            </w:r>
            <w:r w:rsidRPr="000B60A9">
              <w:rPr>
                <w:rFonts w:ascii="Times New Roman" w:eastAsia="Times New Roman" w:hAnsi="Times New Roman" w:cs="Times New Roman"/>
                <w:sz w:val="24"/>
                <w:szCs w:val="24"/>
              </w:rPr>
              <w:t>Internal Consistency of Study Measures</w:t>
            </w:r>
          </w:p>
        </w:tc>
      </w:tr>
      <w:tr w:rsidR="00155F8D" w:rsidRPr="000B60A9" w14:paraId="05D94271" w14:textId="77777777" w:rsidTr="00C72743">
        <w:trPr>
          <w:trHeight w:val="515"/>
        </w:trPr>
        <w:tc>
          <w:tcPr>
            <w:tcW w:w="3390" w:type="dxa"/>
            <w:tcBorders>
              <w:bottom w:val="single" w:sz="4" w:space="0" w:color="000000"/>
            </w:tcBorders>
            <w:tcMar>
              <w:top w:w="100" w:type="dxa"/>
              <w:left w:w="100" w:type="dxa"/>
              <w:bottom w:w="100" w:type="dxa"/>
              <w:right w:w="100" w:type="dxa"/>
            </w:tcMar>
          </w:tcPr>
          <w:p w14:paraId="76782151"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b/>
                <w:bCs/>
              </w:rPr>
              <w:t>Measure</w:t>
            </w:r>
          </w:p>
        </w:tc>
        <w:tc>
          <w:tcPr>
            <w:tcW w:w="1005" w:type="dxa"/>
            <w:tcBorders>
              <w:bottom w:val="single" w:sz="4" w:space="0" w:color="000000"/>
            </w:tcBorders>
            <w:tcMar>
              <w:top w:w="100" w:type="dxa"/>
              <w:left w:w="100" w:type="dxa"/>
              <w:bottom w:w="100" w:type="dxa"/>
              <w:right w:w="100" w:type="dxa"/>
            </w:tcMar>
          </w:tcPr>
          <w:p w14:paraId="79A31982"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b/>
                <w:bCs/>
              </w:rPr>
              <w:t>Items</w:t>
            </w:r>
          </w:p>
        </w:tc>
        <w:tc>
          <w:tcPr>
            <w:tcW w:w="1650" w:type="dxa"/>
            <w:tcBorders>
              <w:bottom w:val="single" w:sz="4" w:space="0" w:color="000000"/>
            </w:tcBorders>
            <w:tcMar>
              <w:top w:w="100" w:type="dxa"/>
              <w:left w:w="100" w:type="dxa"/>
              <w:bottom w:w="100" w:type="dxa"/>
              <w:right w:w="100" w:type="dxa"/>
            </w:tcMar>
          </w:tcPr>
          <w:p w14:paraId="01167E73"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b/>
                <w:bCs/>
              </w:rPr>
              <w:t>Cronbach’s α</w:t>
            </w:r>
          </w:p>
        </w:tc>
        <w:tc>
          <w:tcPr>
            <w:tcW w:w="1725" w:type="dxa"/>
            <w:tcBorders>
              <w:bottom w:val="single" w:sz="4" w:space="0" w:color="000000"/>
            </w:tcBorders>
            <w:tcMar>
              <w:top w:w="100" w:type="dxa"/>
              <w:left w:w="100" w:type="dxa"/>
              <w:bottom w:w="100" w:type="dxa"/>
              <w:right w:w="100" w:type="dxa"/>
            </w:tcMar>
          </w:tcPr>
          <w:p w14:paraId="56FDBCBF"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b/>
                <w:bCs/>
              </w:rPr>
              <w:t>Standardized α</w:t>
            </w:r>
          </w:p>
        </w:tc>
        <w:tc>
          <w:tcPr>
            <w:tcW w:w="1275" w:type="dxa"/>
            <w:tcBorders>
              <w:bottom w:val="single" w:sz="4" w:space="0" w:color="000000"/>
            </w:tcBorders>
            <w:tcMar>
              <w:top w:w="100" w:type="dxa"/>
              <w:left w:w="100" w:type="dxa"/>
              <w:bottom w:w="100" w:type="dxa"/>
              <w:right w:w="100" w:type="dxa"/>
            </w:tcMar>
          </w:tcPr>
          <w:p w14:paraId="5F3EC35A"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b/>
                <w:bCs/>
              </w:rPr>
              <w:t>ω total</w:t>
            </w:r>
          </w:p>
        </w:tc>
      </w:tr>
      <w:tr w:rsidR="00155F8D" w:rsidRPr="000B60A9" w14:paraId="2AD235B8" w14:textId="77777777" w:rsidTr="00C72743">
        <w:trPr>
          <w:trHeight w:val="515"/>
        </w:trPr>
        <w:tc>
          <w:tcPr>
            <w:tcW w:w="3390" w:type="dxa"/>
            <w:tcBorders>
              <w:top w:val="single" w:sz="4" w:space="0" w:color="000000"/>
              <w:bottom w:val="single" w:sz="4" w:space="0" w:color="000000"/>
            </w:tcBorders>
            <w:tcMar>
              <w:top w:w="100" w:type="dxa"/>
              <w:left w:w="100" w:type="dxa"/>
              <w:bottom w:w="100" w:type="dxa"/>
              <w:right w:w="100" w:type="dxa"/>
            </w:tcMar>
          </w:tcPr>
          <w:p w14:paraId="7AD6AE5B"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rPr>
              <w:t>Connectedness to Humanity</w:t>
            </w:r>
          </w:p>
        </w:tc>
        <w:tc>
          <w:tcPr>
            <w:tcW w:w="1005" w:type="dxa"/>
            <w:tcBorders>
              <w:top w:val="single" w:sz="4" w:space="0" w:color="000000"/>
              <w:bottom w:val="single" w:sz="4" w:space="0" w:color="000000"/>
            </w:tcBorders>
            <w:tcMar>
              <w:top w:w="100" w:type="dxa"/>
              <w:left w:w="100" w:type="dxa"/>
              <w:bottom w:w="100" w:type="dxa"/>
              <w:right w:w="100" w:type="dxa"/>
            </w:tcMar>
          </w:tcPr>
          <w:p w14:paraId="18EBD9F0"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7</w:t>
            </w:r>
          </w:p>
        </w:tc>
        <w:tc>
          <w:tcPr>
            <w:tcW w:w="1650" w:type="dxa"/>
            <w:tcBorders>
              <w:top w:val="single" w:sz="4" w:space="0" w:color="000000"/>
              <w:bottom w:val="single" w:sz="4" w:space="0" w:color="000000"/>
            </w:tcBorders>
            <w:tcMar>
              <w:top w:w="100" w:type="dxa"/>
              <w:left w:w="100" w:type="dxa"/>
              <w:bottom w:w="100" w:type="dxa"/>
              <w:right w:w="100" w:type="dxa"/>
            </w:tcMar>
          </w:tcPr>
          <w:p w14:paraId="2B148FD9"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.914</w:t>
            </w:r>
          </w:p>
        </w:tc>
        <w:tc>
          <w:tcPr>
            <w:tcW w:w="1725" w:type="dxa"/>
            <w:tcBorders>
              <w:top w:val="single" w:sz="4" w:space="0" w:color="000000"/>
              <w:bottom w:val="single" w:sz="4" w:space="0" w:color="000000"/>
            </w:tcBorders>
            <w:tcMar>
              <w:top w:w="100" w:type="dxa"/>
              <w:left w:w="100" w:type="dxa"/>
              <w:bottom w:w="100" w:type="dxa"/>
              <w:right w:w="100" w:type="dxa"/>
            </w:tcMar>
          </w:tcPr>
          <w:p w14:paraId="4EDF527F"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.914</w:t>
            </w:r>
          </w:p>
        </w:tc>
        <w:tc>
          <w:tcPr>
            <w:tcW w:w="1275" w:type="dxa"/>
            <w:tcBorders>
              <w:top w:val="single" w:sz="4" w:space="0" w:color="000000"/>
              <w:bottom w:val="single" w:sz="4" w:space="0" w:color="000000"/>
            </w:tcBorders>
            <w:tcMar>
              <w:top w:w="100" w:type="dxa"/>
              <w:left w:w="100" w:type="dxa"/>
              <w:bottom w:w="100" w:type="dxa"/>
              <w:right w:w="100" w:type="dxa"/>
            </w:tcMar>
          </w:tcPr>
          <w:p w14:paraId="686CA3BB"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.916</w:t>
            </w:r>
          </w:p>
        </w:tc>
      </w:tr>
      <w:tr w:rsidR="00155F8D" w:rsidRPr="000B60A9" w14:paraId="3A30215F" w14:textId="77777777" w:rsidTr="00C72743">
        <w:trPr>
          <w:trHeight w:val="515"/>
        </w:trPr>
        <w:tc>
          <w:tcPr>
            <w:tcW w:w="3390" w:type="dxa"/>
            <w:tcBorders>
              <w:top w:val="single" w:sz="4" w:space="0" w:color="000000"/>
              <w:bottom w:val="single" w:sz="4" w:space="0" w:color="000000"/>
            </w:tcBorders>
            <w:tcMar>
              <w:top w:w="100" w:type="dxa"/>
              <w:left w:w="100" w:type="dxa"/>
              <w:bottom w:w="100" w:type="dxa"/>
              <w:right w:w="100" w:type="dxa"/>
            </w:tcMar>
          </w:tcPr>
          <w:p w14:paraId="5D63A630"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rPr>
              <w:t>Impermanence-related insight</w:t>
            </w:r>
          </w:p>
        </w:tc>
        <w:tc>
          <w:tcPr>
            <w:tcW w:w="1005" w:type="dxa"/>
            <w:tcBorders>
              <w:top w:val="single" w:sz="4" w:space="0" w:color="000000"/>
              <w:bottom w:val="single" w:sz="4" w:space="0" w:color="000000"/>
            </w:tcBorders>
            <w:tcMar>
              <w:top w:w="100" w:type="dxa"/>
              <w:left w:w="100" w:type="dxa"/>
              <w:bottom w:w="100" w:type="dxa"/>
              <w:right w:w="100" w:type="dxa"/>
            </w:tcMar>
          </w:tcPr>
          <w:p w14:paraId="52EB712E"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4</w:t>
            </w:r>
          </w:p>
        </w:tc>
        <w:tc>
          <w:tcPr>
            <w:tcW w:w="1650" w:type="dxa"/>
            <w:tcBorders>
              <w:top w:val="single" w:sz="4" w:space="0" w:color="000000"/>
              <w:bottom w:val="single" w:sz="4" w:space="0" w:color="000000"/>
            </w:tcBorders>
            <w:tcMar>
              <w:top w:w="100" w:type="dxa"/>
              <w:left w:w="100" w:type="dxa"/>
              <w:bottom w:w="100" w:type="dxa"/>
              <w:right w:w="100" w:type="dxa"/>
            </w:tcMar>
          </w:tcPr>
          <w:p w14:paraId="2D61C136"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.802</w:t>
            </w:r>
          </w:p>
        </w:tc>
        <w:tc>
          <w:tcPr>
            <w:tcW w:w="1725" w:type="dxa"/>
            <w:tcBorders>
              <w:top w:val="single" w:sz="4" w:space="0" w:color="000000"/>
              <w:bottom w:val="single" w:sz="4" w:space="0" w:color="000000"/>
            </w:tcBorders>
            <w:tcMar>
              <w:top w:w="100" w:type="dxa"/>
              <w:left w:w="100" w:type="dxa"/>
              <w:bottom w:w="100" w:type="dxa"/>
              <w:right w:w="100" w:type="dxa"/>
            </w:tcMar>
          </w:tcPr>
          <w:p w14:paraId="1A3E03BE"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.820</w:t>
            </w:r>
          </w:p>
        </w:tc>
        <w:tc>
          <w:tcPr>
            <w:tcW w:w="1275" w:type="dxa"/>
            <w:tcBorders>
              <w:top w:val="single" w:sz="4" w:space="0" w:color="000000"/>
              <w:bottom w:val="single" w:sz="4" w:space="0" w:color="000000"/>
            </w:tcBorders>
            <w:tcMar>
              <w:top w:w="100" w:type="dxa"/>
              <w:left w:w="100" w:type="dxa"/>
              <w:bottom w:w="100" w:type="dxa"/>
              <w:right w:w="100" w:type="dxa"/>
            </w:tcMar>
          </w:tcPr>
          <w:p w14:paraId="582262AB"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.826</w:t>
            </w:r>
          </w:p>
        </w:tc>
      </w:tr>
      <w:tr w:rsidR="00155F8D" w:rsidRPr="000B60A9" w14:paraId="610D36EA" w14:textId="77777777" w:rsidTr="00C72743">
        <w:trPr>
          <w:trHeight w:val="515"/>
        </w:trPr>
        <w:tc>
          <w:tcPr>
            <w:tcW w:w="3390" w:type="dxa"/>
            <w:tcBorders>
              <w:top w:val="single" w:sz="4" w:space="0" w:color="000000"/>
              <w:bottom w:val="single" w:sz="4" w:space="0" w:color="000000"/>
            </w:tcBorders>
            <w:tcMar>
              <w:top w:w="100" w:type="dxa"/>
              <w:left w:w="100" w:type="dxa"/>
              <w:bottom w:w="100" w:type="dxa"/>
              <w:right w:w="100" w:type="dxa"/>
            </w:tcMar>
          </w:tcPr>
          <w:p w14:paraId="637D1EE3"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rPr>
              <w:t>Disidentification</w:t>
            </w:r>
          </w:p>
        </w:tc>
        <w:tc>
          <w:tcPr>
            <w:tcW w:w="1005" w:type="dxa"/>
            <w:tcBorders>
              <w:top w:val="single" w:sz="4" w:space="0" w:color="000000"/>
              <w:bottom w:val="single" w:sz="4" w:space="0" w:color="000000"/>
            </w:tcBorders>
            <w:tcMar>
              <w:top w:w="100" w:type="dxa"/>
              <w:left w:w="100" w:type="dxa"/>
              <w:bottom w:w="100" w:type="dxa"/>
              <w:right w:w="100" w:type="dxa"/>
            </w:tcMar>
          </w:tcPr>
          <w:p w14:paraId="5216E173"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5</w:t>
            </w:r>
          </w:p>
        </w:tc>
        <w:tc>
          <w:tcPr>
            <w:tcW w:w="1650" w:type="dxa"/>
            <w:tcBorders>
              <w:top w:val="single" w:sz="4" w:space="0" w:color="000000"/>
              <w:bottom w:val="single" w:sz="4" w:space="0" w:color="000000"/>
            </w:tcBorders>
            <w:tcMar>
              <w:top w:w="100" w:type="dxa"/>
              <w:left w:w="100" w:type="dxa"/>
              <w:bottom w:w="100" w:type="dxa"/>
              <w:right w:w="100" w:type="dxa"/>
            </w:tcMar>
          </w:tcPr>
          <w:p w14:paraId="52D3E3B3"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.878</w:t>
            </w:r>
          </w:p>
        </w:tc>
        <w:tc>
          <w:tcPr>
            <w:tcW w:w="1725" w:type="dxa"/>
            <w:tcBorders>
              <w:top w:val="single" w:sz="4" w:space="0" w:color="000000"/>
              <w:bottom w:val="single" w:sz="4" w:space="0" w:color="000000"/>
            </w:tcBorders>
            <w:tcMar>
              <w:top w:w="100" w:type="dxa"/>
              <w:left w:w="100" w:type="dxa"/>
              <w:bottom w:w="100" w:type="dxa"/>
              <w:right w:w="100" w:type="dxa"/>
            </w:tcMar>
          </w:tcPr>
          <w:p w14:paraId="25D32B96"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.879</w:t>
            </w:r>
          </w:p>
        </w:tc>
        <w:tc>
          <w:tcPr>
            <w:tcW w:w="1275" w:type="dxa"/>
            <w:tcBorders>
              <w:top w:val="single" w:sz="4" w:space="0" w:color="000000"/>
              <w:bottom w:val="single" w:sz="4" w:space="0" w:color="000000"/>
            </w:tcBorders>
            <w:tcMar>
              <w:top w:w="100" w:type="dxa"/>
              <w:left w:w="100" w:type="dxa"/>
              <w:bottom w:w="100" w:type="dxa"/>
              <w:right w:w="100" w:type="dxa"/>
            </w:tcMar>
          </w:tcPr>
          <w:p w14:paraId="313BE000"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.880</w:t>
            </w:r>
          </w:p>
        </w:tc>
      </w:tr>
      <w:tr w:rsidR="00155F8D" w:rsidRPr="000B60A9" w14:paraId="05A6184C" w14:textId="77777777" w:rsidTr="00C72743">
        <w:trPr>
          <w:trHeight w:val="515"/>
        </w:trPr>
        <w:tc>
          <w:tcPr>
            <w:tcW w:w="3390" w:type="dxa"/>
            <w:tcBorders>
              <w:top w:val="single" w:sz="4" w:space="0" w:color="000000"/>
              <w:bottom w:val="single" w:sz="4" w:space="0" w:color="000000"/>
            </w:tcBorders>
            <w:tcMar>
              <w:top w:w="100" w:type="dxa"/>
              <w:left w:w="100" w:type="dxa"/>
              <w:bottom w:w="100" w:type="dxa"/>
              <w:right w:w="100" w:type="dxa"/>
            </w:tcMar>
          </w:tcPr>
          <w:p w14:paraId="5300A3D2"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rPr>
              <w:t>Non-attachment</w:t>
            </w:r>
          </w:p>
        </w:tc>
        <w:tc>
          <w:tcPr>
            <w:tcW w:w="1005" w:type="dxa"/>
            <w:tcBorders>
              <w:top w:val="single" w:sz="4" w:space="0" w:color="000000"/>
              <w:bottom w:val="single" w:sz="4" w:space="0" w:color="000000"/>
            </w:tcBorders>
            <w:tcMar>
              <w:top w:w="100" w:type="dxa"/>
              <w:left w:w="100" w:type="dxa"/>
              <w:bottom w:w="100" w:type="dxa"/>
              <w:right w:w="100" w:type="dxa"/>
            </w:tcMar>
          </w:tcPr>
          <w:p w14:paraId="5A998FF2"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7</w:t>
            </w:r>
          </w:p>
        </w:tc>
        <w:tc>
          <w:tcPr>
            <w:tcW w:w="1650" w:type="dxa"/>
            <w:tcBorders>
              <w:top w:val="single" w:sz="4" w:space="0" w:color="000000"/>
              <w:bottom w:val="single" w:sz="4" w:space="0" w:color="000000"/>
            </w:tcBorders>
            <w:tcMar>
              <w:top w:w="100" w:type="dxa"/>
              <w:left w:w="100" w:type="dxa"/>
              <w:bottom w:w="100" w:type="dxa"/>
              <w:right w:w="100" w:type="dxa"/>
            </w:tcMar>
          </w:tcPr>
          <w:p w14:paraId="50341CE4"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.881</w:t>
            </w:r>
          </w:p>
        </w:tc>
        <w:tc>
          <w:tcPr>
            <w:tcW w:w="1725" w:type="dxa"/>
            <w:tcBorders>
              <w:top w:val="single" w:sz="4" w:space="0" w:color="000000"/>
              <w:bottom w:val="single" w:sz="4" w:space="0" w:color="000000"/>
            </w:tcBorders>
            <w:tcMar>
              <w:top w:w="100" w:type="dxa"/>
              <w:left w:w="100" w:type="dxa"/>
              <w:bottom w:w="100" w:type="dxa"/>
              <w:right w:w="100" w:type="dxa"/>
            </w:tcMar>
          </w:tcPr>
          <w:p w14:paraId="7A4538D5"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.882</w:t>
            </w:r>
          </w:p>
        </w:tc>
        <w:tc>
          <w:tcPr>
            <w:tcW w:w="1275" w:type="dxa"/>
            <w:tcBorders>
              <w:top w:val="single" w:sz="4" w:space="0" w:color="000000"/>
              <w:bottom w:val="single" w:sz="4" w:space="0" w:color="000000"/>
            </w:tcBorders>
            <w:tcMar>
              <w:top w:w="100" w:type="dxa"/>
              <w:left w:w="100" w:type="dxa"/>
              <w:bottom w:w="100" w:type="dxa"/>
              <w:right w:w="100" w:type="dxa"/>
            </w:tcMar>
          </w:tcPr>
          <w:p w14:paraId="4CA233B2"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.883</w:t>
            </w:r>
          </w:p>
        </w:tc>
      </w:tr>
      <w:tr w:rsidR="00155F8D" w:rsidRPr="000B60A9" w14:paraId="2FB44016" w14:textId="77777777" w:rsidTr="00C72743">
        <w:trPr>
          <w:trHeight w:val="515"/>
        </w:trPr>
        <w:tc>
          <w:tcPr>
            <w:tcW w:w="3390" w:type="dxa"/>
            <w:tcBorders>
              <w:top w:val="single" w:sz="4" w:space="0" w:color="000000"/>
              <w:bottom w:val="single" w:sz="4" w:space="0" w:color="000000"/>
            </w:tcBorders>
            <w:tcMar>
              <w:top w:w="100" w:type="dxa"/>
              <w:left w:w="100" w:type="dxa"/>
              <w:bottom w:w="100" w:type="dxa"/>
              <w:right w:w="100" w:type="dxa"/>
            </w:tcMar>
          </w:tcPr>
          <w:p w14:paraId="4FFECCE9"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rPr>
              <w:t>Authentic happiness</w:t>
            </w:r>
          </w:p>
        </w:tc>
        <w:tc>
          <w:tcPr>
            <w:tcW w:w="1005" w:type="dxa"/>
            <w:tcBorders>
              <w:top w:val="single" w:sz="4" w:space="0" w:color="000000"/>
              <w:bottom w:val="single" w:sz="4" w:space="0" w:color="000000"/>
            </w:tcBorders>
            <w:tcMar>
              <w:top w:w="100" w:type="dxa"/>
              <w:left w:w="100" w:type="dxa"/>
              <w:bottom w:w="100" w:type="dxa"/>
              <w:right w:w="100" w:type="dxa"/>
            </w:tcMar>
          </w:tcPr>
          <w:p w14:paraId="7D07F469"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2</w:t>
            </w:r>
          </w:p>
        </w:tc>
        <w:tc>
          <w:tcPr>
            <w:tcW w:w="1650" w:type="dxa"/>
            <w:tcBorders>
              <w:top w:val="single" w:sz="4" w:space="0" w:color="000000"/>
              <w:bottom w:val="single" w:sz="4" w:space="0" w:color="000000"/>
            </w:tcBorders>
            <w:tcMar>
              <w:top w:w="100" w:type="dxa"/>
              <w:left w:w="100" w:type="dxa"/>
              <w:bottom w:w="100" w:type="dxa"/>
              <w:right w:w="100" w:type="dxa"/>
            </w:tcMar>
          </w:tcPr>
          <w:p w14:paraId="35386452"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.871</w:t>
            </w:r>
          </w:p>
        </w:tc>
        <w:tc>
          <w:tcPr>
            <w:tcW w:w="1725" w:type="dxa"/>
            <w:tcBorders>
              <w:top w:val="single" w:sz="4" w:space="0" w:color="000000"/>
              <w:bottom w:val="single" w:sz="4" w:space="0" w:color="000000"/>
            </w:tcBorders>
            <w:tcMar>
              <w:top w:w="100" w:type="dxa"/>
              <w:left w:w="100" w:type="dxa"/>
              <w:bottom w:w="100" w:type="dxa"/>
              <w:right w:w="100" w:type="dxa"/>
            </w:tcMar>
          </w:tcPr>
          <w:p w14:paraId="4F6D6126"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.871</w:t>
            </w:r>
          </w:p>
        </w:tc>
        <w:tc>
          <w:tcPr>
            <w:tcW w:w="1275" w:type="dxa"/>
            <w:tcBorders>
              <w:top w:val="single" w:sz="4" w:space="0" w:color="000000"/>
              <w:bottom w:val="single" w:sz="4" w:space="0" w:color="000000"/>
            </w:tcBorders>
            <w:tcMar>
              <w:top w:w="100" w:type="dxa"/>
              <w:left w:w="100" w:type="dxa"/>
              <w:bottom w:w="100" w:type="dxa"/>
              <w:right w:w="100" w:type="dxa"/>
            </w:tcMar>
          </w:tcPr>
          <w:p w14:paraId="3234D3F6"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.871</w:t>
            </w:r>
          </w:p>
        </w:tc>
      </w:tr>
      <w:tr w:rsidR="00155F8D" w:rsidRPr="000B60A9" w14:paraId="1BF85D71" w14:textId="77777777" w:rsidTr="00C72743">
        <w:trPr>
          <w:trHeight w:val="515"/>
        </w:trPr>
        <w:tc>
          <w:tcPr>
            <w:tcW w:w="9045" w:type="dxa"/>
            <w:gridSpan w:val="5"/>
            <w:tcBorders>
              <w:top w:val="single" w:sz="4" w:space="0" w:color="000000"/>
            </w:tcBorders>
            <w:tcMar>
              <w:top w:w="100" w:type="dxa"/>
              <w:left w:w="100" w:type="dxa"/>
              <w:bottom w:w="100" w:type="dxa"/>
              <w:right w:w="100" w:type="dxa"/>
            </w:tcMar>
          </w:tcPr>
          <w:p w14:paraId="310B5CEA"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i/>
                <w:iCs/>
              </w:rPr>
              <w:t>Note. N</w:t>
            </w:r>
            <w:r w:rsidRPr="000B60A9">
              <w:rPr>
                <w:rFonts w:ascii="Times New Roman" w:eastAsia="Times New Roman" w:hAnsi="Times New Roman" w:cs="Times New Roman"/>
              </w:rPr>
              <w:t xml:space="preserve"> = 212. The two authentic happiness items, happiness and inner peace, were strongly correlated, </w:t>
            </w:r>
            <w:r w:rsidRPr="000B60A9">
              <w:rPr>
                <w:rFonts w:ascii="Times New Roman" w:eastAsia="Times New Roman" w:hAnsi="Times New Roman" w:cs="Times New Roman"/>
                <w:i/>
                <w:iCs/>
              </w:rPr>
              <w:t>r</w:t>
            </w:r>
            <w:r w:rsidRPr="000B60A9">
              <w:rPr>
                <w:rFonts w:ascii="Times New Roman" w:eastAsia="Times New Roman" w:hAnsi="Times New Roman" w:cs="Times New Roman"/>
              </w:rPr>
              <w:t xml:space="preserve"> = .772.</w:t>
            </w:r>
          </w:p>
        </w:tc>
      </w:tr>
    </w:tbl>
    <w:p w14:paraId="22258920" w14:textId="77777777" w:rsidR="00155F8D" w:rsidRPr="000B60A9" w:rsidRDefault="00155F8D" w:rsidP="00155F8D">
      <w:pPr>
        <w:pStyle w:val="Heading3"/>
        <w:spacing w:before="120" w:after="120" w:line="360" w:lineRule="auto"/>
        <w:jc w:val="both"/>
        <w:rPr>
          <w:sz w:val="24"/>
          <w:szCs w:val="24"/>
        </w:rPr>
      </w:pPr>
      <w:bookmarkStart w:id="0" w:name="_heading=h.cm71oy58u4dg" w:colFirst="0" w:colLast="0"/>
      <w:bookmarkEnd w:id="0"/>
      <w:r w:rsidRPr="000B60A9">
        <w:rPr>
          <w:sz w:val="24"/>
          <w:szCs w:val="24"/>
        </w:rPr>
        <w:lastRenderedPageBreak/>
        <w:t>Confirmatory Factor Analyses</w:t>
      </w:r>
    </w:p>
    <w:p w14:paraId="150A58A2" w14:textId="77777777" w:rsidR="00155F8D" w:rsidRPr="000B60A9" w:rsidRDefault="00155F8D" w:rsidP="00155F8D">
      <w:pPr>
        <w:pStyle w:val="Heading3"/>
        <w:spacing w:before="120" w:after="120" w:line="360" w:lineRule="auto"/>
        <w:jc w:val="both"/>
        <w:rPr>
          <w:b/>
          <w:bCs/>
          <w:sz w:val="24"/>
          <w:szCs w:val="24"/>
        </w:rPr>
      </w:pPr>
      <w:bookmarkStart w:id="1" w:name="_heading=h.6hdazw7ia48y" w:colFirst="0" w:colLast="0"/>
      <w:bookmarkEnd w:id="1"/>
      <w:r w:rsidRPr="000B60A9">
        <w:rPr>
          <w:sz w:val="24"/>
          <w:szCs w:val="24"/>
        </w:rPr>
        <w:t>Single-factor CFA models were first examined separately for each multi-item construct. Fit was strongest for impermanence-related insight and non-attachment, whereas the fit of the isolated connectedness and disidentification models was more mixed according to some indices, particularly RMSEA and TLI (Table S2). Because the constructs were intended to represent related but distinct components within the broader theoretical framework, we additionally tested a four-factor measurement model simultaneously representing Connectedness to Humanity, Impermanence-related insight, Disidentification, and Non-attachment.</w:t>
      </w:r>
    </w:p>
    <w:p w14:paraId="48F707AF" w14:textId="77777777" w:rsidR="00155F8D" w:rsidRPr="000B60A9" w:rsidRDefault="00155F8D" w:rsidP="00155F8D">
      <w:pPr>
        <w:pStyle w:val="Heading3"/>
        <w:spacing w:before="120" w:after="120" w:line="360" w:lineRule="auto"/>
        <w:jc w:val="both"/>
        <w:rPr>
          <w:b/>
          <w:bCs/>
          <w:sz w:val="24"/>
          <w:szCs w:val="24"/>
        </w:rPr>
      </w:pPr>
      <w:bookmarkStart w:id="2" w:name="_heading=h.dylaizosyge8" w:colFirst="0" w:colLast="0"/>
      <w:bookmarkEnd w:id="2"/>
      <w:r w:rsidRPr="000B60A9">
        <w:rPr>
          <w:sz w:val="24"/>
          <w:szCs w:val="24"/>
        </w:rPr>
        <w:t xml:space="preserve">The four-factor model showed an acceptable overall fit, χ²(224) = 371.78, </w:t>
      </w:r>
      <w:r w:rsidRPr="000B60A9">
        <w:rPr>
          <w:i/>
          <w:iCs/>
          <w:sz w:val="24"/>
          <w:szCs w:val="24"/>
        </w:rPr>
        <w:t>p</w:t>
      </w:r>
      <w:r w:rsidRPr="000B60A9">
        <w:rPr>
          <w:sz w:val="24"/>
          <w:szCs w:val="24"/>
        </w:rPr>
        <w:t xml:space="preserve"> &lt; .001, CFI = .930, TLI = .920, RMSEA = .056, 90% CI [.046, .065], SRMR = .051. All indicators loaded significantly on their intended latent factors. Standardized loadings ranged from .59 to .84 for Connectedness to Humanity, .55 to .85 for Impermanence-related insight, .71 to .84 for Disidentification, and .60 to .80 for Non-attachment.</w:t>
      </w:r>
    </w:p>
    <w:p w14:paraId="47EE8D54" w14:textId="77777777" w:rsidR="00155F8D" w:rsidRPr="000B60A9" w:rsidRDefault="00155F8D" w:rsidP="00155F8D">
      <w:pPr>
        <w:pStyle w:val="Heading3"/>
        <w:spacing w:before="120" w:after="120" w:line="360" w:lineRule="auto"/>
        <w:jc w:val="both"/>
      </w:pPr>
      <w:bookmarkStart w:id="3" w:name="_heading=h.8t90cjt1zzse" w:colFirst="0" w:colLast="0"/>
      <w:bookmarkEnd w:id="3"/>
      <w:r w:rsidRPr="000B60A9">
        <w:rPr>
          <w:sz w:val="24"/>
          <w:szCs w:val="24"/>
        </w:rPr>
        <w:t>These findings supported the proposed multidimensional measurement structure while also suggesting that some individual scales may contain residual item-level complexity not fully captured by strict unidimensional models.</w:t>
      </w:r>
    </w:p>
    <w:tbl>
      <w:tblPr>
        <w:tblW w:w="9071" w:type="dxa"/>
        <w:tblLayout w:type="fixed"/>
        <w:tblLook w:val="0600" w:firstRow="0" w:lastRow="0" w:firstColumn="0" w:lastColumn="0" w:noHBand="1" w:noVBand="1"/>
      </w:tblPr>
      <w:tblGrid>
        <w:gridCol w:w="2982"/>
        <w:gridCol w:w="799"/>
        <w:gridCol w:w="529"/>
        <w:gridCol w:w="583"/>
        <w:gridCol w:w="583"/>
        <w:gridCol w:w="987"/>
        <w:gridCol w:w="1769"/>
        <w:gridCol w:w="839"/>
      </w:tblGrid>
      <w:tr w:rsidR="00155F8D" w:rsidRPr="000B60A9" w14:paraId="0782E108" w14:textId="77777777" w:rsidTr="00C72743">
        <w:trPr>
          <w:trHeight w:val="453"/>
        </w:trPr>
        <w:tc>
          <w:tcPr>
            <w:tcW w:w="9067" w:type="dxa"/>
            <w:gridSpan w:val="8"/>
            <w:tcBorders>
              <w:bottom w:val="single" w:sz="4" w:space="0" w:color="000000"/>
            </w:tcBorders>
            <w:tcMar>
              <w:top w:w="100" w:type="dxa"/>
              <w:left w:w="100" w:type="dxa"/>
              <w:bottom w:w="100" w:type="dxa"/>
              <w:right w:w="100" w:type="dxa"/>
            </w:tcMar>
            <w:vAlign w:val="center"/>
          </w:tcPr>
          <w:p w14:paraId="25B0B7AB" w14:textId="77777777" w:rsidR="00155F8D" w:rsidRPr="000B60A9" w:rsidRDefault="00155F8D" w:rsidP="00C72743">
            <w:pPr>
              <w:spacing w:after="0" w:line="240" w:lineRule="auto"/>
              <w:jc w:val="both"/>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 xml:space="preserve">Table S2. </w:t>
            </w:r>
            <w:r w:rsidRPr="000B60A9">
              <w:rPr>
                <w:rFonts w:ascii="Times New Roman" w:eastAsia="Times New Roman" w:hAnsi="Times New Roman" w:cs="Times New Roman"/>
                <w:sz w:val="20"/>
                <w:szCs w:val="20"/>
              </w:rPr>
              <w:t>Fit of Single-Factor and Four-Factor Measurement Models</w:t>
            </w:r>
          </w:p>
        </w:tc>
      </w:tr>
      <w:tr w:rsidR="00155F8D" w:rsidRPr="000B60A9" w14:paraId="5D318A55" w14:textId="77777777" w:rsidTr="00C72743">
        <w:trPr>
          <w:trHeight w:val="453"/>
        </w:trPr>
        <w:tc>
          <w:tcPr>
            <w:tcW w:w="2980" w:type="dxa"/>
            <w:tcBorders>
              <w:top w:val="single" w:sz="4" w:space="0" w:color="000000"/>
              <w:bottom w:val="single" w:sz="4" w:space="0" w:color="000000"/>
            </w:tcBorders>
            <w:tcMar>
              <w:top w:w="100" w:type="dxa"/>
              <w:left w:w="100" w:type="dxa"/>
              <w:bottom w:w="100" w:type="dxa"/>
              <w:right w:w="100" w:type="dxa"/>
            </w:tcMar>
            <w:vAlign w:val="center"/>
          </w:tcPr>
          <w:p w14:paraId="42FFB571"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Model</w:t>
            </w:r>
          </w:p>
        </w:tc>
        <w:tc>
          <w:tcPr>
            <w:tcW w:w="798" w:type="dxa"/>
            <w:tcBorders>
              <w:top w:val="single" w:sz="4" w:space="0" w:color="000000"/>
              <w:bottom w:val="single" w:sz="4" w:space="0" w:color="000000"/>
            </w:tcBorders>
            <w:tcMar>
              <w:top w:w="100" w:type="dxa"/>
              <w:left w:w="100" w:type="dxa"/>
              <w:bottom w:w="100" w:type="dxa"/>
              <w:right w:w="100" w:type="dxa"/>
            </w:tcMar>
            <w:vAlign w:val="center"/>
          </w:tcPr>
          <w:p w14:paraId="66E0791B"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χ²</w:t>
            </w:r>
          </w:p>
        </w:tc>
        <w:tc>
          <w:tcPr>
            <w:tcW w:w="529" w:type="dxa"/>
            <w:tcBorders>
              <w:top w:val="single" w:sz="4" w:space="0" w:color="000000"/>
              <w:bottom w:val="single" w:sz="4" w:space="0" w:color="000000"/>
            </w:tcBorders>
            <w:tcMar>
              <w:top w:w="100" w:type="dxa"/>
              <w:left w:w="100" w:type="dxa"/>
              <w:bottom w:w="100" w:type="dxa"/>
              <w:right w:w="100" w:type="dxa"/>
            </w:tcMar>
            <w:vAlign w:val="center"/>
          </w:tcPr>
          <w:p w14:paraId="4C92DE78"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df</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396D7D62"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CFI</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386FDFA2"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TLI</w:t>
            </w:r>
          </w:p>
        </w:tc>
        <w:tc>
          <w:tcPr>
            <w:tcW w:w="987" w:type="dxa"/>
            <w:tcBorders>
              <w:top w:val="single" w:sz="4" w:space="0" w:color="000000"/>
              <w:bottom w:val="single" w:sz="4" w:space="0" w:color="000000"/>
            </w:tcBorders>
            <w:tcMar>
              <w:top w:w="100" w:type="dxa"/>
              <w:left w:w="100" w:type="dxa"/>
              <w:bottom w:w="100" w:type="dxa"/>
              <w:right w:w="100" w:type="dxa"/>
            </w:tcMar>
            <w:vAlign w:val="center"/>
          </w:tcPr>
          <w:p w14:paraId="36E32B2F"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RMSEA</w:t>
            </w:r>
          </w:p>
        </w:tc>
        <w:tc>
          <w:tcPr>
            <w:tcW w:w="1768" w:type="dxa"/>
            <w:tcBorders>
              <w:top w:val="single" w:sz="4" w:space="0" w:color="000000"/>
              <w:bottom w:val="single" w:sz="4" w:space="0" w:color="000000"/>
            </w:tcBorders>
            <w:tcMar>
              <w:top w:w="100" w:type="dxa"/>
              <w:left w:w="100" w:type="dxa"/>
              <w:bottom w:w="100" w:type="dxa"/>
              <w:right w:w="100" w:type="dxa"/>
            </w:tcMar>
            <w:vAlign w:val="center"/>
          </w:tcPr>
          <w:p w14:paraId="43FC820A"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90% CI RMSEA</w:t>
            </w:r>
          </w:p>
        </w:tc>
        <w:tc>
          <w:tcPr>
            <w:tcW w:w="839" w:type="dxa"/>
            <w:tcBorders>
              <w:top w:val="single" w:sz="4" w:space="0" w:color="000000"/>
              <w:bottom w:val="single" w:sz="4" w:space="0" w:color="000000"/>
            </w:tcBorders>
            <w:tcMar>
              <w:top w:w="100" w:type="dxa"/>
              <w:left w:w="100" w:type="dxa"/>
              <w:bottom w:w="100" w:type="dxa"/>
              <w:right w:w="100" w:type="dxa"/>
            </w:tcMar>
            <w:vAlign w:val="center"/>
          </w:tcPr>
          <w:p w14:paraId="49159CEA"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b/>
                <w:bCs/>
                <w:sz w:val="20"/>
                <w:szCs w:val="20"/>
              </w:rPr>
              <w:t>SRMR</w:t>
            </w:r>
          </w:p>
        </w:tc>
      </w:tr>
      <w:tr w:rsidR="00155F8D" w:rsidRPr="000B60A9" w14:paraId="6245FDE8" w14:textId="77777777" w:rsidTr="00C72743">
        <w:trPr>
          <w:trHeight w:val="453"/>
        </w:trPr>
        <w:tc>
          <w:tcPr>
            <w:tcW w:w="2980" w:type="dxa"/>
            <w:tcBorders>
              <w:top w:val="single" w:sz="4" w:space="0" w:color="000000"/>
              <w:bottom w:val="single" w:sz="4" w:space="0" w:color="000000"/>
            </w:tcBorders>
            <w:tcMar>
              <w:top w:w="100" w:type="dxa"/>
              <w:left w:w="100" w:type="dxa"/>
              <w:bottom w:w="100" w:type="dxa"/>
              <w:right w:w="100" w:type="dxa"/>
            </w:tcMar>
            <w:vAlign w:val="center"/>
          </w:tcPr>
          <w:p w14:paraId="5094CA1A" w14:textId="77777777" w:rsidR="00155F8D" w:rsidRPr="000B60A9" w:rsidRDefault="00155F8D" w:rsidP="00C72743">
            <w:pPr>
              <w:spacing w:after="0" w:line="240" w:lineRule="auto"/>
              <w:jc w:val="both"/>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Connectedness to Humanity</w:t>
            </w:r>
          </w:p>
        </w:tc>
        <w:tc>
          <w:tcPr>
            <w:tcW w:w="798" w:type="dxa"/>
            <w:tcBorders>
              <w:top w:val="single" w:sz="4" w:space="0" w:color="000000"/>
              <w:bottom w:val="single" w:sz="4" w:space="0" w:color="000000"/>
            </w:tcBorders>
            <w:tcMar>
              <w:top w:w="100" w:type="dxa"/>
              <w:left w:w="100" w:type="dxa"/>
              <w:bottom w:w="100" w:type="dxa"/>
              <w:right w:w="100" w:type="dxa"/>
            </w:tcMar>
            <w:vAlign w:val="center"/>
          </w:tcPr>
          <w:p w14:paraId="771A1E82"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39.17</w:t>
            </w:r>
          </w:p>
        </w:tc>
        <w:tc>
          <w:tcPr>
            <w:tcW w:w="529" w:type="dxa"/>
            <w:tcBorders>
              <w:top w:val="single" w:sz="4" w:space="0" w:color="000000"/>
              <w:bottom w:val="single" w:sz="4" w:space="0" w:color="000000"/>
            </w:tcBorders>
            <w:tcMar>
              <w:top w:w="100" w:type="dxa"/>
              <w:left w:w="100" w:type="dxa"/>
              <w:bottom w:w="100" w:type="dxa"/>
              <w:right w:w="100" w:type="dxa"/>
            </w:tcMar>
            <w:vAlign w:val="center"/>
          </w:tcPr>
          <w:p w14:paraId="401163FA"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14</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7635464F"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.953</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74D73264"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.930</w:t>
            </w:r>
          </w:p>
        </w:tc>
        <w:tc>
          <w:tcPr>
            <w:tcW w:w="987" w:type="dxa"/>
            <w:tcBorders>
              <w:top w:val="single" w:sz="4" w:space="0" w:color="000000"/>
              <w:bottom w:val="single" w:sz="4" w:space="0" w:color="000000"/>
            </w:tcBorders>
            <w:tcMar>
              <w:top w:w="100" w:type="dxa"/>
              <w:left w:w="100" w:type="dxa"/>
              <w:bottom w:w="100" w:type="dxa"/>
              <w:right w:w="100" w:type="dxa"/>
            </w:tcMar>
            <w:vAlign w:val="center"/>
          </w:tcPr>
          <w:p w14:paraId="7EB52388"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.092</w:t>
            </w:r>
          </w:p>
        </w:tc>
        <w:tc>
          <w:tcPr>
            <w:tcW w:w="1768" w:type="dxa"/>
            <w:tcBorders>
              <w:top w:val="single" w:sz="4" w:space="0" w:color="000000"/>
              <w:bottom w:val="single" w:sz="4" w:space="0" w:color="000000"/>
            </w:tcBorders>
            <w:tcMar>
              <w:top w:w="100" w:type="dxa"/>
              <w:left w:w="100" w:type="dxa"/>
              <w:bottom w:w="100" w:type="dxa"/>
              <w:right w:w="100" w:type="dxa"/>
            </w:tcMar>
            <w:vAlign w:val="center"/>
          </w:tcPr>
          <w:p w14:paraId="06210654"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[.066, .119]</w:t>
            </w:r>
          </w:p>
        </w:tc>
        <w:tc>
          <w:tcPr>
            <w:tcW w:w="839" w:type="dxa"/>
            <w:tcBorders>
              <w:top w:val="single" w:sz="4" w:space="0" w:color="000000"/>
              <w:bottom w:val="single" w:sz="4" w:space="0" w:color="000000"/>
            </w:tcBorders>
            <w:tcMar>
              <w:top w:w="100" w:type="dxa"/>
              <w:left w:w="100" w:type="dxa"/>
              <w:bottom w:w="100" w:type="dxa"/>
              <w:right w:w="100" w:type="dxa"/>
            </w:tcMar>
            <w:vAlign w:val="center"/>
          </w:tcPr>
          <w:p w14:paraId="3BFC89FA"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.037</w:t>
            </w:r>
          </w:p>
        </w:tc>
      </w:tr>
      <w:tr w:rsidR="00155F8D" w:rsidRPr="000B60A9" w14:paraId="2E0A0DA4" w14:textId="77777777" w:rsidTr="00C72743">
        <w:trPr>
          <w:trHeight w:val="453"/>
        </w:trPr>
        <w:tc>
          <w:tcPr>
            <w:tcW w:w="2980" w:type="dxa"/>
            <w:tcBorders>
              <w:top w:val="single" w:sz="4" w:space="0" w:color="000000"/>
              <w:bottom w:val="single" w:sz="4" w:space="0" w:color="000000"/>
            </w:tcBorders>
            <w:tcMar>
              <w:top w:w="100" w:type="dxa"/>
              <w:left w:w="100" w:type="dxa"/>
              <w:bottom w:w="100" w:type="dxa"/>
              <w:right w:w="100" w:type="dxa"/>
            </w:tcMar>
            <w:vAlign w:val="center"/>
          </w:tcPr>
          <w:p w14:paraId="322A8F10" w14:textId="77777777" w:rsidR="00155F8D" w:rsidRPr="000B60A9" w:rsidRDefault="00155F8D" w:rsidP="00C72743">
            <w:pPr>
              <w:spacing w:after="0" w:line="240" w:lineRule="auto"/>
              <w:jc w:val="both"/>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Impermanence-related insight</w:t>
            </w:r>
          </w:p>
        </w:tc>
        <w:tc>
          <w:tcPr>
            <w:tcW w:w="798" w:type="dxa"/>
            <w:tcBorders>
              <w:top w:val="single" w:sz="4" w:space="0" w:color="000000"/>
              <w:bottom w:val="single" w:sz="4" w:space="0" w:color="000000"/>
            </w:tcBorders>
            <w:tcMar>
              <w:top w:w="100" w:type="dxa"/>
              <w:left w:w="100" w:type="dxa"/>
              <w:bottom w:w="100" w:type="dxa"/>
              <w:right w:w="100" w:type="dxa"/>
            </w:tcMar>
            <w:vAlign w:val="center"/>
          </w:tcPr>
          <w:p w14:paraId="25BF343A"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3.51</w:t>
            </w:r>
          </w:p>
        </w:tc>
        <w:tc>
          <w:tcPr>
            <w:tcW w:w="529" w:type="dxa"/>
            <w:tcBorders>
              <w:top w:val="single" w:sz="4" w:space="0" w:color="000000"/>
              <w:bottom w:val="single" w:sz="4" w:space="0" w:color="000000"/>
            </w:tcBorders>
            <w:tcMar>
              <w:top w:w="100" w:type="dxa"/>
              <w:left w:w="100" w:type="dxa"/>
              <w:bottom w:w="100" w:type="dxa"/>
              <w:right w:w="100" w:type="dxa"/>
            </w:tcMar>
            <w:vAlign w:val="center"/>
          </w:tcPr>
          <w:p w14:paraId="33435FA0"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2</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3AB84CB3"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.989</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4B63451F"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.967</w:t>
            </w:r>
          </w:p>
        </w:tc>
        <w:tc>
          <w:tcPr>
            <w:tcW w:w="987" w:type="dxa"/>
            <w:tcBorders>
              <w:top w:val="single" w:sz="4" w:space="0" w:color="000000"/>
              <w:bottom w:val="single" w:sz="4" w:space="0" w:color="000000"/>
            </w:tcBorders>
            <w:tcMar>
              <w:top w:w="100" w:type="dxa"/>
              <w:left w:w="100" w:type="dxa"/>
              <w:bottom w:w="100" w:type="dxa"/>
              <w:right w:w="100" w:type="dxa"/>
            </w:tcMar>
            <w:vAlign w:val="center"/>
          </w:tcPr>
          <w:p w14:paraId="3A5F84CA"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.060</w:t>
            </w:r>
          </w:p>
        </w:tc>
        <w:tc>
          <w:tcPr>
            <w:tcW w:w="1768" w:type="dxa"/>
            <w:tcBorders>
              <w:top w:val="single" w:sz="4" w:space="0" w:color="000000"/>
              <w:bottom w:val="single" w:sz="4" w:space="0" w:color="000000"/>
            </w:tcBorders>
            <w:tcMar>
              <w:top w:w="100" w:type="dxa"/>
              <w:left w:w="100" w:type="dxa"/>
              <w:bottom w:w="100" w:type="dxa"/>
              <w:right w:w="100" w:type="dxa"/>
            </w:tcMar>
            <w:vAlign w:val="center"/>
          </w:tcPr>
          <w:p w14:paraId="7D75FAA4"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[.000, .138]</w:t>
            </w:r>
          </w:p>
        </w:tc>
        <w:tc>
          <w:tcPr>
            <w:tcW w:w="839" w:type="dxa"/>
            <w:tcBorders>
              <w:top w:val="single" w:sz="4" w:space="0" w:color="000000"/>
              <w:bottom w:val="single" w:sz="4" w:space="0" w:color="000000"/>
            </w:tcBorders>
            <w:tcMar>
              <w:top w:w="100" w:type="dxa"/>
              <w:left w:w="100" w:type="dxa"/>
              <w:bottom w:w="100" w:type="dxa"/>
              <w:right w:w="100" w:type="dxa"/>
            </w:tcMar>
            <w:vAlign w:val="center"/>
          </w:tcPr>
          <w:p w14:paraId="321D6DCD"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.025</w:t>
            </w:r>
          </w:p>
        </w:tc>
      </w:tr>
      <w:tr w:rsidR="00155F8D" w:rsidRPr="000B60A9" w14:paraId="633CAE79" w14:textId="77777777" w:rsidTr="00C72743">
        <w:trPr>
          <w:trHeight w:val="453"/>
        </w:trPr>
        <w:tc>
          <w:tcPr>
            <w:tcW w:w="2980" w:type="dxa"/>
            <w:tcBorders>
              <w:top w:val="single" w:sz="4" w:space="0" w:color="000000"/>
              <w:bottom w:val="single" w:sz="4" w:space="0" w:color="000000"/>
            </w:tcBorders>
            <w:tcMar>
              <w:top w:w="100" w:type="dxa"/>
              <w:left w:w="100" w:type="dxa"/>
              <w:bottom w:w="100" w:type="dxa"/>
              <w:right w:w="100" w:type="dxa"/>
            </w:tcMar>
            <w:vAlign w:val="center"/>
          </w:tcPr>
          <w:p w14:paraId="52BA20F2" w14:textId="77777777" w:rsidR="00155F8D" w:rsidRPr="000B60A9" w:rsidRDefault="00155F8D" w:rsidP="00C72743">
            <w:pPr>
              <w:spacing w:after="0" w:line="240" w:lineRule="auto"/>
              <w:jc w:val="both"/>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Disidentification</w:t>
            </w:r>
          </w:p>
        </w:tc>
        <w:tc>
          <w:tcPr>
            <w:tcW w:w="798" w:type="dxa"/>
            <w:tcBorders>
              <w:top w:val="single" w:sz="4" w:space="0" w:color="000000"/>
              <w:bottom w:val="single" w:sz="4" w:space="0" w:color="000000"/>
            </w:tcBorders>
            <w:tcMar>
              <w:top w:w="100" w:type="dxa"/>
              <w:left w:w="100" w:type="dxa"/>
              <w:bottom w:w="100" w:type="dxa"/>
              <w:right w:w="100" w:type="dxa"/>
            </w:tcMar>
            <w:vAlign w:val="center"/>
          </w:tcPr>
          <w:p w14:paraId="498ED1FC"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32.28</w:t>
            </w:r>
          </w:p>
        </w:tc>
        <w:tc>
          <w:tcPr>
            <w:tcW w:w="529" w:type="dxa"/>
            <w:tcBorders>
              <w:top w:val="single" w:sz="4" w:space="0" w:color="000000"/>
              <w:bottom w:val="single" w:sz="4" w:space="0" w:color="000000"/>
            </w:tcBorders>
            <w:tcMar>
              <w:top w:w="100" w:type="dxa"/>
              <w:left w:w="100" w:type="dxa"/>
              <w:bottom w:w="100" w:type="dxa"/>
              <w:right w:w="100" w:type="dxa"/>
            </w:tcMar>
            <w:vAlign w:val="center"/>
          </w:tcPr>
          <w:p w14:paraId="071A83DF"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5</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1F41B4E4"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.917</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36C54F1E"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.834</w:t>
            </w:r>
          </w:p>
        </w:tc>
        <w:tc>
          <w:tcPr>
            <w:tcW w:w="987" w:type="dxa"/>
            <w:tcBorders>
              <w:top w:val="single" w:sz="4" w:space="0" w:color="000000"/>
              <w:bottom w:val="single" w:sz="4" w:space="0" w:color="000000"/>
            </w:tcBorders>
            <w:tcMar>
              <w:top w:w="100" w:type="dxa"/>
              <w:left w:w="100" w:type="dxa"/>
              <w:bottom w:w="100" w:type="dxa"/>
              <w:right w:w="100" w:type="dxa"/>
            </w:tcMar>
            <w:vAlign w:val="center"/>
          </w:tcPr>
          <w:p w14:paraId="4A7905E5"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.160</w:t>
            </w:r>
          </w:p>
        </w:tc>
        <w:tc>
          <w:tcPr>
            <w:tcW w:w="1768" w:type="dxa"/>
            <w:tcBorders>
              <w:top w:val="single" w:sz="4" w:space="0" w:color="000000"/>
              <w:bottom w:val="single" w:sz="4" w:space="0" w:color="000000"/>
            </w:tcBorders>
            <w:tcMar>
              <w:top w:w="100" w:type="dxa"/>
              <w:left w:w="100" w:type="dxa"/>
              <w:bottom w:w="100" w:type="dxa"/>
              <w:right w:w="100" w:type="dxa"/>
            </w:tcMar>
            <w:vAlign w:val="center"/>
          </w:tcPr>
          <w:p w14:paraId="1FE3ED6C"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[.118, .207]</w:t>
            </w:r>
          </w:p>
        </w:tc>
        <w:tc>
          <w:tcPr>
            <w:tcW w:w="839" w:type="dxa"/>
            <w:tcBorders>
              <w:top w:val="single" w:sz="4" w:space="0" w:color="000000"/>
              <w:bottom w:val="single" w:sz="4" w:space="0" w:color="000000"/>
            </w:tcBorders>
            <w:tcMar>
              <w:top w:w="100" w:type="dxa"/>
              <w:left w:w="100" w:type="dxa"/>
              <w:bottom w:w="100" w:type="dxa"/>
              <w:right w:w="100" w:type="dxa"/>
            </w:tcMar>
            <w:vAlign w:val="center"/>
          </w:tcPr>
          <w:p w14:paraId="061809CD"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.040</w:t>
            </w:r>
          </w:p>
        </w:tc>
      </w:tr>
      <w:tr w:rsidR="00155F8D" w:rsidRPr="000B60A9" w14:paraId="43F59003" w14:textId="77777777" w:rsidTr="00C72743">
        <w:trPr>
          <w:trHeight w:val="453"/>
        </w:trPr>
        <w:tc>
          <w:tcPr>
            <w:tcW w:w="2980" w:type="dxa"/>
            <w:tcBorders>
              <w:top w:val="single" w:sz="4" w:space="0" w:color="000000"/>
              <w:bottom w:val="single" w:sz="4" w:space="0" w:color="000000"/>
            </w:tcBorders>
            <w:tcMar>
              <w:top w:w="100" w:type="dxa"/>
              <w:left w:w="100" w:type="dxa"/>
              <w:bottom w:w="100" w:type="dxa"/>
              <w:right w:w="100" w:type="dxa"/>
            </w:tcMar>
            <w:vAlign w:val="center"/>
          </w:tcPr>
          <w:p w14:paraId="29FE5038" w14:textId="77777777" w:rsidR="00155F8D" w:rsidRPr="000B60A9" w:rsidRDefault="00155F8D" w:rsidP="00C72743">
            <w:pPr>
              <w:spacing w:after="0" w:line="240" w:lineRule="auto"/>
              <w:jc w:val="both"/>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Non-attachment</w:t>
            </w:r>
          </w:p>
        </w:tc>
        <w:tc>
          <w:tcPr>
            <w:tcW w:w="798" w:type="dxa"/>
            <w:tcBorders>
              <w:top w:val="single" w:sz="4" w:space="0" w:color="000000"/>
              <w:bottom w:val="single" w:sz="4" w:space="0" w:color="000000"/>
            </w:tcBorders>
            <w:tcMar>
              <w:top w:w="100" w:type="dxa"/>
              <w:left w:w="100" w:type="dxa"/>
              <w:bottom w:w="100" w:type="dxa"/>
              <w:right w:w="100" w:type="dxa"/>
            </w:tcMar>
            <w:vAlign w:val="center"/>
          </w:tcPr>
          <w:p w14:paraId="1C583C47"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26.04</w:t>
            </w:r>
          </w:p>
        </w:tc>
        <w:tc>
          <w:tcPr>
            <w:tcW w:w="529" w:type="dxa"/>
            <w:tcBorders>
              <w:top w:val="single" w:sz="4" w:space="0" w:color="000000"/>
              <w:bottom w:val="single" w:sz="4" w:space="0" w:color="000000"/>
            </w:tcBorders>
            <w:tcMar>
              <w:top w:w="100" w:type="dxa"/>
              <w:left w:w="100" w:type="dxa"/>
              <w:bottom w:w="100" w:type="dxa"/>
              <w:right w:w="100" w:type="dxa"/>
            </w:tcMar>
            <w:vAlign w:val="center"/>
          </w:tcPr>
          <w:p w14:paraId="000D31A9"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14</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1536C6E9"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.970</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71799A0E"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.955</w:t>
            </w:r>
          </w:p>
        </w:tc>
        <w:tc>
          <w:tcPr>
            <w:tcW w:w="987" w:type="dxa"/>
            <w:tcBorders>
              <w:top w:val="single" w:sz="4" w:space="0" w:color="000000"/>
              <w:bottom w:val="single" w:sz="4" w:space="0" w:color="000000"/>
            </w:tcBorders>
            <w:tcMar>
              <w:top w:w="100" w:type="dxa"/>
              <w:left w:w="100" w:type="dxa"/>
              <w:bottom w:w="100" w:type="dxa"/>
              <w:right w:w="100" w:type="dxa"/>
            </w:tcMar>
            <w:vAlign w:val="center"/>
          </w:tcPr>
          <w:p w14:paraId="61180888"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.064</w:t>
            </w:r>
          </w:p>
        </w:tc>
        <w:tc>
          <w:tcPr>
            <w:tcW w:w="1768" w:type="dxa"/>
            <w:tcBorders>
              <w:top w:val="single" w:sz="4" w:space="0" w:color="000000"/>
              <w:bottom w:val="single" w:sz="4" w:space="0" w:color="000000"/>
            </w:tcBorders>
            <w:tcMar>
              <w:top w:w="100" w:type="dxa"/>
              <w:left w:w="100" w:type="dxa"/>
              <w:bottom w:w="100" w:type="dxa"/>
              <w:right w:w="100" w:type="dxa"/>
            </w:tcMar>
            <w:vAlign w:val="center"/>
          </w:tcPr>
          <w:p w14:paraId="720C445C"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[.031, .094]</w:t>
            </w:r>
          </w:p>
        </w:tc>
        <w:tc>
          <w:tcPr>
            <w:tcW w:w="839" w:type="dxa"/>
            <w:tcBorders>
              <w:top w:val="single" w:sz="4" w:space="0" w:color="000000"/>
              <w:bottom w:val="single" w:sz="4" w:space="0" w:color="000000"/>
            </w:tcBorders>
            <w:tcMar>
              <w:top w:w="100" w:type="dxa"/>
              <w:left w:w="100" w:type="dxa"/>
              <w:bottom w:w="100" w:type="dxa"/>
              <w:right w:w="100" w:type="dxa"/>
            </w:tcMar>
            <w:vAlign w:val="center"/>
          </w:tcPr>
          <w:p w14:paraId="5BA78065"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.037</w:t>
            </w:r>
          </w:p>
        </w:tc>
      </w:tr>
      <w:tr w:rsidR="00155F8D" w:rsidRPr="000B60A9" w14:paraId="12008EC4" w14:textId="77777777" w:rsidTr="00C72743">
        <w:trPr>
          <w:trHeight w:val="453"/>
        </w:trPr>
        <w:tc>
          <w:tcPr>
            <w:tcW w:w="2980" w:type="dxa"/>
            <w:tcBorders>
              <w:top w:val="single" w:sz="4" w:space="0" w:color="000000"/>
              <w:bottom w:val="single" w:sz="4" w:space="0" w:color="000000"/>
            </w:tcBorders>
            <w:tcMar>
              <w:top w:w="100" w:type="dxa"/>
              <w:left w:w="100" w:type="dxa"/>
              <w:bottom w:w="100" w:type="dxa"/>
              <w:right w:w="100" w:type="dxa"/>
            </w:tcMar>
            <w:vAlign w:val="center"/>
          </w:tcPr>
          <w:p w14:paraId="3EA29D74" w14:textId="77777777" w:rsidR="00155F8D" w:rsidRPr="000B60A9" w:rsidRDefault="00155F8D" w:rsidP="00C72743">
            <w:pPr>
              <w:spacing w:after="0" w:line="240" w:lineRule="auto"/>
              <w:jc w:val="both"/>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Four-factor measurement model</w:t>
            </w:r>
          </w:p>
        </w:tc>
        <w:tc>
          <w:tcPr>
            <w:tcW w:w="798" w:type="dxa"/>
            <w:tcBorders>
              <w:top w:val="single" w:sz="4" w:space="0" w:color="000000"/>
              <w:bottom w:val="single" w:sz="4" w:space="0" w:color="000000"/>
            </w:tcBorders>
            <w:tcMar>
              <w:top w:w="100" w:type="dxa"/>
              <w:left w:w="100" w:type="dxa"/>
              <w:bottom w:w="100" w:type="dxa"/>
              <w:right w:w="100" w:type="dxa"/>
            </w:tcMar>
            <w:vAlign w:val="center"/>
          </w:tcPr>
          <w:p w14:paraId="7F7F4739"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371.78</w:t>
            </w:r>
          </w:p>
        </w:tc>
        <w:tc>
          <w:tcPr>
            <w:tcW w:w="529" w:type="dxa"/>
            <w:tcBorders>
              <w:top w:val="single" w:sz="4" w:space="0" w:color="000000"/>
              <w:bottom w:val="single" w:sz="4" w:space="0" w:color="000000"/>
            </w:tcBorders>
            <w:tcMar>
              <w:top w:w="100" w:type="dxa"/>
              <w:left w:w="100" w:type="dxa"/>
              <w:bottom w:w="100" w:type="dxa"/>
              <w:right w:w="100" w:type="dxa"/>
            </w:tcMar>
            <w:vAlign w:val="center"/>
          </w:tcPr>
          <w:p w14:paraId="50DC5EFA"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224</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31346DAB"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.930</w:t>
            </w:r>
          </w:p>
        </w:tc>
        <w:tc>
          <w:tcPr>
            <w:tcW w:w="583" w:type="dxa"/>
            <w:tcBorders>
              <w:top w:val="single" w:sz="4" w:space="0" w:color="000000"/>
              <w:bottom w:val="single" w:sz="4" w:space="0" w:color="000000"/>
            </w:tcBorders>
            <w:tcMar>
              <w:top w:w="100" w:type="dxa"/>
              <w:left w:w="100" w:type="dxa"/>
              <w:bottom w:w="100" w:type="dxa"/>
              <w:right w:w="100" w:type="dxa"/>
            </w:tcMar>
            <w:vAlign w:val="center"/>
          </w:tcPr>
          <w:p w14:paraId="43601296"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.920</w:t>
            </w:r>
          </w:p>
        </w:tc>
        <w:tc>
          <w:tcPr>
            <w:tcW w:w="987" w:type="dxa"/>
            <w:tcBorders>
              <w:top w:val="single" w:sz="4" w:space="0" w:color="000000"/>
              <w:bottom w:val="single" w:sz="4" w:space="0" w:color="000000"/>
            </w:tcBorders>
            <w:tcMar>
              <w:top w:w="100" w:type="dxa"/>
              <w:left w:w="100" w:type="dxa"/>
              <w:bottom w:w="100" w:type="dxa"/>
              <w:right w:w="100" w:type="dxa"/>
            </w:tcMar>
            <w:vAlign w:val="center"/>
          </w:tcPr>
          <w:p w14:paraId="57B5D9AF"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.056</w:t>
            </w:r>
          </w:p>
        </w:tc>
        <w:tc>
          <w:tcPr>
            <w:tcW w:w="1768" w:type="dxa"/>
            <w:tcBorders>
              <w:top w:val="single" w:sz="4" w:space="0" w:color="000000"/>
              <w:bottom w:val="single" w:sz="4" w:space="0" w:color="000000"/>
            </w:tcBorders>
            <w:tcMar>
              <w:top w:w="100" w:type="dxa"/>
              <w:left w:w="100" w:type="dxa"/>
              <w:bottom w:w="100" w:type="dxa"/>
              <w:right w:w="100" w:type="dxa"/>
            </w:tcMar>
            <w:vAlign w:val="center"/>
          </w:tcPr>
          <w:p w14:paraId="766CFC91"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[.046, .065]</w:t>
            </w:r>
          </w:p>
        </w:tc>
        <w:tc>
          <w:tcPr>
            <w:tcW w:w="839" w:type="dxa"/>
            <w:tcBorders>
              <w:top w:val="single" w:sz="4" w:space="0" w:color="000000"/>
              <w:bottom w:val="single" w:sz="4" w:space="0" w:color="000000"/>
            </w:tcBorders>
            <w:tcMar>
              <w:top w:w="100" w:type="dxa"/>
              <w:left w:w="100" w:type="dxa"/>
              <w:bottom w:w="100" w:type="dxa"/>
              <w:right w:w="100" w:type="dxa"/>
            </w:tcMar>
            <w:vAlign w:val="center"/>
          </w:tcPr>
          <w:p w14:paraId="4E223964" w14:textId="77777777" w:rsidR="00155F8D" w:rsidRPr="000B60A9" w:rsidRDefault="00155F8D" w:rsidP="00C72743">
            <w:pPr>
              <w:spacing w:after="0" w:line="240" w:lineRule="auto"/>
              <w:jc w:val="center"/>
              <w:rPr>
                <w:rFonts w:ascii="Times New Roman" w:eastAsia="Times New Roman" w:hAnsi="Times New Roman" w:cs="Times New Roman"/>
                <w:sz w:val="20"/>
                <w:szCs w:val="20"/>
              </w:rPr>
            </w:pPr>
            <w:r w:rsidRPr="000B60A9">
              <w:rPr>
                <w:rFonts w:ascii="Times New Roman" w:eastAsia="Times New Roman" w:hAnsi="Times New Roman" w:cs="Times New Roman"/>
                <w:sz w:val="20"/>
                <w:szCs w:val="20"/>
              </w:rPr>
              <w:t>.051</w:t>
            </w:r>
          </w:p>
        </w:tc>
      </w:tr>
      <w:tr w:rsidR="00155F8D" w:rsidRPr="000B60A9" w14:paraId="38496B63" w14:textId="77777777" w:rsidTr="00C72743">
        <w:trPr>
          <w:trHeight w:val="453"/>
        </w:trPr>
        <w:tc>
          <w:tcPr>
            <w:tcW w:w="9067" w:type="dxa"/>
            <w:gridSpan w:val="8"/>
            <w:tcBorders>
              <w:top w:val="single" w:sz="4" w:space="0" w:color="000000"/>
            </w:tcBorders>
            <w:tcMar>
              <w:top w:w="100" w:type="dxa"/>
              <w:left w:w="100" w:type="dxa"/>
              <w:bottom w:w="100" w:type="dxa"/>
              <w:right w:w="100" w:type="dxa"/>
            </w:tcMar>
            <w:vAlign w:val="center"/>
          </w:tcPr>
          <w:p w14:paraId="3A71BC16" w14:textId="77777777" w:rsidR="00155F8D" w:rsidRPr="000B60A9" w:rsidRDefault="00155F8D" w:rsidP="00C72743">
            <w:pPr>
              <w:spacing w:after="0" w:line="240" w:lineRule="auto"/>
              <w:jc w:val="both"/>
              <w:rPr>
                <w:rFonts w:ascii="Times New Roman" w:eastAsia="Times New Roman" w:hAnsi="Times New Roman" w:cs="Times New Roman"/>
                <w:sz w:val="20"/>
                <w:szCs w:val="20"/>
              </w:rPr>
            </w:pPr>
            <w:r w:rsidRPr="000B60A9">
              <w:rPr>
                <w:rFonts w:ascii="Times New Roman" w:eastAsia="Times New Roman" w:hAnsi="Times New Roman" w:cs="Times New Roman"/>
                <w:i/>
                <w:iCs/>
                <w:sz w:val="20"/>
                <w:szCs w:val="20"/>
              </w:rPr>
              <w:t>Note.</w:t>
            </w:r>
            <w:r w:rsidRPr="000B60A9">
              <w:rPr>
                <w:rFonts w:ascii="Times New Roman" w:eastAsia="Times New Roman" w:hAnsi="Times New Roman" w:cs="Times New Roman"/>
                <w:sz w:val="20"/>
                <w:szCs w:val="20"/>
              </w:rPr>
              <w:t xml:space="preserve"> </w:t>
            </w:r>
            <w:r w:rsidRPr="000B60A9">
              <w:rPr>
                <w:rFonts w:ascii="Times New Roman" w:eastAsia="Times New Roman" w:hAnsi="Times New Roman" w:cs="Times New Roman"/>
                <w:i/>
                <w:iCs/>
                <w:sz w:val="20"/>
                <w:szCs w:val="20"/>
              </w:rPr>
              <w:t>N</w:t>
            </w:r>
            <w:r w:rsidRPr="000B60A9">
              <w:rPr>
                <w:rFonts w:ascii="Times New Roman" w:eastAsia="Times New Roman" w:hAnsi="Times New Roman" w:cs="Times New Roman"/>
                <w:sz w:val="20"/>
                <w:szCs w:val="20"/>
              </w:rPr>
              <w:t xml:space="preserve"> = 212. Models were estimated using robust maximum likelihood estimation. χ² values are scaled test statistics. CFI = Comparative Fit Index; TLI = Tucker–Lewis Index; RMSEA = Root Mean Square Error of Approximation; SRMR = Standardized Root Mean Square Residual. </w:t>
            </w:r>
          </w:p>
        </w:tc>
      </w:tr>
    </w:tbl>
    <w:p w14:paraId="73A9952C" w14:textId="77777777" w:rsidR="00155F8D" w:rsidRPr="000B60A9" w:rsidRDefault="00155F8D" w:rsidP="00155F8D">
      <w:pPr>
        <w:pStyle w:val="Heading3"/>
        <w:spacing w:before="120" w:after="120" w:line="360" w:lineRule="auto"/>
        <w:jc w:val="both"/>
        <w:rPr>
          <w:sz w:val="24"/>
          <w:szCs w:val="24"/>
        </w:rPr>
      </w:pPr>
      <w:bookmarkStart w:id="4" w:name="_heading=h.b0an197f0v6c" w:colFirst="0" w:colLast="0"/>
      <w:bookmarkEnd w:id="4"/>
      <w:r w:rsidRPr="000B60A9">
        <w:rPr>
          <w:sz w:val="24"/>
          <w:szCs w:val="24"/>
        </w:rPr>
        <w:lastRenderedPageBreak/>
        <w:t>Partial Latent Structural Model</w:t>
      </w:r>
    </w:p>
    <w:p w14:paraId="4BCC9B84" w14:textId="77777777" w:rsidR="00155F8D" w:rsidRPr="000B60A9" w:rsidRDefault="00155F8D" w:rsidP="00155F8D">
      <w:pPr>
        <w:pStyle w:val="Heading3"/>
        <w:spacing w:before="120" w:after="120" w:line="360" w:lineRule="auto"/>
        <w:jc w:val="both"/>
        <w:rPr>
          <w:b/>
          <w:bCs/>
          <w:sz w:val="24"/>
          <w:szCs w:val="24"/>
        </w:rPr>
      </w:pPr>
      <w:bookmarkStart w:id="5" w:name="_heading=h.t6q4cnqs0bz7" w:colFirst="0" w:colLast="0"/>
      <w:bookmarkEnd w:id="5"/>
      <w:r w:rsidRPr="000B60A9">
        <w:rPr>
          <w:sz w:val="24"/>
          <w:szCs w:val="24"/>
        </w:rPr>
        <w:t xml:space="preserve">As a supplementary robustness analysis, we re-estimated the primary theoretical model using latent variables for Connectedness to Humanity, Impermanence-related insight, Disidentification, and Non-attachment, while retaining authentic happiness as an observed composite because it was assessed with only two items. The partial latent SEM showed acceptable fit, χ²(243) = 425.74, </w:t>
      </w:r>
      <w:r w:rsidRPr="000B60A9">
        <w:rPr>
          <w:i/>
          <w:iCs/>
          <w:sz w:val="24"/>
          <w:szCs w:val="24"/>
        </w:rPr>
        <w:t>p</w:t>
      </w:r>
      <w:r w:rsidRPr="000B60A9">
        <w:rPr>
          <w:sz w:val="24"/>
          <w:szCs w:val="24"/>
        </w:rPr>
        <w:t xml:space="preserve"> &lt; .001, CFI = .918, TLI = .907, RMSEA = .060, 90% CI [.051, .068], SRMR = .052.</w:t>
      </w:r>
    </w:p>
    <w:p w14:paraId="0376EB67" w14:textId="77777777" w:rsidR="00155F8D" w:rsidRPr="000B60A9" w:rsidRDefault="00155F8D" w:rsidP="00155F8D">
      <w:pPr>
        <w:pStyle w:val="Heading3"/>
        <w:spacing w:before="120" w:after="120" w:line="360" w:lineRule="auto"/>
        <w:jc w:val="both"/>
        <w:rPr>
          <w:b/>
          <w:bCs/>
          <w:sz w:val="24"/>
          <w:szCs w:val="24"/>
        </w:rPr>
      </w:pPr>
      <w:bookmarkStart w:id="6" w:name="_heading=h.tum4cjj9n9db" w:colFirst="0" w:colLast="0"/>
      <w:bookmarkEnd w:id="6"/>
      <w:r w:rsidRPr="000B60A9">
        <w:rPr>
          <w:sz w:val="24"/>
          <w:szCs w:val="24"/>
        </w:rPr>
        <w:t xml:space="preserve">The structural pattern closely paralleled the observed-score model reported in the main text. Connectedness to Humanity (β = .401, </w:t>
      </w:r>
      <w:r w:rsidRPr="000B60A9">
        <w:rPr>
          <w:i/>
          <w:iCs/>
          <w:sz w:val="24"/>
          <w:szCs w:val="24"/>
        </w:rPr>
        <w:t>p</w:t>
      </w:r>
      <w:r w:rsidRPr="000B60A9">
        <w:rPr>
          <w:sz w:val="24"/>
          <w:szCs w:val="24"/>
        </w:rPr>
        <w:t xml:space="preserve"> &lt; .001), Impermanence-related insight (β = .255, </w:t>
      </w:r>
      <w:r w:rsidRPr="000B60A9">
        <w:rPr>
          <w:i/>
          <w:iCs/>
          <w:sz w:val="24"/>
          <w:szCs w:val="24"/>
        </w:rPr>
        <w:t>p</w:t>
      </w:r>
      <w:r w:rsidRPr="000B60A9">
        <w:rPr>
          <w:sz w:val="24"/>
          <w:szCs w:val="24"/>
        </w:rPr>
        <w:t xml:space="preserve"> = .002), and Disidentification (β = .257, </w:t>
      </w:r>
      <w:r w:rsidRPr="000B60A9">
        <w:rPr>
          <w:i/>
          <w:iCs/>
          <w:sz w:val="24"/>
          <w:szCs w:val="24"/>
        </w:rPr>
        <w:t>p</w:t>
      </w:r>
      <w:r w:rsidRPr="000B60A9">
        <w:rPr>
          <w:sz w:val="24"/>
          <w:szCs w:val="24"/>
        </w:rPr>
        <w:t xml:space="preserve"> = .005) were each positively associated with latent Non-attachment. Non-attachment was in turn positively associated with authentic happiness (β = .498, </w:t>
      </w:r>
      <w:r w:rsidRPr="000B60A9">
        <w:rPr>
          <w:i/>
          <w:iCs/>
          <w:sz w:val="24"/>
          <w:szCs w:val="24"/>
        </w:rPr>
        <w:t>p</w:t>
      </w:r>
      <w:r w:rsidRPr="000B60A9">
        <w:rPr>
          <w:sz w:val="24"/>
          <w:szCs w:val="24"/>
        </w:rPr>
        <w:t xml:space="preserve"> &lt; .001). Connectedness to Humanity also retained a significant direct association with authentic happiness (β = .258, </w:t>
      </w:r>
      <w:r w:rsidRPr="000B60A9">
        <w:rPr>
          <w:i/>
          <w:iCs/>
          <w:sz w:val="24"/>
          <w:szCs w:val="24"/>
        </w:rPr>
        <w:t>p</w:t>
      </w:r>
      <w:sdt>
        <w:sdtPr>
          <w:tag w:val="goog_rdk_4"/>
          <w:id w:val="-2111729945"/>
        </w:sdtPr>
        <w:sdtContent>
          <w:r w:rsidRPr="000B60A9">
            <w:rPr>
              <w:rFonts w:ascii="Cardo" w:eastAsia="Cardo" w:hAnsi="Cardo" w:cs="Cardo"/>
              <w:sz w:val="24"/>
              <w:szCs w:val="24"/>
            </w:rPr>
            <w:t xml:space="preserve"> = .001), whereas the direct associations of Impermanence-related insight (β = −.025, </w:t>
          </w:r>
        </w:sdtContent>
      </w:sdt>
      <w:r w:rsidRPr="000B60A9">
        <w:rPr>
          <w:i/>
          <w:iCs/>
          <w:sz w:val="24"/>
          <w:szCs w:val="24"/>
        </w:rPr>
        <w:t>p</w:t>
      </w:r>
      <w:sdt>
        <w:sdtPr>
          <w:tag w:val="goog_rdk_5"/>
          <w:id w:val="2133695917"/>
        </w:sdtPr>
        <w:sdtContent>
          <w:r w:rsidRPr="000B60A9">
            <w:rPr>
              <w:rFonts w:ascii="Cardo" w:eastAsia="Cardo" w:hAnsi="Cardo" w:cs="Cardo"/>
              <w:sz w:val="24"/>
              <w:szCs w:val="24"/>
            </w:rPr>
            <w:t xml:space="preserve"> = .730) and Disidentification (β = −.044, </w:t>
          </w:r>
        </w:sdtContent>
      </w:sdt>
      <w:r w:rsidRPr="000B60A9">
        <w:rPr>
          <w:i/>
          <w:iCs/>
          <w:sz w:val="24"/>
          <w:szCs w:val="24"/>
        </w:rPr>
        <w:t>p</w:t>
      </w:r>
      <w:r w:rsidRPr="000B60A9">
        <w:rPr>
          <w:sz w:val="24"/>
          <w:szCs w:val="24"/>
        </w:rPr>
        <w:t xml:space="preserve"> = .468) were not significant. The indirect associations through Non-attachment were significant for Connectedness to Humanity (β = .200, </w:t>
      </w:r>
      <w:r w:rsidRPr="000B60A9">
        <w:rPr>
          <w:i/>
          <w:iCs/>
          <w:sz w:val="24"/>
          <w:szCs w:val="24"/>
        </w:rPr>
        <w:t>p</w:t>
      </w:r>
      <w:r w:rsidRPr="000B60A9">
        <w:rPr>
          <w:sz w:val="24"/>
          <w:szCs w:val="24"/>
        </w:rPr>
        <w:t xml:space="preserve"> &lt; .001), Impermanence-related insight (β = .127, </w:t>
      </w:r>
      <w:r w:rsidRPr="000B60A9">
        <w:rPr>
          <w:i/>
          <w:iCs/>
          <w:sz w:val="24"/>
          <w:szCs w:val="24"/>
        </w:rPr>
        <w:t>p</w:t>
      </w:r>
      <w:r w:rsidRPr="000B60A9">
        <w:rPr>
          <w:sz w:val="24"/>
          <w:szCs w:val="24"/>
        </w:rPr>
        <w:t xml:space="preserve"> = .014), and Disidentification (β = .128, </w:t>
      </w:r>
      <w:r w:rsidRPr="000B60A9">
        <w:rPr>
          <w:i/>
          <w:iCs/>
          <w:sz w:val="24"/>
          <w:szCs w:val="24"/>
        </w:rPr>
        <w:t>p</w:t>
      </w:r>
      <w:r w:rsidRPr="000B60A9">
        <w:rPr>
          <w:sz w:val="24"/>
          <w:szCs w:val="24"/>
        </w:rPr>
        <w:t xml:space="preserve"> = .006). Thus, the substantive pattern of associations was preserved when measurement error was modeled explicitly.</w:t>
      </w:r>
    </w:p>
    <w:tbl>
      <w:tblPr>
        <w:tblW w:w="9105" w:type="dxa"/>
        <w:tblLayout w:type="fixed"/>
        <w:tblLook w:val="0600" w:firstRow="0" w:lastRow="0" w:firstColumn="0" w:lastColumn="0" w:noHBand="1" w:noVBand="1"/>
      </w:tblPr>
      <w:tblGrid>
        <w:gridCol w:w="5730"/>
        <w:gridCol w:w="1950"/>
        <w:gridCol w:w="1425"/>
      </w:tblGrid>
      <w:tr w:rsidR="00155F8D" w:rsidRPr="000B60A9" w14:paraId="78A4B321" w14:textId="77777777" w:rsidTr="00C72743">
        <w:trPr>
          <w:trHeight w:val="396"/>
        </w:trPr>
        <w:tc>
          <w:tcPr>
            <w:tcW w:w="9105" w:type="dxa"/>
            <w:gridSpan w:val="3"/>
            <w:tcBorders>
              <w:bottom w:val="single" w:sz="4" w:space="0" w:color="000000"/>
            </w:tcBorders>
            <w:tcMar>
              <w:top w:w="100" w:type="dxa"/>
              <w:left w:w="100" w:type="dxa"/>
              <w:bottom w:w="100" w:type="dxa"/>
              <w:right w:w="100" w:type="dxa"/>
            </w:tcMar>
            <w:vAlign w:val="center"/>
          </w:tcPr>
          <w:p w14:paraId="043176BC"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b/>
                <w:bCs/>
              </w:rPr>
              <w:t xml:space="preserve">Table S3. </w:t>
            </w:r>
            <w:r w:rsidRPr="000B60A9">
              <w:rPr>
                <w:rFonts w:ascii="Times New Roman" w:eastAsia="Times New Roman" w:hAnsi="Times New Roman" w:cs="Times New Roman"/>
              </w:rPr>
              <w:t>Structural Paths in the Partial Latent SEM</w:t>
            </w:r>
          </w:p>
        </w:tc>
      </w:tr>
      <w:tr w:rsidR="00155F8D" w:rsidRPr="000B60A9" w14:paraId="65B67119" w14:textId="77777777" w:rsidTr="00C72743">
        <w:trPr>
          <w:trHeight w:val="387"/>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6178F8F7"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b/>
                <w:bCs/>
              </w:rPr>
              <w:t>Path</w:t>
            </w:r>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78F3FEDC"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b/>
                <w:bCs/>
              </w:rPr>
              <w:t>Standardized β</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438523AD"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b/>
                <w:bCs/>
              </w:rPr>
              <w:t>p</w:t>
            </w:r>
          </w:p>
        </w:tc>
      </w:tr>
      <w:tr w:rsidR="00155F8D" w:rsidRPr="000B60A9" w14:paraId="4B556565" w14:textId="77777777" w:rsidTr="00C72743">
        <w:trPr>
          <w:trHeight w:val="297"/>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231DB057"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6"/>
                <w:id w:val="1178151471"/>
              </w:sdtPr>
              <w:sdtContent>
                <w:r w:rsidRPr="000B60A9">
                  <w:rPr>
                    <w:rFonts w:ascii="Cardo" w:eastAsia="Cardo" w:hAnsi="Cardo" w:cs="Cardo"/>
                  </w:rPr>
                  <w:t>Connectedness → Non-attachment</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4502AE6E"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.401</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12EA8DFA"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&lt; .001</w:t>
            </w:r>
          </w:p>
        </w:tc>
      </w:tr>
      <w:tr w:rsidR="00155F8D" w:rsidRPr="000B60A9" w14:paraId="65158213"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261FA8A9"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7"/>
                <w:id w:val="1503928652"/>
              </w:sdtPr>
              <w:sdtContent>
                <w:r w:rsidRPr="000B60A9">
                  <w:rPr>
                    <w:rFonts w:ascii="Cardo" w:eastAsia="Cardo" w:hAnsi="Cardo" w:cs="Cardo"/>
                  </w:rPr>
                  <w:t>Impermanence → Non-attachment</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2796347C"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.255</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486851C3"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.002</w:t>
            </w:r>
          </w:p>
        </w:tc>
      </w:tr>
      <w:tr w:rsidR="00155F8D" w:rsidRPr="000B60A9" w14:paraId="3E1B7990"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052C03C0"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8"/>
                <w:id w:val="1891090279"/>
              </w:sdtPr>
              <w:sdtContent>
                <w:r w:rsidRPr="000B60A9">
                  <w:rPr>
                    <w:rFonts w:ascii="Cardo" w:eastAsia="Cardo" w:hAnsi="Cardo" w:cs="Cardo"/>
                  </w:rPr>
                  <w:t>Disidentification → Non-attachment</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04987EFF"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.257</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694CB07C"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.005</w:t>
            </w:r>
          </w:p>
        </w:tc>
      </w:tr>
      <w:tr w:rsidR="00155F8D" w:rsidRPr="000B60A9" w14:paraId="25659A63"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3F134E19"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9"/>
                <w:id w:val="-1723924982"/>
              </w:sdtPr>
              <w:sdtContent>
                <w:r w:rsidRPr="000B60A9">
                  <w:rPr>
                    <w:rFonts w:ascii="Cardo" w:eastAsia="Cardo" w:hAnsi="Cardo" w:cs="Cardo"/>
                  </w:rPr>
                  <w:t>Non-attachment → Authentic happiness</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62A7E52E"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.498</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5E0FF638"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&lt; .001</w:t>
            </w:r>
          </w:p>
        </w:tc>
      </w:tr>
      <w:tr w:rsidR="00155F8D" w:rsidRPr="000B60A9" w14:paraId="706B8936"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45E08BDA"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10"/>
                <w:id w:val="147160334"/>
              </w:sdtPr>
              <w:sdtContent>
                <w:r w:rsidRPr="000B60A9">
                  <w:rPr>
                    <w:rFonts w:ascii="Cardo" w:eastAsia="Cardo" w:hAnsi="Cardo" w:cs="Cardo"/>
                  </w:rPr>
                  <w:t>Connectedness → Authentic happiness</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5261F366"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.258</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12C37BA8"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.001</w:t>
            </w:r>
          </w:p>
        </w:tc>
      </w:tr>
      <w:tr w:rsidR="00155F8D" w:rsidRPr="000B60A9" w14:paraId="3FE7EEC4"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687BCAC2"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11"/>
                <w:id w:val="207262127"/>
              </w:sdtPr>
              <w:sdtContent>
                <w:r w:rsidRPr="000B60A9">
                  <w:rPr>
                    <w:rFonts w:ascii="Cardo" w:eastAsia="Cardo" w:hAnsi="Cardo" w:cs="Cardo"/>
                  </w:rPr>
                  <w:t>Impermanence → Authentic happiness</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701E7547" w14:textId="77777777" w:rsidR="00155F8D" w:rsidRPr="000B60A9" w:rsidRDefault="00155F8D" w:rsidP="00C72743">
            <w:pPr>
              <w:spacing w:after="0" w:line="240" w:lineRule="auto"/>
              <w:jc w:val="center"/>
              <w:rPr>
                <w:rFonts w:ascii="Times New Roman" w:eastAsia="Times New Roman" w:hAnsi="Times New Roman" w:cs="Times New Roman"/>
              </w:rPr>
            </w:pPr>
            <w:sdt>
              <w:sdtPr>
                <w:tag w:val="goog_rdk_12"/>
                <w:id w:val="1869653850"/>
              </w:sdtPr>
              <w:sdtContent>
                <w:r w:rsidRPr="000B60A9">
                  <w:rPr>
                    <w:rFonts w:ascii="Gungsuh" w:eastAsia="Gungsuh" w:hAnsi="Gungsuh" w:cs="Gungsuh"/>
                  </w:rPr>
                  <w:t>−.025</w:t>
                </w:r>
              </w:sdtContent>
            </w:sdt>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5B8607D9"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.730</w:t>
            </w:r>
          </w:p>
        </w:tc>
      </w:tr>
      <w:tr w:rsidR="00155F8D" w:rsidRPr="000B60A9" w14:paraId="09E77D37"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3FBFB45D"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13"/>
                <w:id w:val="819815293"/>
              </w:sdtPr>
              <w:sdtContent>
                <w:r w:rsidRPr="000B60A9">
                  <w:rPr>
                    <w:rFonts w:ascii="Cardo" w:eastAsia="Cardo" w:hAnsi="Cardo" w:cs="Cardo"/>
                  </w:rPr>
                  <w:t>Disidentification → Authentic happiness</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3877217D" w14:textId="77777777" w:rsidR="00155F8D" w:rsidRPr="000B60A9" w:rsidRDefault="00155F8D" w:rsidP="00C72743">
            <w:pPr>
              <w:spacing w:after="0" w:line="240" w:lineRule="auto"/>
              <w:jc w:val="center"/>
              <w:rPr>
                <w:rFonts w:ascii="Times New Roman" w:eastAsia="Times New Roman" w:hAnsi="Times New Roman" w:cs="Times New Roman"/>
              </w:rPr>
            </w:pPr>
            <w:sdt>
              <w:sdtPr>
                <w:tag w:val="goog_rdk_14"/>
                <w:id w:val="-1975837929"/>
              </w:sdtPr>
              <w:sdtContent>
                <w:r w:rsidRPr="000B60A9">
                  <w:rPr>
                    <w:rFonts w:ascii="Gungsuh" w:eastAsia="Gungsuh" w:hAnsi="Gungsuh" w:cs="Gungsuh"/>
                  </w:rPr>
                  <w:t>−.044</w:t>
                </w:r>
              </w:sdtContent>
            </w:sdt>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4D4C79BF"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.468</w:t>
            </w:r>
          </w:p>
        </w:tc>
      </w:tr>
      <w:tr w:rsidR="00155F8D" w:rsidRPr="000B60A9" w14:paraId="5586E3D9"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10BB5EE1"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15"/>
                <w:id w:val="216842737"/>
              </w:sdtPr>
              <w:sdtContent>
                <w:r w:rsidRPr="000B60A9">
                  <w:rPr>
                    <w:rFonts w:ascii="Cardo" w:eastAsia="Cardo" w:hAnsi="Cardo" w:cs="Cardo"/>
                  </w:rPr>
                  <w:t>Connectedness → Non-attachment → Authentic happiness</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7F33A48B"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.200</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7B3C5B48"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&lt; .001</w:t>
            </w:r>
          </w:p>
        </w:tc>
      </w:tr>
      <w:tr w:rsidR="00155F8D" w:rsidRPr="000B60A9" w14:paraId="51A1DEAB"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32DFDE10"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16"/>
                <w:id w:val="-1934003804"/>
              </w:sdtPr>
              <w:sdtContent>
                <w:r w:rsidRPr="000B60A9">
                  <w:rPr>
                    <w:rFonts w:ascii="Cardo" w:eastAsia="Cardo" w:hAnsi="Cardo" w:cs="Cardo"/>
                  </w:rPr>
                  <w:t>Impermanence → Non-attachment → Authentic happiness</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5156EAAC"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.127</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0E75A0AE"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.014</w:t>
            </w:r>
          </w:p>
        </w:tc>
      </w:tr>
      <w:tr w:rsidR="00155F8D" w:rsidRPr="000B60A9" w14:paraId="52186FFA" w14:textId="77777777" w:rsidTr="00C72743">
        <w:trPr>
          <w:trHeight w:val="396"/>
        </w:trPr>
        <w:tc>
          <w:tcPr>
            <w:tcW w:w="5730" w:type="dxa"/>
            <w:tcBorders>
              <w:top w:val="single" w:sz="4" w:space="0" w:color="000000"/>
              <w:bottom w:val="single" w:sz="4" w:space="0" w:color="000000"/>
            </w:tcBorders>
            <w:tcMar>
              <w:top w:w="100" w:type="dxa"/>
              <w:left w:w="100" w:type="dxa"/>
              <w:bottom w:w="100" w:type="dxa"/>
              <w:right w:w="100" w:type="dxa"/>
            </w:tcMar>
            <w:vAlign w:val="center"/>
          </w:tcPr>
          <w:p w14:paraId="49E82D72" w14:textId="77777777" w:rsidR="00155F8D" w:rsidRPr="000B60A9" w:rsidRDefault="00155F8D" w:rsidP="00C72743">
            <w:pPr>
              <w:spacing w:after="0" w:line="240" w:lineRule="auto"/>
              <w:jc w:val="both"/>
              <w:rPr>
                <w:rFonts w:ascii="Times New Roman" w:eastAsia="Times New Roman" w:hAnsi="Times New Roman" w:cs="Times New Roman"/>
              </w:rPr>
            </w:pPr>
            <w:sdt>
              <w:sdtPr>
                <w:tag w:val="goog_rdk_17"/>
                <w:id w:val="1309262952"/>
              </w:sdtPr>
              <w:sdtContent>
                <w:r w:rsidRPr="000B60A9">
                  <w:rPr>
                    <w:rFonts w:ascii="Cardo" w:eastAsia="Cardo" w:hAnsi="Cardo" w:cs="Cardo"/>
                  </w:rPr>
                  <w:t>Disidentification → Non-attachment → Authentic happiness</w:t>
                </w:r>
              </w:sdtContent>
            </w:sdt>
          </w:p>
        </w:tc>
        <w:tc>
          <w:tcPr>
            <w:tcW w:w="1950" w:type="dxa"/>
            <w:tcBorders>
              <w:top w:val="single" w:sz="4" w:space="0" w:color="000000"/>
              <w:bottom w:val="single" w:sz="4" w:space="0" w:color="000000"/>
            </w:tcBorders>
            <w:tcMar>
              <w:top w:w="100" w:type="dxa"/>
              <w:left w:w="100" w:type="dxa"/>
              <w:bottom w:w="100" w:type="dxa"/>
              <w:right w:w="100" w:type="dxa"/>
            </w:tcMar>
            <w:vAlign w:val="center"/>
          </w:tcPr>
          <w:p w14:paraId="6B245AC2"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.128</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6CBAB757" w14:textId="77777777" w:rsidR="00155F8D" w:rsidRPr="000B60A9" w:rsidRDefault="00155F8D" w:rsidP="00C72743">
            <w:pPr>
              <w:spacing w:after="0" w:line="240" w:lineRule="auto"/>
              <w:jc w:val="center"/>
              <w:rPr>
                <w:rFonts w:ascii="Times New Roman" w:eastAsia="Times New Roman" w:hAnsi="Times New Roman" w:cs="Times New Roman"/>
              </w:rPr>
            </w:pPr>
            <w:r w:rsidRPr="000B60A9">
              <w:rPr>
                <w:rFonts w:ascii="Times New Roman" w:eastAsia="Times New Roman" w:hAnsi="Times New Roman" w:cs="Times New Roman"/>
              </w:rPr>
              <w:t>.006</w:t>
            </w:r>
          </w:p>
        </w:tc>
      </w:tr>
      <w:tr w:rsidR="00155F8D" w:rsidRPr="000B60A9" w14:paraId="461E88AB" w14:textId="77777777" w:rsidTr="00C72743">
        <w:trPr>
          <w:trHeight w:val="420"/>
        </w:trPr>
        <w:tc>
          <w:tcPr>
            <w:tcW w:w="9105" w:type="dxa"/>
            <w:gridSpan w:val="3"/>
            <w:tcBorders>
              <w:top w:val="single" w:sz="4" w:space="0" w:color="000000"/>
            </w:tcBorders>
            <w:tcMar>
              <w:top w:w="100" w:type="dxa"/>
              <w:left w:w="100" w:type="dxa"/>
              <w:bottom w:w="100" w:type="dxa"/>
              <w:right w:w="100" w:type="dxa"/>
            </w:tcMar>
            <w:vAlign w:val="center"/>
          </w:tcPr>
          <w:p w14:paraId="0E8CAEE7" w14:textId="77777777" w:rsidR="00155F8D" w:rsidRPr="000B60A9" w:rsidRDefault="00155F8D" w:rsidP="00C72743">
            <w:pPr>
              <w:spacing w:after="0" w:line="240" w:lineRule="auto"/>
              <w:jc w:val="both"/>
              <w:rPr>
                <w:rFonts w:ascii="Times New Roman" w:eastAsia="Times New Roman" w:hAnsi="Times New Roman" w:cs="Times New Roman"/>
              </w:rPr>
            </w:pPr>
            <w:r w:rsidRPr="000B60A9">
              <w:rPr>
                <w:rFonts w:ascii="Times New Roman" w:eastAsia="Times New Roman" w:hAnsi="Times New Roman" w:cs="Times New Roman"/>
                <w:i/>
                <w:iCs/>
              </w:rPr>
              <w:t>Note.</w:t>
            </w:r>
            <w:r w:rsidRPr="000B60A9">
              <w:rPr>
                <w:rFonts w:ascii="Times New Roman" w:eastAsia="Times New Roman" w:hAnsi="Times New Roman" w:cs="Times New Roman"/>
              </w:rPr>
              <w:t xml:space="preserve"> </w:t>
            </w:r>
            <w:r w:rsidRPr="000B60A9">
              <w:rPr>
                <w:rFonts w:ascii="Times New Roman" w:eastAsia="Times New Roman" w:hAnsi="Times New Roman" w:cs="Times New Roman"/>
                <w:i/>
                <w:iCs/>
              </w:rPr>
              <w:t>N</w:t>
            </w:r>
            <w:r w:rsidRPr="000B60A9">
              <w:rPr>
                <w:rFonts w:ascii="Times New Roman" w:eastAsia="Times New Roman" w:hAnsi="Times New Roman" w:cs="Times New Roman"/>
              </w:rPr>
              <w:t xml:space="preserve"> = 212. Standardized coefficients are reported. Indirect associations are statistical indirect associations estimated in a cross-sectional model and should not be interpreted as evidence of causal mediation.</w:t>
            </w:r>
          </w:p>
        </w:tc>
      </w:tr>
    </w:tbl>
    <w:p w14:paraId="1C6DDD2B" w14:textId="77777777" w:rsidR="00155F8D" w:rsidRPr="000B60A9" w:rsidRDefault="00155F8D" w:rsidP="00155F8D">
      <w:pPr>
        <w:pStyle w:val="Heading3"/>
        <w:spacing w:before="120" w:after="120" w:line="360" w:lineRule="auto"/>
        <w:jc w:val="both"/>
        <w:rPr>
          <w:sz w:val="24"/>
          <w:szCs w:val="24"/>
        </w:rPr>
      </w:pPr>
      <w:bookmarkStart w:id="7" w:name="_heading=h.vrig7lv5k878" w:colFirst="0" w:colLast="0"/>
      <w:bookmarkEnd w:id="7"/>
      <w:r w:rsidRPr="000B60A9">
        <w:rPr>
          <w:sz w:val="24"/>
          <w:szCs w:val="24"/>
        </w:rPr>
        <w:t>Supplementary Analysis Summary</w:t>
      </w:r>
    </w:p>
    <w:p w14:paraId="3DCA7451" w14:textId="77777777" w:rsidR="00155F8D" w:rsidRPr="000B60A9" w:rsidRDefault="00155F8D" w:rsidP="00155F8D">
      <w:pPr>
        <w:pStyle w:val="Heading3"/>
        <w:spacing w:before="120" w:after="120" w:line="360" w:lineRule="auto"/>
        <w:jc w:val="both"/>
        <w:rPr>
          <w:b/>
          <w:bCs/>
          <w:sz w:val="24"/>
          <w:szCs w:val="24"/>
        </w:rPr>
      </w:pPr>
      <w:bookmarkStart w:id="8" w:name="_heading=h.rymi7txwb94e" w:colFirst="0" w:colLast="0"/>
      <w:bookmarkEnd w:id="8"/>
      <w:r w:rsidRPr="000B60A9">
        <w:rPr>
          <w:sz w:val="24"/>
          <w:szCs w:val="24"/>
        </w:rPr>
        <w:t xml:space="preserve">Taken together, the supplementary analyses provided support for the reliability and overall measurement structure of the constructs used in the main analyses. Although the fit of some isolated single-factor models was mixed, the simultaneous four-factor measurement model showed acceptable fit, and all items loaded significantly on their intended constructs. Importantly, re-estimating the primary model with latent variables yielded a pattern of structural associations that closely paralleled the observed-score results. These analyses therefore support the defensibility of using composite scores in the main exploratory analyses while demonstrating that the substantive conclusions were robust to explicit modeling of measurement error. </w:t>
      </w:r>
    </w:p>
    <w:p w14:paraId="7AEFF9DB" w14:textId="77777777" w:rsidR="00F553FF" w:rsidRDefault="00F553FF"/>
    <w:sectPr w:rsidR="00F553FF" w:rsidSect="00155F8D">
      <w:headerReference w:type="even" r:id="rId4"/>
      <w:headerReference w:type="default" r:id="rId5"/>
      <w:footerReference w:type="even" r:id="rId6"/>
      <w:footerReference w:type="default" r:id="rId7"/>
      <w:headerReference w:type="first" r:id="rId8"/>
      <w:footerReference w:type="first" r:id="rId9"/>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rdo">
    <w:altName w:val="Calibri"/>
    <w:charset w:val="00"/>
    <w:family w:val="auto"/>
    <w:pitch w:val="default"/>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EF62" w14:textId="77777777" w:rsidR="00155F8D" w:rsidRDefault="00155F8D">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FD13" w14:textId="77777777" w:rsidR="00155F8D" w:rsidRDefault="00155F8D">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B0E9B5E" w14:textId="77777777" w:rsidR="00155F8D" w:rsidRDefault="00155F8D">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6B1F8" w14:textId="77777777" w:rsidR="00155F8D" w:rsidRDefault="00155F8D">
    <w:pPr>
      <w:pBdr>
        <w:top w:val="nil"/>
        <w:left w:val="nil"/>
        <w:bottom w:val="nil"/>
        <w:right w:val="nil"/>
        <w:between w:val="nil"/>
      </w:pBdr>
      <w:tabs>
        <w:tab w:val="center" w:pos="4536"/>
        <w:tab w:val="right" w:pos="9072"/>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1C06" w14:textId="77777777" w:rsidR="00155F8D" w:rsidRDefault="00155F8D">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EAEB" w14:textId="77777777" w:rsidR="00155F8D" w:rsidRDefault="00155F8D">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099A" w14:textId="77777777" w:rsidR="00155F8D" w:rsidRDefault="00155F8D">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F8D"/>
    <w:rsid w:val="00155F8D"/>
    <w:rsid w:val="003C2EF4"/>
    <w:rsid w:val="00446799"/>
    <w:rsid w:val="00471820"/>
    <w:rsid w:val="006A7E07"/>
    <w:rsid w:val="00701021"/>
    <w:rsid w:val="00866E40"/>
    <w:rsid w:val="00B412C1"/>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E8694"/>
  <w15:chartTrackingRefBased/>
  <w15:docId w15:val="{F4D2A36B-F671-4A09-82F9-BEBADD4B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F8D"/>
    <w:pPr>
      <w:spacing w:line="259"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155F8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155F8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unhideWhenUsed/>
    <w:qFormat/>
    <w:rsid w:val="00155F8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155F8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155F8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155F8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155F8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155F8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155F8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F8D"/>
    <w:rPr>
      <w:rFonts w:eastAsiaTheme="majorEastAsia" w:cstheme="majorBidi"/>
      <w:color w:val="272727" w:themeColor="text1" w:themeTint="D8"/>
    </w:rPr>
  </w:style>
  <w:style w:type="paragraph" w:styleId="Title">
    <w:name w:val="Title"/>
    <w:basedOn w:val="Normal"/>
    <w:next w:val="Normal"/>
    <w:link w:val="TitleChar"/>
    <w:uiPriority w:val="10"/>
    <w:qFormat/>
    <w:rsid w:val="00155F8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55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F8D"/>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55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F8D"/>
    <w:pPr>
      <w:spacing w:before="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155F8D"/>
    <w:rPr>
      <w:i/>
      <w:iCs/>
      <w:color w:val="404040" w:themeColor="text1" w:themeTint="BF"/>
    </w:rPr>
  </w:style>
  <w:style w:type="paragraph" w:styleId="ListParagraph">
    <w:name w:val="List Paragraph"/>
    <w:basedOn w:val="Normal"/>
    <w:uiPriority w:val="34"/>
    <w:qFormat/>
    <w:rsid w:val="00155F8D"/>
    <w:pPr>
      <w:spacing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155F8D"/>
    <w:rPr>
      <w:i/>
      <w:iCs/>
      <w:color w:val="0F4761" w:themeColor="accent1" w:themeShade="BF"/>
    </w:rPr>
  </w:style>
  <w:style w:type="paragraph" w:styleId="IntenseQuote">
    <w:name w:val="Intense Quote"/>
    <w:basedOn w:val="Normal"/>
    <w:next w:val="Normal"/>
    <w:link w:val="IntenseQuoteChar"/>
    <w:uiPriority w:val="30"/>
    <w:qFormat/>
    <w:rsid w:val="00155F8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155F8D"/>
    <w:rPr>
      <w:i/>
      <w:iCs/>
      <w:color w:val="0F4761" w:themeColor="accent1" w:themeShade="BF"/>
    </w:rPr>
  </w:style>
  <w:style w:type="character" w:styleId="IntenseReference">
    <w:name w:val="Intense Reference"/>
    <w:basedOn w:val="DefaultParagraphFont"/>
    <w:uiPriority w:val="32"/>
    <w:qFormat/>
    <w:rsid w:val="00155F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5656</Characters>
  <Application>Microsoft Office Word</Application>
  <DocSecurity>0</DocSecurity>
  <Lines>47</Lines>
  <Paragraphs>13</Paragraphs>
  <ScaleCrop>false</ScaleCrop>
  <Company>Springer Nature</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2026-10-16T16:07:00Z</dcterms:created>
  <dcterms:modified xsi:type="dcterms:W3CDTF">2026-10-16T16:07:00Z</dcterms:modified>
</cp:coreProperties>
</file>