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9ECA5" w14:textId="77777777" w:rsidR="00351CBD" w:rsidRPr="00D824E4" w:rsidRDefault="00351CBD" w:rsidP="00351CBD">
      <w:pPr>
        <w:spacing w:after="0" w:line="360" w:lineRule="auto"/>
        <w:jc w:val="both"/>
        <w:rPr>
          <w:rFonts w:ascii="Times New Roman" w:hAnsi="Times New Roman" w:cs="Times New Roman"/>
          <w:b/>
          <w:bCs/>
          <w:color w:val="000000" w:themeColor="text1"/>
        </w:rPr>
      </w:pPr>
      <w:r w:rsidRPr="00D824E4">
        <w:rPr>
          <w:rFonts w:ascii="Times New Roman" w:hAnsi="Times New Roman" w:cs="Times New Roman"/>
          <w:b/>
          <w:bCs/>
          <w:color w:val="000000" w:themeColor="text1"/>
        </w:rPr>
        <w:t>SUPPLEMENTARY INFORMATION (SI)</w:t>
      </w:r>
    </w:p>
    <w:p w14:paraId="66F851A7" w14:textId="77777777" w:rsidR="00351CBD" w:rsidRPr="00D824E4" w:rsidRDefault="00351CBD" w:rsidP="00351CBD">
      <w:pPr>
        <w:spacing w:after="0" w:line="360" w:lineRule="auto"/>
        <w:jc w:val="both"/>
        <w:rPr>
          <w:rFonts w:ascii="Times New Roman" w:hAnsi="Times New Roman" w:cs="Times New Roman"/>
          <w:b/>
          <w:bCs/>
          <w:color w:val="000000" w:themeColor="text1"/>
        </w:rPr>
      </w:pPr>
    </w:p>
    <w:p w14:paraId="5F615A18" w14:textId="77777777" w:rsidR="00351CBD" w:rsidRPr="00D824E4" w:rsidRDefault="00351CBD" w:rsidP="00351CBD">
      <w:pPr>
        <w:spacing w:after="0" w:line="276" w:lineRule="auto"/>
        <w:jc w:val="both"/>
        <w:rPr>
          <w:rFonts w:ascii="Times New Roman" w:hAnsi="Times New Roman" w:cs="Times New Roman"/>
          <w:b/>
          <w:bCs/>
          <w:color w:val="000000" w:themeColor="text1"/>
        </w:rPr>
      </w:pPr>
      <w:r w:rsidRPr="00D824E4">
        <w:rPr>
          <w:rFonts w:ascii="Times New Roman" w:hAnsi="Times New Roman" w:cs="Times New Roman"/>
          <w:b/>
          <w:bCs/>
          <w:color w:val="000000" w:themeColor="text1"/>
        </w:rPr>
        <w:t xml:space="preserve">Title: </w:t>
      </w:r>
      <w:r w:rsidRPr="00D824E4">
        <w:rPr>
          <w:rFonts w:ascii="Times New Roman" w:hAnsi="Times New Roman" w:cs="Times New Roman"/>
          <w:color w:val="000000" w:themeColor="text1"/>
        </w:rPr>
        <w:t>Fluorescent protein identity influences GESENI susceptibility and reveals ectopic expression from a sperm cell-specific promoter in Arabidopsis pollen</w:t>
      </w:r>
    </w:p>
    <w:p w14:paraId="34CA302C" w14:textId="77777777" w:rsidR="00351CBD" w:rsidRPr="00D824E4" w:rsidRDefault="00351CBD" w:rsidP="00351CBD">
      <w:pPr>
        <w:spacing w:after="0" w:line="360" w:lineRule="auto"/>
        <w:jc w:val="both"/>
        <w:rPr>
          <w:rFonts w:ascii="Times New Roman" w:hAnsi="Times New Roman" w:cs="Times New Roman"/>
          <w:b/>
          <w:bCs/>
          <w:color w:val="000000" w:themeColor="text1"/>
        </w:rPr>
      </w:pPr>
    </w:p>
    <w:p w14:paraId="4BA6DF93" w14:textId="77777777" w:rsidR="00351CBD" w:rsidRPr="00D824E4" w:rsidRDefault="00351CBD" w:rsidP="00351CBD">
      <w:pPr>
        <w:spacing w:after="0" w:line="276" w:lineRule="auto"/>
        <w:jc w:val="both"/>
        <w:rPr>
          <w:rFonts w:ascii="Times New Roman" w:hAnsi="Times New Roman" w:cs="Times New Roman"/>
          <w:b/>
          <w:bCs/>
          <w:color w:val="000000" w:themeColor="text1"/>
        </w:rPr>
      </w:pPr>
      <w:r w:rsidRPr="00D824E4">
        <w:rPr>
          <w:rFonts w:ascii="Times New Roman" w:hAnsi="Times New Roman" w:cs="Times New Roman"/>
          <w:b/>
          <w:bCs/>
          <w:color w:val="000000" w:themeColor="text1"/>
        </w:rPr>
        <w:t xml:space="preserve">Authors: </w:t>
      </w:r>
      <w:r w:rsidRPr="00D824E4">
        <w:rPr>
          <w:rFonts w:ascii="Times New Roman" w:hAnsi="Times New Roman" w:cs="Times New Roman"/>
          <w:color w:val="000000" w:themeColor="text1"/>
        </w:rPr>
        <w:t>Yukinosuke Ohnishi</w:t>
      </w:r>
      <w:r w:rsidRPr="00D824E4">
        <w:rPr>
          <w:rFonts w:ascii="Times New Roman" w:hAnsi="Times New Roman" w:cs="Times New Roman"/>
          <w:color w:val="000000" w:themeColor="text1"/>
          <w:vertAlign w:val="superscript"/>
        </w:rPr>
        <w:t>1,*,†</w:t>
      </w:r>
      <w:r w:rsidRPr="00D824E4">
        <w:rPr>
          <w:rFonts w:ascii="Times New Roman" w:hAnsi="Times New Roman" w:cs="Times New Roman"/>
          <w:color w:val="000000" w:themeColor="text1"/>
        </w:rPr>
        <w:t>, Tomokazu Kawashima</w:t>
      </w:r>
      <w:r w:rsidRPr="00D824E4">
        <w:rPr>
          <w:rFonts w:ascii="Times New Roman" w:hAnsi="Times New Roman" w:cs="Times New Roman"/>
          <w:color w:val="000000" w:themeColor="text1"/>
          <w:vertAlign w:val="superscript"/>
        </w:rPr>
        <w:t>1,*</w:t>
      </w:r>
    </w:p>
    <w:p w14:paraId="5BDBF134" w14:textId="77777777" w:rsidR="00351CBD" w:rsidRPr="00D824E4" w:rsidRDefault="00351CBD" w:rsidP="00351CBD">
      <w:pPr>
        <w:spacing w:after="0" w:line="276" w:lineRule="auto"/>
        <w:jc w:val="both"/>
        <w:rPr>
          <w:rFonts w:ascii="Times New Roman" w:hAnsi="Times New Roman" w:cs="Times New Roman"/>
          <w:color w:val="000000" w:themeColor="text1"/>
        </w:rPr>
      </w:pPr>
      <w:r w:rsidRPr="00D824E4">
        <w:rPr>
          <w:rFonts w:ascii="Times New Roman" w:hAnsi="Times New Roman" w:cs="Times New Roman"/>
          <w:color w:val="000000" w:themeColor="text1"/>
        </w:rPr>
        <w:t>1 Department of Plant and Soil Sciences, University of Kentucky, Lexington, KY, 40503, USA</w:t>
      </w:r>
    </w:p>
    <w:p w14:paraId="1FC139D3" w14:textId="77777777" w:rsidR="00351CBD" w:rsidRPr="00D824E4" w:rsidRDefault="00351CBD" w:rsidP="00351CBD">
      <w:pPr>
        <w:spacing w:after="0" w:line="276" w:lineRule="auto"/>
        <w:jc w:val="both"/>
        <w:rPr>
          <w:rFonts w:ascii="Times New Roman" w:hAnsi="Times New Roman" w:cs="Times New Roman"/>
          <w:color w:val="000000" w:themeColor="text1"/>
          <w:vertAlign w:val="superscript"/>
        </w:rPr>
      </w:pPr>
    </w:p>
    <w:p w14:paraId="52D416A3" w14:textId="77777777" w:rsidR="00351CBD" w:rsidRPr="00D824E4" w:rsidRDefault="00351CBD" w:rsidP="00351CBD">
      <w:pPr>
        <w:spacing w:after="0" w:line="276" w:lineRule="auto"/>
        <w:jc w:val="both"/>
        <w:rPr>
          <w:rFonts w:ascii="Times New Roman" w:hAnsi="Times New Roman" w:cs="Times New Roman"/>
          <w:color w:val="000000" w:themeColor="text1"/>
          <w:vertAlign w:val="superscript"/>
        </w:rPr>
      </w:pPr>
      <w:r w:rsidRPr="00D824E4">
        <w:rPr>
          <w:rFonts w:ascii="Times New Roman" w:hAnsi="Times New Roman" w:cs="Times New Roman"/>
          <w:color w:val="000000" w:themeColor="text1"/>
          <w:vertAlign w:val="superscript"/>
        </w:rPr>
        <w:t>*</w:t>
      </w:r>
      <w:r w:rsidRPr="00D824E4">
        <w:rPr>
          <w:rFonts w:ascii="Times New Roman" w:hAnsi="Times New Roman" w:cs="Times New Roman"/>
          <w:color w:val="000000" w:themeColor="text1"/>
        </w:rPr>
        <w:t>Author for correspondence:</w:t>
      </w:r>
      <w:r w:rsidRPr="00D824E4">
        <w:rPr>
          <w:rFonts w:ascii="Times New Roman" w:hAnsi="Times New Roman" w:cs="Times New Roman"/>
          <w:color w:val="000000" w:themeColor="text1"/>
          <w:vertAlign w:val="superscript"/>
        </w:rPr>
        <w:t xml:space="preserve"> </w:t>
      </w:r>
      <w:r w:rsidRPr="00D824E4">
        <w:rPr>
          <w:rFonts w:ascii="Times New Roman" w:hAnsi="Times New Roman" w:cs="Times New Roman"/>
          <w:color w:val="2A2A2A"/>
          <w:shd w:val="clear" w:color="auto" w:fill="FFFFFF"/>
        </w:rPr>
        <w:t xml:space="preserve">oonishi.yukinosuke@gmail.com (Y.O.), tomo.k@uky.edu (T.K.) </w:t>
      </w:r>
      <w:r w:rsidRPr="00D824E4">
        <w:rPr>
          <w:rFonts w:ascii="Times New Roman" w:hAnsi="Times New Roman" w:cs="Times New Roman"/>
          <w:color w:val="000000" w:themeColor="text1"/>
        </w:rPr>
        <w:t xml:space="preserve"> </w:t>
      </w:r>
    </w:p>
    <w:p w14:paraId="2D7553E4" w14:textId="77777777" w:rsidR="00351CBD" w:rsidRPr="00D824E4" w:rsidRDefault="00351CBD" w:rsidP="00351CBD">
      <w:pPr>
        <w:spacing w:after="0" w:line="276" w:lineRule="auto"/>
        <w:jc w:val="both"/>
        <w:rPr>
          <w:rFonts w:ascii="Times New Roman" w:hAnsi="Times New Roman" w:cs="Times New Roman"/>
          <w:color w:val="000000" w:themeColor="text1"/>
        </w:rPr>
      </w:pPr>
      <w:r w:rsidRPr="00D824E4">
        <w:rPr>
          <w:rFonts w:ascii="Times New Roman" w:hAnsi="Times New Roman" w:cs="Times New Roman"/>
          <w:color w:val="000000" w:themeColor="text1"/>
          <w:vertAlign w:val="superscript"/>
        </w:rPr>
        <w:t>†</w:t>
      </w:r>
      <w:r w:rsidRPr="00D824E4">
        <w:rPr>
          <w:rFonts w:ascii="Times New Roman" w:hAnsi="Times New Roman" w:cs="Times New Roman"/>
          <w:color w:val="000000" w:themeColor="text1"/>
        </w:rPr>
        <w:t>Present address: Space Environment and Energy Laboratories, NTT, Inc., 3-9-11, Midori-Cho, Musashino-Shi, Tokyo, Japan</w:t>
      </w:r>
    </w:p>
    <w:p w14:paraId="09202228" w14:textId="77777777" w:rsidR="00351CBD" w:rsidRPr="00D824E4" w:rsidRDefault="00351CBD" w:rsidP="00351CBD">
      <w:pPr>
        <w:spacing w:after="0" w:line="360" w:lineRule="auto"/>
        <w:jc w:val="both"/>
        <w:rPr>
          <w:rFonts w:ascii="Times New Roman" w:hAnsi="Times New Roman" w:cs="Times New Roman"/>
          <w:b/>
          <w:bCs/>
          <w:color w:val="000000" w:themeColor="text1"/>
        </w:rPr>
      </w:pPr>
    </w:p>
    <w:p w14:paraId="30CB0138" w14:textId="77777777" w:rsidR="00351CBD" w:rsidRPr="00D824E4" w:rsidRDefault="00351CBD" w:rsidP="00351CBD">
      <w:pPr>
        <w:spacing w:after="0" w:line="360" w:lineRule="auto"/>
        <w:jc w:val="both"/>
        <w:rPr>
          <w:rFonts w:ascii="Times New Roman" w:hAnsi="Times New Roman" w:cs="Times New Roman"/>
          <w:b/>
          <w:bCs/>
          <w:color w:val="000000" w:themeColor="text1"/>
        </w:rPr>
      </w:pPr>
      <w:r w:rsidRPr="00D824E4">
        <w:rPr>
          <w:rFonts w:ascii="Times New Roman" w:hAnsi="Times New Roman" w:cs="Times New Roman"/>
          <w:b/>
          <w:bCs/>
          <w:color w:val="000000" w:themeColor="text1"/>
        </w:rPr>
        <w:t>Supplementary Figures</w:t>
      </w:r>
    </w:p>
    <w:p w14:paraId="76FA8D05" w14:textId="77777777" w:rsidR="00351CBD" w:rsidRPr="00D824E4" w:rsidRDefault="00351CBD" w:rsidP="00351CBD">
      <w:pPr>
        <w:spacing w:after="0" w:line="360" w:lineRule="auto"/>
        <w:jc w:val="both"/>
        <w:rPr>
          <w:rFonts w:ascii="Times New Roman" w:hAnsi="Times New Roman" w:cs="Times New Roman"/>
          <w:color w:val="000000" w:themeColor="text1"/>
        </w:rPr>
      </w:pPr>
      <w:r w:rsidRPr="00D824E4">
        <w:rPr>
          <w:rFonts w:ascii="Times New Roman" w:hAnsi="Times New Roman" w:cs="Times New Roman"/>
          <w:color w:val="000000" w:themeColor="text1"/>
        </w:rPr>
        <w:t>Supplementary Figure S1 Sequences of the five FPs.</w:t>
      </w:r>
    </w:p>
    <w:p w14:paraId="0500E431" w14:textId="77777777" w:rsidR="00351CBD" w:rsidRPr="00D824E4" w:rsidRDefault="00351CBD" w:rsidP="00351CBD">
      <w:pPr>
        <w:spacing w:after="0" w:line="360" w:lineRule="auto"/>
        <w:jc w:val="both"/>
        <w:rPr>
          <w:rFonts w:ascii="Times New Roman" w:hAnsi="Times New Roman" w:cs="Times New Roman"/>
          <w:i/>
          <w:iCs/>
          <w:color w:val="000000" w:themeColor="text1"/>
        </w:rPr>
      </w:pPr>
      <w:r w:rsidRPr="00D824E4">
        <w:rPr>
          <w:rFonts w:ascii="Times New Roman" w:hAnsi="Times New Roman" w:cs="Times New Roman"/>
          <w:color w:val="000000" w:themeColor="text1"/>
        </w:rPr>
        <w:t xml:space="preserve">Supplementary Figure S2 Conformation of transgene in </w:t>
      </w:r>
      <w:r w:rsidRPr="00D824E4">
        <w:rPr>
          <w:rFonts w:ascii="Times New Roman" w:hAnsi="Times New Roman" w:cs="Times New Roman"/>
          <w:i/>
          <w:iCs/>
          <w:color w:val="000000" w:themeColor="text1"/>
        </w:rPr>
        <w:t xml:space="preserve">ProHTR10/ProLAT52:FP </w:t>
      </w:r>
      <w:r w:rsidRPr="00D824E4">
        <w:rPr>
          <w:rFonts w:ascii="Times New Roman" w:hAnsi="Times New Roman" w:cs="Times New Roman"/>
          <w:color w:val="000000" w:themeColor="text1"/>
        </w:rPr>
        <w:t>transformants.</w:t>
      </w:r>
    </w:p>
    <w:p w14:paraId="0E3EEA85" w14:textId="77777777" w:rsidR="00351CBD" w:rsidRPr="00D824E4" w:rsidRDefault="00351CBD" w:rsidP="00351CBD">
      <w:pPr>
        <w:spacing w:after="0" w:line="360" w:lineRule="auto"/>
        <w:jc w:val="both"/>
        <w:rPr>
          <w:rFonts w:ascii="Times New Roman" w:hAnsi="Times New Roman" w:cs="Times New Roman"/>
          <w:color w:val="000000" w:themeColor="text1"/>
        </w:rPr>
      </w:pPr>
      <w:r w:rsidRPr="00D824E4">
        <w:rPr>
          <w:rFonts w:ascii="Times New Roman" w:hAnsi="Times New Roman" w:cs="Times New Roman"/>
          <w:color w:val="000000" w:themeColor="text1"/>
        </w:rPr>
        <w:t>Supplementary Figure S3 Pollens in T</w:t>
      </w:r>
      <w:r w:rsidRPr="00D824E4">
        <w:rPr>
          <w:rFonts w:ascii="Times New Roman" w:hAnsi="Times New Roman" w:cs="Times New Roman"/>
          <w:color w:val="000000" w:themeColor="text1"/>
          <w:vertAlign w:val="subscript"/>
        </w:rPr>
        <w:t>1</w:t>
      </w:r>
      <w:r w:rsidRPr="00D824E4">
        <w:rPr>
          <w:rFonts w:ascii="Times New Roman" w:hAnsi="Times New Roman" w:cs="Times New Roman"/>
          <w:color w:val="000000" w:themeColor="text1"/>
        </w:rPr>
        <w:t>/T</w:t>
      </w:r>
      <w:r w:rsidRPr="00D824E4">
        <w:rPr>
          <w:rFonts w:ascii="Times New Roman" w:hAnsi="Times New Roman" w:cs="Times New Roman"/>
          <w:color w:val="000000" w:themeColor="text1"/>
          <w:vertAlign w:val="subscript"/>
        </w:rPr>
        <w:t>2</w:t>
      </w:r>
      <w:r w:rsidRPr="00D824E4">
        <w:rPr>
          <w:rFonts w:ascii="Times New Roman" w:hAnsi="Times New Roman" w:cs="Times New Roman"/>
          <w:color w:val="000000" w:themeColor="text1"/>
        </w:rPr>
        <w:t>/T</w:t>
      </w:r>
      <w:r w:rsidRPr="00D824E4">
        <w:rPr>
          <w:rFonts w:ascii="Times New Roman" w:hAnsi="Times New Roman" w:cs="Times New Roman"/>
          <w:color w:val="000000" w:themeColor="text1"/>
          <w:vertAlign w:val="subscript"/>
        </w:rPr>
        <w:t>3</w:t>
      </w:r>
      <w:r w:rsidRPr="00D824E4">
        <w:rPr>
          <w:rFonts w:ascii="Times New Roman" w:hAnsi="Times New Roman" w:cs="Times New Roman"/>
          <w:color w:val="000000" w:themeColor="text1"/>
        </w:rPr>
        <w:t xml:space="preserve"> generations of </w:t>
      </w:r>
      <w:r w:rsidRPr="00D824E4">
        <w:rPr>
          <w:rFonts w:ascii="Times New Roman" w:hAnsi="Times New Roman" w:cs="Times New Roman"/>
          <w:i/>
          <w:iCs/>
          <w:color w:val="000000" w:themeColor="text1"/>
        </w:rPr>
        <w:t>ProHTR10:FP</w:t>
      </w:r>
      <w:r w:rsidRPr="00D824E4">
        <w:rPr>
          <w:rFonts w:ascii="Times New Roman" w:hAnsi="Times New Roman" w:cs="Times New Roman"/>
          <w:color w:val="000000" w:themeColor="text1"/>
        </w:rPr>
        <w:t xml:space="preserve"> transformants.</w:t>
      </w:r>
    </w:p>
    <w:p w14:paraId="1EB7A511" w14:textId="77777777" w:rsidR="00351CBD" w:rsidRPr="00F60B1F" w:rsidRDefault="00351CBD" w:rsidP="00351CBD">
      <w:pPr>
        <w:spacing w:after="0" w:line="360" w:lineRule="auto"/>
        <w:jc w:val="both"/>
        <w:rPr>
          <w:rFonts w:ascii="Times New Roman" w:hAnsi="Times New Roman" w:cs="Times New Roman"/>
          <w:b/>
          <w:bCs/>
          <w:color w:val="000000" w:themeColor="text1"/>
          <w:sz w:val="20"/>
          <w:szCs w:val="20"/>
        </w:rPr>
      </w:pPr>
    </w:p>
    <w:p w14:paraId="06445239" w14:textId="77777777" w:rsidR="00351CBD" w:rsidRPr="00F60B1F" w:rsidRDefault="00351CBD" w:rsidP="00351CBD">
      <w:pPr>
        <w:spacing w:after="0" w:line="360" w:lineRule="auto"/>
        <w:jc w:val="both"/>
        <w:rPr>
          <w:rFonts w:ascii="Times New Roman" w:hAnsi="Times New Roman" w:cs="Times New Roman"/>
          <w:b/>
          <w:bCs/>
          <w:color w:val="000000" w:themeColor="text1"/>
          <w:sz w:val="20"/>
          <w:szCs w:val="20"/>
        </w:rPr>
      </w:pPr>
      <w:r w:rsidRPr="00F60B1F">
        <w:rPr>
          <w:rFonts w:ascii="Times New Roman" w:hAnsi="Times New Roman" w:cs="Times New Roman"/>
          <w:b/>
          <w:bCs/>
          <w:color w:val="000000" w:themeColor="text1"/>
          <w:sz w:val="20"/>
          <w:szCs w:val="20"/>
        </w:rPr>
        <w:br w:type="page"/>
      </w:r>
    </w:p>
    <w:p w14:paraId="06130E68" w14:textId="77777777" w:rsidR="00351CBD" w:rsidRPr="00D824E4" w:rsidRDefault="00351CBD" w:rsidP="00351CBD">
      <w:pPr>
        <w:spacing w:after="0" w:line="360" w:lineRule="auto"/>
        <w:jc w:val="both"/>
        <w:rPr>
          <w:rFonts w:ascii="Times New Roman" w:hAnsi="Times New Roman" w:cs="Times New Roman"/>
          <w:b/>
          <w:bCs/>
          <w:color w:val="000000" w:themeColor="text1"/>
        </w:rPr>
      </w:pPr>
      <w:r w:rsidRPr="00F60B1F">
        <w:rPr>
          <w:rFonts w:ascii="Times New Roman" w:hAnsi="Times New Roman" w:cs="Times New Roman"/>
          <w:b/>
          <w:bCs/>
          <w:noProof/>
          <w:color w:val="000000" w:themeColor="text1"/>
          <w:sz w:val="20"/>
          <w:szCs w:val="20"/>
          <w14:ligatures w14:val="standardContextual"/>
        </w:rPr>
        <w:lastRenderedPageBreak/>
        <w:drawing>
          <wp:anchor distT="0" distB="0" distL="114300" distR="114300" simplePos="0" relativeHeight="251659264" behindDoc="0" locked="0" layoutInCell="1" allowOverlap="1" wp14:anchorId="4056E8F2" wp14:editId="6133574A">
            <wp:simplePos x="0" y="0"/>
            <wp:positionH relativeFrom="margin">
              <wp:posOffset>-248856</wp:posOffset>
            </wp:positionH>
            <wp:positionV relativeFrom="paragraph">
              <wp:posOffset>243068</wp:posOffset>
            </wp:positionV>
            <wp:extent cx="5878195" cy="6076315"/>
            <wp:effectExtent l="88900" t="88900" r="90805" b="83185"/>
            <wp:wrapTopAndBottom/>
            <wp:docPr id="27737592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75924" name="図 277375924"/>
                    <pic:cNvPicPr/>
                  </pic:nvPicPr>
                  <pic:blipFill rotWithShape="1">
                    <a:blip r:embed="rId4" cstate="print">
                      <a:extLst>
                        <a:ext uri="{28A0092B-C50C-407E-A947-70E740481C1C}">
                          <a14:useLocalDpi xmlns:a14="http://schemas.microsoft.com/office/drawing/2010/main" val="0"/>
                        </a:ext>
                      </a:extLst>
                    </a:blip>
                    <a:srcRect l="11040" t="21617" r="11065" b="21352"/>
                    <a:stretch/>
                  </pic:blipFill>
                  <pic:spPr bwMode="auto">
                    <a:xfrm>
                      <a:off x="0" y="0"/>
                      <a:ext cx="5878195" cy="6076315"/>
                    </a:xfrm>
                    <a:prstGeom prst="rect">
                      <a:avLst/>
                    </a:prstGeom>
                    <a:solidFill>
                      <a:srgbClr val="FFFFFF">
                        <a:shade val="85000"/>
                      </a:srgbClr>
                    </a:solidFill>
                    <a:ln w="88900" cap="sq">
                      <a:solidFill>
                        <a:srgbClr val="FFFFFF"/>
                      </a:solidFill>
                      <a:miter lim="800000"/>
                    </a:ln>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824E4">
        <w:rPr>
          <w:rFonts w:ascii="Times New Roman" w:hAnsi="Times New Roman" w:cs="Times New Roman"/>
          <w:b/>
          <w:bCs/>
          <w:color w:val="000000" w:themeColor="text1"/>
        </w:rPr>
        <w:t>Supplementary Figure S1 Sequences of the five FPs.</w:t>
      </w:r>
    </w:p>
    <w:p w14:paraId="241C5A04" w14:textId="77777777" w:rsidR="00351CBD" w:rsidRPr="00D824E4" w:rsidRDefault="00351CBD" w:rsidP="00351CBD">
      <w:pPr>
        <w:spacing w:after="0" w:line="360" w:lineRule="auto"/>
        <w:jc w:val="both"/>
        <w:rPr>
          <w:rFonts w:ascii="Times New Roman" w:eastAsia="Times New Roman" w:hAnsi="Times New Roman" w:cs="Times New Roman"/>
          <w:color w:val="000000" w:themeColor="text1"/>
        </w:rPr>
      </w:pPr>
      <w:r w:rsidRPr="00D824E4">
        <w:rPr>
          <w:rFonts w:ascii="Times New Roman" w:eastAsia="Times New Roman" w:hAnsi="Times New Roman" w:cs="Times New Roman"/>
          <w:b/>
          <w:bCs/>
          <w:color w:val="000000" w:themeColor="text1"/>
        </w:rPr>
        <w:t>(a)</w:t>
      </w:r>
      <w:r w:rsidRPr="00D824E4">
        <w:rPr>
          <w:rFonts w:ascii="Times New Roman" w:eastAsia="Times New Roman" w:hAnsi="Times New Roman" w:cs="Times New Roman"/>
          <w:color w:val="000000" w:themeColor="text1"/>
        </w:rPr>
        <w:t xml:space="preserve"> FP sequences. These were arranged using by CLC Sequence Viewer. </w:t>
      </w:r>
      <w:r w:rsidRPr="00D824E4">
        <w:rPr>
          <w:rFonts w:ascii="Times New Roman" w:eastAsia="Times New Roman" w:hAnsi="Times New Roman" w:cs="Times New Roman"/>
          <w:b/>
          <w:bCs/>
          <w:color w:val="000000" w:themeColor="text1"/>
        </w:rPr>
        <w:t>(b)</w:t>
      </w:r>
      <w:r w:rsidRPr="00D824E4">
        <w:rPr>
          <w:rFonts w:ascii="Times New Roman" w:eastAsia="Times New Roman" w:hAnsi="Times New Roman" w:cs="Times New Roman"/>
          <w:color w:val="000000" w:themeColor="text1"/>
        </w:rPr>
        <w:t xml:space="preserve"> Relationship between FPs. The phylogenetic tree</w:t>
      </w:r>
      <w:r w:rsidRPr="00D824E4">
        <w:rPr>
          <w:rFonts w:ascii="Times New Roman" w:eastAsia="MS Mincho" w:hAnsi="Times New Roman" w:cs="Times New Roman"/>
          <w:color w:val="000000" w:themeColor="text1"/>
        </w:rPr>
        <w:t xml:space="preserve"> </w:t>
      </w:r>
      <w:r w:rsidRPr="00D824E4">
        <w:rPr>
          <w:rFonts w:ascii="Times New Roman" w:eastAsia="Times New Roman" w:hAnsi="Times New Roman" w:cs="Times New Roman"/>
          <w:color w:val="000000" w:themeColor="text1"/>
        </w:rPr>
        <w:t xml:space="preserve">was inferred using the Neighbor-Joining method </w:t>
      </w:r>
      <w:r w:rsidRPr="00D824E4">
        <w:rPr>
          <w:rFonts w:ascii="Times New Roman" w:eastAsia="Times New Roman" w:hAnsi="Times New Roman" w:cs="Times New Roman"/>
          <w:color w:val="000000" w:themeColor="text1"/>
        </w:rPr>
        <w:fldChar w:fldCharType="begin"/>
      </w:r>
      <w:r w:rsidRPr="00D824E4">
        <w:rPr>
          <w:rFonts w:ascii="Times New Roman" w:eastAsia="Times New Roman" w:hAnsi="Times New Roman" w:cs="Times New Roman"/>
          <w:color w:val="000000" w:themeColor="text1"/>
        </w:rPr>
        <w:instrText xml:space="preserve"> ADDIN ZOTERO_ITEM CSL_CITATION {"citationID":"66wfM8ZZ","properties":{"unsorted":false,"formattedCitation":"(Saitou and Nei 1987)","plainCitation":"(Saitou and Nei 1987)","noteIndex":0},"citationItems":[{"id":50,"uris":["http://zotero.org/users/local/mRFjkXlv/items/NPTEELWU"],"itemData":{"id":50,"type":"article-journal","container-title":"Molecular biology and evolution","issue":"4","page":"406–425","source":"Google Scholar","title":"The neighbor-joining method: a new method for reconstructing phylogenetic trees.","title-short":"The neighbor-joining method","volume":"4","author":[{"family":"Saitou","given":"Naruya"},{"family":"Nei","given":"Masatoshi"}],"issued":{"date-parts":[["1987"]]}}}],"schema":"https://github.com/citation-style-language/schema/raw/master/csl-citation.json"} </w:instrText>
      </w:r>
      <w:r w:rsidRPr="00D824E4">
        <w:rPr>
          <w:rFonts w:ascii="Times New Roman" w:eastAsia="Times New Roman" w:hAnsi="Times New Roman" w:cs="Times New Roman"/>
          <w:color w:val="000000" w:themeColor="text1"/>
        </w:rPr>
        <w:fldChar w:fldCharType="separate"/>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noProof/>
          <w:color w:val="0070C0"/>
        </w:rPr>
        <w:t>Saitou and Nei 1987</w:t>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color w:val="000000" w:themeColor="text1"/>
        </w:rPr>
        <w:fldChar w:fldCharType="end"/>
      </w:r>
      <w:r w:rsidRPr="00D824E4">
        <w:rPr>
          <w:rFonts w:ascii="Times New Roman" w:eastAsia="Times New Roman" w:hAnsi="Times New Roman" w:cs="Times New Roman"/>
          <w:color w:val="000000" w:themeColor="text1"/>
        </w:rPr>
        <w:t>. The bootstrap consensus tree inferred from 100 replicates</w:t>
      </w:r>
      <w:r w:rsidRPr="00D824E4">
        <w:rPr>
          <w:rFonts w:ascii="Times New Roman" w:hAnsi="Times New Roman" w:cs="Times New Roman"/>
        </w:rPr>
        <w:t xml:space="preserve"> </w:t>
      </w:r>
      <w:r w:rsidRPr="00D824E4">
        <w:rPr>
          <w:rFonts w:ascii="Times New Roman" w:hAnsi="Times New Roman" w:cs="Times New Roman"/>
        </w:rPr>
        <w:fldChar w:fldCharType="begin"/>
      </w:r>
      <w:r w:rsidRPr="00D824E4">
        <w:rPr>
          <w:rFonts w:ascii="Times New Roman" w:hAnsi="Times New Roman" w:cs="Times New Roman"/>
        </w:rPr>
        <w:instrText xml:space="preserve"> ADDIN ZOTERO_ITEM CSL_CITATION {"citationID":"u2qGRa9x","properties":{"unsorted":false,"formattedCitation":"(Felsenstein 1985)","plainCitation":"(Felsenstein 1985)","noteIndex":0},"citationItems":[{"id":51,"uris":["http://zotero.org/users/local/mRFjkXlv/items/LII6NDZG"],"itemData":{"id":51,"type":"article-journal","container-title":"evolution","issue":"4","page":"783–791","publisher":"Blackwell Publishing Inc Malden, USA","source":"Google Scholar","title":"Confidence limits on phylogenies: an approach using the bootstrap","title-short":"Confidence limits on phylogenies","volume":"39","author":[{"family":"Felsenstein","given":"Joseph"}],"issued":{"date-parts":[["1985"]]}}}],"schema":"https://github.com/citation-style-language/schema/raw/master/csl-citation.json"} </w:instrText>
      </w:r>
      <w:r w:rsidRPr="00D824E4">
        <w:rPr>
          <w:rFonts w:ascii="Times New Roman" w:hAnsi="Times New Roman" w:cs="Times New Roman"/>
        </w:rPr>
        <w:fldChar w:fldCharType="separate"/>
      </w:r>
      <w:r w:rsidRPr="00D824E4">
        <w:rPr>
          <w:rFonts w:ascii="Times New Roman" w:hAnsi="Times New Roman" w:cs="Times New Roman"/>
          <w:noProof/>
        </w:rPr>
        <w:t>(</w:t>
      </w:r>
      <w:r w:rsidRPr="00D824E4">
        <w:rPr>
          <w:rFonts w:ascii="Times New Roman" w:hAnsi="Times New Roman" w:cs="Times New Roman"/>
          <w:noProof/>
          <w:color w:val="0070C0"/>
        </w:rPr>
        <w:t>Felsenstein 1985</w:t>
      </w:r>
      <w:r w:rsidRPr="00D824E4">
        <w:rPr>
          <w:rFonts w:ascii="Times New Roman" w:hAnsi="Times New Roman" w:cs="Times New Roman"/>
          <w:noProof/>
        </w:rPr>
        <w:t>)</w:t>
      </w:r>
      <w:r w:rsidRPr="00D824E4">
        <w:rPr>
          <w:rFonts w:ascii="Times New Roman" w:hAnsi="Times New Roman" w:cs="Times New Roman"/>
        </w:rPr>
        <w:fldChar w:fldCharType="end"/>
      </w:r>
      <w:r w:rsidRPr="00D824E4">
        <w:rPr>
          <w:rFonts w:ascii="Times New Roman" w:eastAsia="Times New Roman" w:hAnsi="Times New Roman" w:cs="Times New Roman"/>
          <w:color w:val="000000" w:themeColor="text1"/>
        </w:rPr>
        <w:t xml:space="preserve"> is taken to represent the evolutionary history of the taxa analyzed </w:t>
      </w:r>
      <w:r w:rsidRPr="00D824E4">
        <w:rPr>
          <w:rFonts w:ascii="Times New Roman" w:eastAsia="Times New Roman" w:hAnsi="Times New Roman" w:cs="Times New Roman"/>
          <w:color w:val="000000" w:themeColor="text1"/>
        </w:rPr>
        <w:fldChar w:fldCharType="begin"/>
      </w:r>
      <w:r w:rsidRPr="00D824E4">
        <w:rPr>
          <w:rFonts w:ascii="Times New Roman" w:eastAsia="Times New Roman" w:hAnsi="Times New Roman" w:cs="Times New Roman"/>
          <w:color w:val="000000" w:themeColor="text1"/>
        </w:rPr>
        <w:instrText xml:space="preserve"> ADDIN ZOTERO_ITEM CSL_CITATION {"citationID":"bA1imZDq","properties":{"unsorted":false,"formattedCitation":"(Felsenstein 1985)","plainCitation":"(Felsenstein 1985)","noteIndex":0},"citationItems":[{"id":51,"uris":["http://zotero.org/users/local/mRFjkXlv/items/LII6NDZG"],"itemData":{"id":51,"type":"article-journal","container-title":"evolution","issue":"4","page":"783–791","publisher":"Blackwell Publishing Inc Malden, USA","source":"Google Scholar","title":"Confidence limits on phylogenies: an approach using the bootstrap","title-short":"Confidence limits on phylogenies","volume":"39","author":[{"family":"Felsenstein","given":"Joseph"}],"issued":{"date-parts":[["1985"]]}}}],"schema":"https://github.com/citation-style-language/schema/raw/master/csl-citation.json"} </w:instrText>
      </w:r>
      <w:r w:rsidRPr="00D824E4">
        <w:rPr>
          <w:rFonts w:ascii="Times New Roman" w:eastAsia="Times New Roman" w:hAnsi="Times New Roman" w:cs="Times New Roman"/>
          <w:color w:val="000000" w:themeColor="text1"/>
        </w:rPr>
        <w:fldChar w:fldCharType="separate"/>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noProof/>
          <w:color w:val="0070C0"/>
        </w:rPr>
        <w:t>Felsenstein 1985</w:t>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color w:val="000000" w:themeColor="text1"/>
        </w:rPr>
        <w:fldChar w:fldCharType="end"/>
      </w:r>
      <w:r w:rsidRPr="00D824E4">
        <w:rPr>
          <w:rFonts w:ascii="Times New Roman" w:eastAsia="Times New Roman" w:hAnsi="Times New Roman" w:cs="Times New Roman"/>
          <w:color w:val="000000" w:themeColor="text1"/>
        </w:rPr>
        <w:t xml:space="preserve">. Branches corresponding to partitions reproduced in less than 50% bootstrap replicates are collapsed. The percentage of replicate trees in which the associated taxa clustered together in the bootstrap test (100 replicates) </w:t>
      </w:r>
      <w:r w:rsidRPr="00D824E4">
        <w:rPr>
          <w:rFonts w:ascii="Times New Roman" w:eastAsia="Times New Roman" w:hAnsi="Times New Roman" w:cs="Times New Roman"/>
          <w:color w:val="000000" w:themeColor="text1"/>
        </w:rPr>
        <w:lastRenderedPageBreak/>
        <w:t xml:space="preserve">are shown next to the branches </w:t>
      </w:r>
      <w:r w:rsidRPr="00D824E4">
        <w:rPr>
          <w:rFonts w:ascii="Times New Roman" w:eastAsia="Times New Roman" w:hAnsi="Times New Roman" w:cs="Times New Roman"/>
          <w:color w:val="000000" w:themeColor="text1"/>
        </w:rPr>
        <w:fldChar w:fldCharType="begin"/>
      </w:r>
      <w:r w:rsidRPr="00D824E4">
        <w:rPr>
          <w:rFonts w:ascii="Times New Roman" w:eastAsia="Times New Roman" w:hAnsi="Times New Roman" w:cs="Times New Roman"/>
          <w:color w:val="000000" w:themeColor="text1"/>
        </w:rPr>
        <w:instrText xml:space="preserve"> ADDIN ZOTERO_ITEM CSL_CITATION {"citationID":"wPr2rhv9","properties":{"unsorted":false,"formattedCitation":"(Felsenstein 1985)","plainCitation":"(Felsenstein 1985)","noteIndex":0},"citationItems":[{"id":51,"uris":["http://zotero.org/users/local/mRFjkXlv/items/LII6NDZG"],"itemData":{"id":51,"type":"article-journal","container-title":"evolution","issue":"4","page":"783–791","publisher":"Blackwell Publishing Inc Malden, USA","source":"Google Scholar","title":"Confidence limits on phylogenies: an approach using the bootstrap","title-short":"Confidence limits on phylogenies","volume":"39","author":[{"family":"Felsenstein","given":"Joseph"}],"issued":{"date-parts":[["1985"]]}}}],"schema":"https://github.com/citation-style-language/schema/raw/master/csl-citation.json"} </w:instrText>
      </w:r>
      <w:r w:rsidRPr="00D824E4">
        <w:rPr>
          <w:rFonts w:ascii="Times New Roman" w:eastAsia="Times New Roman" w:hAnsi="Times New Roman" w:cs="Times New Roman"/>
          <w:color w:val="000000" w:themeColor="text1"/>
        </w:rPr>
        <w:fldChar w:fldCharType="separate"/>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noProof/>
          <w:color w:val="0070C0"/>
        </w:rPr>
        <w:t>Felsenstein 1985</w:t>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color w:val="000000" w:themeColor="text1"/>
        </w:rPr>
        <w:fldChar w:fldCharType="end"/>
      </w:r>
      <w:r w:rsidRPr="00D824E4">
        <w:rPr>
          <w:rFonts w:ascii="Times New Roman" w:eastAsia="Times New Roman" w:hAnsi="Times New Roman" w:cs="Times New Roman"/>
          <w:color w:val="000000" w:themeColor="text1"/>
        </w:rPr>
        <w:t xml:space="preserve">. The evolutionary distances were computed using the Maximum Composite Likelihood method </w:t>
      </w:r>
      <w:r w:rsidRPr="00D824E4">
        <w:rPr>
          <w:rFonts w:ascii="Times New Roman" w:eastAsia="Times New Roman" w:hAnsi="Times New Roman" w:cs="Times New Roman"/>
          <w:color w:val="000000" w:themeColor="text1"/>
        </w:rPr>
        <w:fldChar w:fldCharType="begin"/>
      </w:r>
      <w:r w:rsidRPr="00D824E4">
        <w:rPr>
          <w:rFonts w:ascii="Times New Roman" w:eastAsia="Times New Roman" w:hAnsi="Times New Roman" w:cs="Times New Roman"/>
          <w:color w:val="000000" w:themeColor="text1"/>
        </w:rPr>
        <w:instrText xml:space="preserve"> ADDIN ZOTERO_ITEM CSL_CITATION {"citationID":"MMp0wEBO","properties":{"unsorted":false,"formattedCitation":"(Tamura et al. 2004)","plainCitation":"(Tamura et al. 2004)","noteIndex":0},"citationItems":[{"id":52,"uris":["http://zotero.org/users/local/mRFjkXlv/items/WZMWVL75"],"itemData":{"id":52,"type":"article-journal","abstract":"Current efforts to reconstruct the tree of life and histories of multigene families demand the inference of phylogenies consisting of thousands of gene sequences. However, for such large data sets even a moderate exploration of the tree space needed to identify the optimal tree is virtually impossible. For these cases the neighbor-joining (NJ) method is frequently used because of its demonstrated accuracy for smaller data sets and its computational speed. As data sets grow, however, the fraction of the tree space examined by the NJ algorithm becomes minuscule. Here, we report the results of our computer simulation for examining the accuracy of NJ trees for inferring very large phylogenies. First we present a likelihood method for the simultaneous estimation of all pairwise distances by using biologically realistic models of nucleotide substitution. Use of this method corrects up to 60% of NJ tree errors. Our simulation results show that the accuracy of NJ trees decline only by ≈5% when the number of sequences used increases from 32 to 4,096 (128 times) even in the presence of extensive variation in the evolutionary rate among lineages or significant biases in the nucleotide composition and transition/transversion ratio. Our results encourage the use of complex models of nucleotide substitution for estimating evolutionary distances and hint at bright prospects for the application of the NJ and related methods in inferring large phylogenies.","container-title":"Proceedings of the National Academy of Sciences","DOI":"10.1073/pnas.0404206101","ISSN":"0027-8424, 1091-6490","issue":"30","journalAbbreviation":"Proc. Natl. Acad. Sci. U.S.A.","language":"en","page":"11030-11035","source":"DOI.org (Crossref)","title":"Prospects for inferring very large phylogenies by using the neighbor-joining method","volume":"101","author":[{"family":"Tamura","given":"Koichiro"},{"family":"Nei","given":"Masatoshi"},{"family":"Kumar","given":"Sudhir"}],"issued":{"date-parts":[["2004",7,27]]}}}],"schema":"https://github.com/citation-style-language/schema/raw/master/csl-citation.json"} </w:instrText>
      </w:r>
      <w:r w:rsidRPr="00D824E4">
        <w:rPr>
          <w:rFonts w:ascii="Times New Roman" w:eastAsia="Times New Roman" w:hAnsi="Times New Roman" w:cs="Times New Roman"/>
          <w:color w:val="000000" w:themeColor="text1"/>
        </w:rPr>
        <w:fldChar w:fldCharType="separate"/>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noProof/>
          <w:color w:val="0070C0"/>
        </w:rPr>
        <w:t>Tamura et al. 2004</w:t>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color w:val="000000" w:themeColor="text1"/>
        </w:rPr>
        <w:fldChar w:fldCharType="end"/>
      </w:r>
      <w:r w:rsidRPr="00D824E4">
        <w:rPr>
          <w:rFonts w:ascii="Times New Roman" w:eastAsia="Times New Roman" w:hAnsi="Times New Roman" w:cs="Times New Roman"/>
          <w:color w:val="000000" w:themeColor="text1"/>
        </w:rPr>
        <w:t xml:space="preserve"> and are in the units of the number of base substitutions per site. This analysis involved 7 nucleotide sequences. Codon positions included were 1st+2nd+3rd+Noncoding. All positions containing gaps and missing data were eliminated (complete deletion option). There were a total of 693 positions in the final dataset. Evolutionary analyses were conducted in MEGA X </w:t>
      </w:r>
      <w:r w:rsidRPr="00D824E4">
        <w:rPr>
          <w:rFonts w:ascii="Times New Roman" w:eastAsia="Times New Roman" w:hAnsi="Times New Roman" w:cs="Times New Roman"/>
          <w:color w:val="000000" w:themeColor="text1"/>
        </w:rPr>
        <w:fldChar w:fldCharType="begin"/>
      </w:r>
      <w:r w:rsidRPr="00D824E4">
        <w:rPr>
          <w:rFonts w:ascii="Times New Roman" w:eastAsia="Times New Roman" w:hAnsi="Times New Roman" w:cs="Times New Roman"/>
          <w:color w:val="000000" w:themeColor="text1"/>
        </w:rPr>
        <w:instrText xml:space="preserve"> ADDIN ZOTERO_ITEM CSL_CITATION {"citationID":"IFtHH8je","properties":{"unsorted":false,"formattedCitation":"(Kumar et al. 2018; Stecher et al. 2020)","plainCitation":"(Kumar et al. 2018; Stecher et al. 2020)","noteIndex":0},"citationItems":[{"id":53,"uris":["http://zotero.org/users/local/mRFjkXlv/items/5WAP9HQS"],"itemData":{"id":53,"type":"article-journal","container-title":"Molecular biology and evolution","issue":"6","page":"1547–1549","publisher":"Oxford University Press","source":"Google Scholar","title":"MEGA X: molecular evolutionary genetics analysis across computing platforms","title-short":"MEGA X","volume":"35","author":[{"family":"Kumar","given":"Sudhir"},{"family":"Stecher","given":"Glen"},{"family":"Li","given":"Michael"},{"family":"Knyaz","given":"Christina"},{"family":"Tamura","given":"Koichiro"}],"issued":{"date-parts":[["2018"]]}}},{"id":54,"uris":["http://zotero.org/users/local/mRFjkXlv/items/UZ8UG3IV"],"itemData":{"id":54,"type":"article-journal","container-title":"Molecular biology and evolution","issue":"4","page":"1237–1239","publisher":"Oxford University Press","source":"Google Scholar","title":"Molecular evolutionary genetics analysis (MEGA) for macOS","volume":"37","author":[{"family":"Stecher","given":"Glen"},{"family":"Tamura","given":"Koichiro"},{"family":"Kumar","given":"Sudhir"}],"issued":{"date-parts":[["2020"]]}}}],"schema":"https://github.com/citation-style-language/schema/raw/master/csl-citation.json"} </w:instrText>
      </w:r>
      <w:r w:rsidRPr="00D824E4">
        <w:rPr>
          <w:rFonts w:ascii="Times New Roman" w:eastAsia="Times New Roman" w:hAnsi="Times New Roman" w:cs="Times New Roman"/>
          <w:color w:val="000000" w:themeColor="text1"/>
        </w:rPr>
        <w:fldChar w:fldCharType="separate"/>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noProof/>
          <w:color w:val="0070C0"/>
        </w:rPr>
        <w:t>Kumar et al. 2018; Stecher et al. 2020</w:t>
      </w:r>
      <w:r w:rsidRPr="00D824E4">
        <w:rPr>
          <w:rFonts w:ascii="Times New Roman" w:eastAsia="Times New Roman" w:hAnsi="Times New Roman" w:cs="Times New Roman"/>
          <w:noProof/>
          <w:color w:val="000000" w:themeColor="text1"/>
        </w:rPr>
        <w:t>)</w:t>
      </w:r>
      <w:r w:rsidRPr="00D824E4">
        <w:rPr>
          <w:rFonts w:ascii="Times New Roman" w:eastAsia="Times New Roman" w:hAnsi="Times New Roman" w:cs="Times New Roman"/>
          <w:color w:val="000000" w:themeColor="text1"/>
        </w:rPr>
        <w:fldChar w:fldCharType="end"/>
      </w:r>
      <w:r w:rsidRPr="00D824E4">
        <w:rPr>
          <w:rFonts w:ascii="Times New Roman" w:eastAsia="Times New Roman" w:hAnsi="Times New Roman" w:cs="Times New Roman"/>
          <w:color w:val="000000" w:themeColor="text1"/>
        </w:rPr>
        <w:t>.</w:t>
      </w:r>
    </w:p>
    <w:p w14:paraId="6EB601B3" w14:textId="77777777" w:rsidR="00351CBD" w:rsidRDefault="00351CBD" w:rsidP="00351CBD">
      <w:pPr>
        <w:spacing w:after="0" w:line="360" w:lineRule="auto"/>
        <w:jc w:val="both"/>
        <w:rPr>
          <w:rFonts w:ascii="Times New Roman" w:eastAsia="Times New Roman" w:hAnsi="Times New Roman" w:cs="Times New Roman"/>
          <w:color w:val="000000" w:themeColor="text1"/>
          <w:sz w:val="20"/>
          <w:szCs w:val="20"/>
        </w:rPr>
      </w:pPr>
      <w:r w:rsidRPr="00F60B1F">
        <w:rPr>
          <w:rFonts w:ascii="Times New Roman" w:eastAsia="Times New Roman" w:hAnsi="Times New Roman" w:cs="Times New Roman"/>
          <w:color w:val="000000" w:themeColor="text1"/>
          <w:sz w:val="20"/>
          <w:szCs w:val="20"/>
        </w:rPr>
        <w:br w:type="page"/>
      </w:r>
    </w:p>
    <w:p w14:paraId="576C1D59" w14:textId="77777777" w:rsidR="00351CBD" w:rsidRPr="00F60B1F" w:rsidRDefault="00351CBD" w:rsidP="00351CBD">
      <w:pPr>
        <w:spacing w:after="0" w:line="360" w:lineRule="auto"/>
        <w:jc w:val="both"/>
        <w:rPr>
          <w:rFonts w:ascii="Times New Roman" w:eastAsia="Times New Roman" w:hAnsi="Times New Roman" w:cs="Times New Roman"/>
          <w:color w:val="000000" w:themeColor="text1"/>
          <w:sz w:val="20"/>
          <w:szCs w:val="20"/>
        </w:rPr>
      </w:pPr>
      <w:r w:rsidRPr="00F60B1F">
        <w:rPr>
          <w:rFonts w:ascii="Times New Roman" w:eastAsia="Times New Roman" w:hAnsi="Times New Roman" w:cs="Times New Roman"/>
          <w:noProof/>
          <w:color w:val="000000" w:themeColor="text1"/>
          <w:sz w:val="20"/>
          <w:szCs w:val="20"/>
          <w14:ligatures w14:val="standardContextual"/>
        </w:rPr>
        <w:lastRenderedPageBreak/>
        <w:drawing>
          <wp:anchor distT="0" distB="0" distL="114300" distR="114300" simplePos="0" relativeHeight="251660288" behindDoc="0" locked="0" layoutInCell="1" allowOverlap="1" wp14:anchorId="09A8A7C0" wp14:editId="26381983">
            <wp:simplePos x="0" y="0"/>
            <wp:positionH relativeFrom="column">
              <wp:posOffset>665544</wp:posOffset>
            </wp:positionH>
            <wp:positionV relativeFrom="paragraph">
              <wp:posOffset>173620</wp:posOffset>
            </wp:positionV>
            <wp:extent cx="4443730" cy="3379808"/>
            <wp:effectExtent l="0" t="0" r="1270" b="0"/>
            <wp:wrapTopAndBottom/>
            <wp:docPr id="104522157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221579" name="図 1045221579"/>
                    <pic:cNvPicPr/>
                  </pic:nvPicPr>
                  <pic:blipFill rotWithShape="1">
                    <a:blip r:embed="rId5" cstate="print">
                      <a:extLst>
                        <a:ext uri="{28A0092B-C50C-407E-A947-70E740481C1C}">
                          <a14:useLocalDpi xmlns:a14="http://schemas.microsoft.com/office/drawing/2010/main" val="0"/>
                        </a:ext>
                      </a:extLst>
                    </a:blip>
                    <a:srcRect l="23971" t="25461" r="17030" b="42756"/>
                    <a:stretch/>
                  </pic:blipFill>
                  <pic:spPr bwMode="auto">
                    <a:xfrm>
                      <a:off x="0" y="0"/>
                      <a:ext cx="4443730" cy="33798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AEB9C5" w14:textId="77777777" w:rsidR="00351CBD" w:rsidRPr="00F60B1F" w:rsidRDefault="00351CBD" w:rsidP="00351CBD">
      <w:pPr>
        <w:spacing w:after="0" w:line="360" w:lineRule="auto"/>
        <w:jc w:val="both"/>
        <w:rPr>
          <w:rFonts w:ascii="Times New Roman" w:hAnsi="Times New Roman" w:cs="Times New Roman"/>
          <w:b/>
          <w:bCs/>
          <w:color w:val="000000" w:themeColor="text1"/>
          <w:sz w:val="20"/>
          <w:szCs w:val="20"/>
        </w:rPr>
      </w:pPr>
    </w:p>
    <w:p w14:paraId="6F199D9E" w14:textId="77777777" w:rsidR="00351CBD" w:rsidRPr="00D824E4" w:rsidRDefault="00351CBD" w:rsidP="00351CBD">
      <w:pPr>
        <w:spacing w:after="0" w:line="360" w:lineRule="auto"/>
        <w:jc w:val="both"/>
        <w:rPr>
          <w:rFonts w:ascii="Times New Roman" w:hAnsi="Times New Roman" w:cs="Times New Roman"/>
          <w:color w:val="000000" w:themeColor="text1"/>
        </w:rPr>
      </w:pPr>
      <w:r w:rsidRPr="00D824E4">
        <w:rPr>
          <w:rFonts w:ascii="Times New Roman" w:hAnsi="Times New Roman" w:cs="Times New Roman"/>
          <w:b/>
          <w:bCs/>
          <w:color w:val="000000" w:themeColor="text1"/>
        </w:rPr>
        <w:t xml:space="preserve">Supplementary Figure S2 Conformation of transgene in </w:t>
      </w:r>
      <w:r w:rsidRPr="00D824E4">
        <w:rPr>
          <w:rFonts w:ascii="Times New Roman" w:hAnsi="Times New Roman" w:cs="Times New Roman"/>
          <w:b/>
          <w:bCs/>
          <w:i/>
          <w:iCs/>
          <w:color w:val="000000" w:themeColor="text1"/>
        </w:rPr>
        <w:t xml:space="preserve">ProHTR10/ProLAT52:FP </w:t>
      </w:r>
      <w:r w:rsidRPr="00D824E4">
        <w:rPr>
          <w:rFonts w:ascii="Times New Roman" w:hAnsi="Times New Roman" w:cs="Times New Roman"/>
          <w:b/>
          <w:bCs/>
          <w:color w:val="000000" w:themeColor="text1"/>
        </w:rPr>
        <w:t>transformants.</w:t>
      </w:r>
      <w:r w:rsidRPr="00D824E4">
        <w:rPr>
          <w:rFonts w:ascii="Times New Roman" w:hAnsi="Times New Roman" w:cs="Times New Roman"/>
          <w:color w:val="000000" w:themeColor="text1"/>
        </w:rPr>
        <w:t xml:space="preserve"> </w:t>
      </w:r>
    </w:p>
    <w:p w14:paraId="44C0BB8C" w14:textId="77777777" w:rsidR="00351CBD" w:rsidRPr="00D824E4" w:rsidRDefault="00351CBD" w:rsidP="00351CBD">
      <w:pPr>
        <w:spacing w:after="0" w:line="360" w:lineRule="auto"/>
        <w:jc w:val="both"/>
        <w:rPr>
          <w:rFonts w:ascii="Times New Roman" w:hAnsi="Times New Roman" w:cs="Times New Roman"/>
          <w:b/>
          <w:bCs/>
          <w:color w:val="000000" w:themeColor="text1"/>
        </w:rPr>
      </w:pPr>
      <w:r w:rsidRPr="00D824E4">
        <w:rPr>
          <w:rFonts w:ascii="Times New Roman" w:hAnsi="Times New Roman" w:cs="Times New Roman"/>
          <w:color w:val="000000" w:themeColor="text1"/>
        </w:rPr>
        <w:t>Transgene of transformants used in this study were confirmed using their genomic DNA templates. Each isolated genomic DNA was used for PCR with each primer pairs. The correct sized PCR products were amplified in all transformants.</w:t>
      </w:r>
      <w:r w:rsidRPr="00D824E4">
        <w:rPr>
          <w:rFonts w:ascii="Times New Roman" w:hAnsi="Times New Roman" w:cs="Times New Roman"/>
          <w:b/>
          <w:bCs/>
          <w:color w:val="000000" w:themeColor="text1"/>
        </w:rPr>
        <w:br w:type="page"/>
      </w:r>
    </w:p>
    <w:p w14:paraId="30E7BB28" w14:textId="77777777" w:rsidR="00351CBD" w:rsidRPr="00F60B1F" w:rsidRDefault="00351CBD" w:rsidP="00351CBD">
      <w:pPr>
        <w:spacing w:after="0" w:line="360" w:lineRule="auto"/>
        <w:jc w:val="both"/>
        <w:rPr>
          <w:rFonts w:ascii="Times New Roman" w:hAnsi="Times New Roman" w:cs="Times New Roman"/>
          <w:b/>
          <w:bCs/>
          <w:color w:val="000000" w:themeColor="text1"/>
          <w:sz w:val="20"/>
          <w:szCs w:val="20"/>
        </w:rPr>
      </w:pPr>
      <w:r w:rsidRPr="00F60B1F">
        <w:rPr>
          <w:rFonts w:ascii="Times New Roman" w:hAnsi="Times New Roman" w:cs="Times New Roman"/>
          <w:b/>
          <w:bCs/>
          <w:noProof/>
          <w:color w:val="000000" w:themeColor="text1"/>
          <w:sz w:val="20"/>
          <w:szCs w:val="20"/>
          <w14:ligatures w14:val="standardContextual"/>
        </w:rPr>
        <w:lastRenderedPageBreak/>
        <w:drawing>
          <wp:anchor distT="0" distB="0" distL="114300" distR="114300" simplePos="0" relativeHeight="251661312" behindDoc="0" locked="0" layoutInCell="1" allowOverlap="1" wp14:anchorId="5137893C" wp14:editId="5A98AA0C">
            <wp:simplePos x="0" y="0"/>
            <wp:positionH relativeFrom="column">
              <wp:posOffset>86810</wp:posOffset>
            </wp:positionH>
            <wp:positionV relativeFrom="paragraph">
              <wp:posOffset>113</wp:posOffset>
            </wp:positionV>
            <wp:extent cx="5173345" cy="6493398"/>
            <wp:effectExtent l="0" t="0" r="0" b="0"/>
            <wp:wrapTopAndBottom/>
            <wp:docPr id="37166657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666571" name="図 371666571"/>
                    <pic:cNvPicPr/>
                  </pic:nvPicPr>
                  <pic:blipFill rotWithShape="1">
                    <a:blip r:embed="rId6" cstate="print">
                      <a:extLst>
                        <a:ext uri="{28A0092B-C50C-407E-A947-70E740481C1C}">
                          <a14:useLocalDpi xmlns:a14="http://schemas.microsoft.com/office/drawing/2010/main" val="0"/>
                        </a:ext>
                      </a:extLst>
                    </a:blip>
                    <a:srcRect l="15468" t="18771" r="16067" b="20359"/>
                    <a:stretch/>
                  </pic:blipFill>
                  <pic:spPr bwMode="auto">
                    <a:xfrm>
                      <a:off x="0" y="0"/>
                      <a:ext cx="5173345" cy="649339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03CA71" w14:textId="77777777" w:rsidR="00351CBD" w:rsidRPr="003960AA" w:rsidRDefault="00351CBD" w:rsidP="00351CBD">
      <w:pPr>
        <w:spacing w:after="0" w:line="360" w:lineRule="auto"/>
        <w:jc w:val="both"/>
        <w:rPr>
          <w:rFonts w:ascii="Times New Roman" w:hAnsi="Times New Roman" w:cs="Times New Roman"/>
          <w:b/>
          <w:bCs/>
          <w:color w:val="000000" w:themeColor="text1"/>
        </w:rPr>
      </w:pPr>
      <w:r w:rsidRPr="003960AA">
        <w:rPr>
          <w:rFonts w:ascii="Times New Roman" w:hAnsi="Times New Roman" w:cs="Times New Roman"/>
          <w:b/>
          <w:bCs/>
          <w:color w:val="000000" w:themeColor="text1"/>
        </w:rPr>
        <w:t>Supplementary Figure S3 Pollens in T</w:t>
      </w:r>
      <w:r w:rsidRPr="003960AA">
        <w:rPr>
          <w:rFonts w:ascii="Times New Roman" w:hAnsi="Times New Roman" w:cs="Times New Roman"/>
          <w:b/>
          <w:bCs/>
          <w:color w:val="000000" w:themeColor="text1"/>
          <w:vertAlign w:val="subscript"/>
        </w:rPr>
        <w:t>1</w:t>
      </w:r>
      <w:r w:rsidRPr="003960AA">
        <w:rPr>
          <w:rFonts w:ascii="Times New Roman" w:hAnsi="Times New Roman" w:cs="Times New Roman"/>
          <w:b/>
          <w:bCs/>
          <w:color w:val="000000" w:themeColor="text1"/>
        </w:rPr>
        <w:t>/T</w:t>
      </w:r>
      <w:r w:rsidRPr="003960AA">
        <w:rPr>
          <w:rFonts w:ascii="Times New Roman" w:hAnsi="Times New Roman" w:cs="Times New Roman"/>
          <w:b/>
          <w:bCs/>
          <w:color w:val="000000" w:themeColor="text1"/>
          <w:vertAlign w:val="subscript"/>
        </w:rPr>
        <w:t>2</w:t>
      </w:r>
      <w:r w:rsidRPr="003960AA">
        <w:rPr>
          <w:rFonts w:ascii="Times New Roman" w:hAnsi="Times New Roman" w:cs="Times New Roman"/>
          <w:b/>
          <w:bCs/>
          <w:color w:val="000000" w:themeColor="text1"/>
        </w:rPr>
        <w:t>/T</w:t>
      </w:r>
      <w:r w:rsidRPr="003960AA">
        <w:rPr>
          <w:rFonts w:ascii="Times New Roman" w:hAnsi="Times New Roman" w:cs="Times New Roman"/>
          <w:b/>
          <w:bCs/>
          <w:color w:val="000000" w:themeColor="text1"/>
          <w:vertAlign w:val="subscript"/>
        </w:rPr>
        <w:t>3</w:t>
      </w:r>
      <w:r w:rsidRPr="003960AA">
        <w:rPr>
          <w:rFonts w:ascii="Times New Roman" w:hAnsi="Times New Roman" w:cs="Times New Roman"/>
          <w:b/>
          <w:bCs/>
          <w:color w:val="000000" w:themeColor="text1"/>
        </w:rPr>
        <w:t xml:space="preserve"> generations of </w:t>
      </w:r>
      <w:r w:rsidRPr="003960AA">
        <w:rPr>
          <w:rFonts w:ascii="Times New Roman" w:hAnsi="Times New Roman" w:cs="Times New Roman"/>
          <w:b/>
          <w:bCs/>
          <w:i/>
          <w:iCs/>
          <w:color w:val="000000" w:themeColor="text1"/>
        </w:rPr>
        <w:t xml:space="preserve">ProHTR10:FP </w:t>
      </w:r>
      <w:r w:rsidRPr="003960AA">
        <w:rPr>
          <w:rFonts w:ascii="Times New Roman" w:hAnsi="Times New Roman" w:cs="Times New Roman"/>
          <w:b/>
          <w:bCs/>
          <w:color w:val="000000" w:themeColor="text1"/>
        </w:rPr>
        <w:t>transformants.</w:t>
      </w:r>
    </w:p>
    <w:p w14:paraId="3D7A33E2" w14:textId="77777777" w:rsidR="00351CBD" w:rsidRPr="003960AA" w:rsidRDefault="00351CBD" w:rsidP="00351CBD">
      <w:pPr>
        <w:spacing w:after="0" w:line="360" w:lineRule="auto"/>
        <w:jc w:val="both"/>
        <w:rPr>
          <w:rFonts w:ascii="Times New Roman" w:hAnsi="Times New Roman" w:cs="Times New Roman"/>
          <w:b/>
          <w:bCs/>
          <w:color w:val="000000" w:themeColor="text1"/>
        </w:rPr>
      </w:pPr>
      <w:r w:rsidRPr="003960AA">
        <w:rPr>
          <w:rFonts w:ascii="Times New Roman" w:hAnsi="Times New Roman" w:cs="Times New Roman"/>
          <w:b/>
          <w:bCs/>
          <w:color w:val="000000" w:themeColor="text1"/>
        </w:rPr>
        <w:t>a</w:t>
      </w:r>
      <w:r w:rsidRPr="003960AA">
        <w:rPr>
          <w:rFonts w:ascii="Times New Roman" w:hAnsi="Times New Roman" w:cs="Times New Roman"/>
          <w:color w:val="000000" w:themeColor="text1"/>
        </w:rPr>
        <w:t>, Autofluorescence of WT in fluorescence field. Scale bar is 50 μm.</w:t>
      </w:r>
      <w:r w:rsidRPr="003960AA">
        <w:rPr>
          <w:rFonts w:ascii="Times New Roman" w:hAnsi="Times New Roman" w:cs="Times New Roman"/>
          <w:b/>
          <w:bCs/>
          <w:color w:val="000000" w:themeColor="text1"/>
        </w:rPr>
        <w:t xml:space="preserve"> b</w:t>
      </w:r>
      <w:r w:rsidRPr="003960AA">
        <w:rPr>
          <w:rFonts w:ascii="Times New Roman" w:hAnsi="Times New Roman" w:cs="Times New Roman"/>
          <w:color w:val="000000" w:themeColor="text1"/>
        </w:rPr>
        <w:t xml:space="preserve">, Pollens from single </w:t>
      </w:r>
      <w:r>
        <w:rPr>
          <w:rFonts w:ascii="Times New Roman" w:hAnsi="Times New Roman" w:cs="Times New Roman"/>
          <w:color w:val="000000" w:themeColor="text1"/>
        </w:rPr>
        <w:t>locus</w:t>
      </w:r>
      <w:r w:rsidRPr="003960AA">
        <w:rPr>
          <w:rFonts w:ascii="Times New Roman" w:hAnsi="Times New Roman" w:cs="Times New Roman"/>
          <w:color w:val="000000" w:themeColor="text1"/>
        </w:rPr>
        <w:t xml:space="preserve"> T</w:t>
      </w:r>
      <w:r w:rsidRPr="003960AA">
        <w:rPr>
          <w:rFonts w:ascii="Times New Roman" w:hAnsi="Times New Roman" w:cs="Times New Roman"/>
          <w:color w:val="000000" w:themeColor="text1"/>
          <w:vertAlign w:val="subscript"/>
        </w:rPr>
        <w:t>1</w:t>
      </w:r>
      <w:r w:rsidRPr="003960AA">
        <w:rPr>
          <w:rFonts w:ascii="Times New Roman" w:hAnsi="Times New Roman" w:cs="Times New Roman"/>
          <w:color w:val="000000" w:themeColor="text1"/>
        </w:rPr>
        <w:t xml:space="preserve"> and continuing thereof homozygous T</w:t>
      </w:r>
      <w:r w:rsidRPr="003960AA">
        <w:rPr>
          <w:rFonts w:ascii="Times New Roman" w:hAnsi="Times New Roman" w:cs="Times New Roman"/>
          <w:color w:val="000000" w:themeColor="text1"/>
          <w:vertAlign w:val="subscript"/>
        </w:rPr>
        <w:t>2</w:t>
      </w:r>
      <w:r w:rsidRPr="003960AA">
        <w:rPr>
          <w:rFonts w:ascii="Times New Roman" w:hAnsi="Times New Roman" w:cs="Times New Roman"/>
          <w:color w:val="000000" w:themeColor="text1"/>
        </w:rPr>
        <w:t>/T</w:t>
      </w:r>
      <w:r w:rsidRPr="003960AA">
        <w:rPr>
          <w:rFonts w:ascii="Times New Roman" w:hAnsi="Times New Roman" w:cs="Times New Roman"/>
          <w:color w:val="000000" w:themeColor="text1"/>
          <w:vertAlign w:val="subscript"/>
        </w:rPr>
        <w:t>3</w:t>
      </w:r>
      <w:r w:rsidRPr="003960AA">
        <w:rPr>
          <w:rFonts w:ascii="Times New Roman" w:hAnsi="Times New Roman" w:cs="Times New Roman"/>
          <w:color w:val="000000" w:themeColor="text1"/>
        </w:rPr>
        <w:t xml:space="preserve"> generation of </w:t>
      </w:r>
      <w:r w:rsidRPr="003960AA">
        <w:rPr>
          <w:rFonts w:ascii="Times New Roman" w:hAnsi="Times New Roman" w:cs="Times New Roman"/>
          <w:i/>
          <w:iCs/>
          <w:color w:val="000000" w:themeColor="text1"/>
        </w:rPr>
        <w:t xml:space="preserve">ProHTR10:mRuby3 </w:t>
      </w:r>
      <w:r w:rsidRPr="003960AA">
        <w:rPr>
          <w:rFonts w:ascii="Times New Roman" w:hAnsi="Times New Roman" w:cs="Times New Roman"/>
          <w:color w:val="000000" w:themeColor="text1"/>
        </w:rPr>
        <w:t>#n6, #n8,</w:t>
      </w:r>
      <w:r w:rsidRPr="003960AA">
        <w:rPr>
          <w:rFonts w:ascii="Times New Roman" w:hAnsi="Times New Roman" w:cs="Times New Roman"/>
          <w:i/>
          <w:iCs/>
          <w:color w:val="000000" w:themeColor="text1"/>
        </w:rPr>
        <w:t xml:space="preserve"> ProHTR10:POmTFP1</w:t>
      </w:r>
      <w:r w:rsidRPr="003960AA">
        <w:rPr>
          <w:rFonts w:ascii="Times New Roman" w:hAnsi="Times New Roman" w:cs="Times New Roman"/>
          <w:color w:val="000000" w:themeColor="text1"/>
        </w:rPr>
        <w:t xml:space="preserve"> #n9 and #n10 are shown. </w:t>
      </w:r>
      <w:r w:rsidRPr="003960AA">
        <w:rPr>
          <w:rFonts w:ascii="Times New Roman" w:eastAsia="Times New Roman" w:hAnsi="Times New Roman" w:cs="Times New Roman"/>
          <w:color w:val="000000" w:themeColor="text1"/>
        </w:rPr>
        <w:br w:type="page"/>
      </w:r>
    </w:p>
    <w:p w14:paraId="14252EFC" w14:textId="77777777" w:rsidR="00351CBD" w:rsidRPr="003D02C9" w:rsidRDefault="00351CBD" w:rsidP="00351CBD">
      <w:pPr>
        <w:widowControl w:val="0"/>
        <w:spacing w:after="0"/>
        <w:jc w:val="both"/>
        <w:rPr>
          <w:rFonts w:ascii="Times New Roman" w:eastAsia="Yu Mincho" w:hAnsi="Times New Roman" w:cs="Times New Roman"/>
          <w:b/>
          <w:bCs/>
          <w:color w:val="000000"/>
          <w:kern w:val="2"/>
        </w:rPr>
      </w:pPr>
      <w:r w:rsidRPr="003D02C9">
        <w:rPr>
          <w:rFonts w:ascii="Times New Roman" w:eastAsia="Yu Mincho" w:hAnsi="Times New Roman" w:cs="Times New Roman"/>
          <w:b/>
          <w:bCs/>
          <w:color w:val="000000"/>
          <w:kern w:val="2"/>
        </w:rPr>
        <w:lastRenderedPageBreak/>
        <w:t>REFERENCES</w:t>
      </w:r>
    </w:p>
    <w:p w14:paraId="718830C4" w14:textId="77777777" w:rsidR="00351CBD" w:rsidRPr="003D02C9" w:rsidRDefault="00351CBD" w:rsidP="00351CBD">
      <w:pPr>
        <w:pStyle w:val="Bibliography"/>
        <w:spacing w:after="0"/>
        <w:ind w:left="720" w:hanging="720"/>
        <w:rPr>
          <w:rFonts w:ascii="Times New Roman" w:hAnsi="Times New Roman" w:cs="Times New Roman"/>
        </w:rPr>
      </w:pPr>
      <w:r w:rsidRPr="003D02C9">
        <w:rPr>
          <w:rFonts w:ascii="Times New Roman" w:hAnsi="Times New Roman" w:cs="Times New Roman"/>
        </w:rPr>
        <w:fldChar w:fldCharType="begin"/>
      </w:r>
      <w:r w:rsidRPr="003D02C9">
        <w:rPr>
          <w:rFonts w:ascii="Times New Roman" w:hAnsi="Times New Roman" w:cs="Times New Roman"/>
        </w:rPr>
        <w:instrText xml:space="preserve"> ADDIN ZOTERO_BIBL {"uncited":[],"omitted":[],"custom":[]} CSL_BIBLIOGRAPHY </w:instrText>
      </w:r>
      <w:r w:rsidRPr="003D02C9">
        <w:rPr>
          <w:rFonts w:ascii="Times New Roman" w:hAnsi="Times New Roman" w:cs="Times New Roman"/>
        </w:rPr>
        <w:fldChar w:fldCharType="separate"/>
      </w:r>
      <w:r w:rsidRPr="003D02C9">
        <w:rPr>
          <w:rFonts w:ascii="Times New Roman" w:hAnsi="Times New Roman" w:cs="Times New Roman"/>
        </w:rPr>
        <w:t>Felsenstein J (1985) Confidence limits on phylogenies: an approach using the bootstrap. evolution 39:783–791</w:t>
      </w:r>
    </w:p>
    <w:p w14:paraId="10C3CA63" w14:textId="77777777" w:rsidR="00351CBD" w:rsidRPr="003D02C9" w:rsidRDefault="00351CBD" w:rsidP="00351CBD">
      <w:pPr>
        <w:pStyle w:val="Bibliography"/>
        <w:spacing w:after="0"/>
        <w:ind w:left="720" w:hanging="720"/>
        <w:rPr>
          <w:rFonts w:ascii="Times New Roman" w:hAnsi="Times New Roman" w:cs="Times New Roman"/>
        </w:rPr>
      </w:pPr>
      <w:r w:rsidRPr="003D02C9">
        <w:rPr>
          <w:rFonts w:ascii="Times New Roman" w:hAnsi="Times New Roman" w:cs="Times New Roman"/>
        </w:rPr>
        <w:t>Kumar S, Stecher G, Li M, et al (2018) MEGA X: molecular evolutionary genetics analysis across computing platforms. Molecular biology and evolution 35:1547–1549</w:t>
      </w:r>
    </w:p>
    <w:p w14:paraId="4238031E" w14:textId="77777777" w:rsidR="00351CBD" w:rsidRPr="003D02C9" w:rsidRDefault="00351CBD" w:rsidP="00351CBD">
      <w:pPr>
        <w:pStyle w:val="Bibliography"/>
        <w:spacing w:after="0"/>
        <w:ind w:left="720" w:hanging="720"/>
        <w:rPr>
          <w:rFonts w:ascii="Times New Roman" w:hAnsi="Times New Roman" w:cs="Times New Roman"/>
        </w:rPr>
      </w:pPr>
      <w:r w:rsidRPr="003D02C9">
        <w:rPr>
          <w:rFonts w:ascii="Times New Roman" w:hAnsi="Times New Roman" w:cs="Times New Roman"/>
        </w:rPr>
        <w:t>Saitou N, Nei M (1987) The neighbor-joining method: a new method for reconstructing phylogenetic trees. Molecular biology and evolution 4:406–425</w:t>
      </w:r>
    </w:p>
    <w:p w14:paraId="79DC76DA" w14:textId="77777777" w:rsidR="00351CBD" w:rsidRPr="003D02C9" w:rsidRDefault="00351CBD" w:rsidP="00351CBD">
      <w:pPr>
        <w:pStyle w:val="Bibliography"/>
        <w:spacing w:after="0"/>
        <w:ind w:left="720" w:hanging="720"/>
        <w:rPr>
          <w:rFonts w:ascii="Times New Roman" w:hAnsi="Times New Roman" w:cs="Times New Roman"/>
        </w:rPr>
      </w:pPr>
      <w:r w:rsidRPr="003D02C9">
        <w:rPr>
          <w:rFonts w:ascii="Times New Roman" w:hAnsi="Times New Roman" w:cs="Times New Roman"/>
        </w:rPr>
        <w:t>Stecher G, Tamura K, Kumar S (2020) Molecular evolutionary genetics analysis (MEGA) for macOS. Molecular biology and evolution 37:1237–1239</w:t>
      </w:r>
    </w:p>
    <w:p w14:paraId="19C88B0C" w14:textId="77777777" w:rsidR="00351CBD" w:rsidRPr="003D02C9" w:rsidRDefault="00351CBD" w:rsidP="00351CBD">
      <w:pPr>
        <w:pStyle w:val="Bibliography"/>
        <w:spacing w:after="0"/>
        <w:ind w:left="720" w:hanging="720"/>
        <w:rPr>
          <w:rFonts w:ascii="Times New Roman" w:hAnsi="Times New Roman" w:cs="Times New Roman"/>
        </w:rPr>
      </w:pPr>
      <w:r w:rsidRPr="003D02C9">
        <w:rPr>
          <w:rFonts w:ascii="Times New Roman" w:hAnsi="Times New Roman" w:cs="Times New Roman"/>
        </w:rPr>
        <w:t>Tamura K, Nei M, Kumar S (2004) Prospects for inferring very large phylogenies by using the neighbor-joining method. Proc Natl Acad Sci USA 101:11030–11035. https://doi.org/10.1073/pnas.0404206101</w:t>
      </w:r>
    </w:p>
    <w:p w14:paraId="3D8B1CF5" w14:textId="77777777" w:rsidR="00351CBD" w:rsidRPr="00F60B1F" w:rsidRDefault="00351CBD" w:rsidP="00351CBD">
      <w:pPr>
        <w:spacing w:after="0"/>
        <w:ind w:left="720" w:hanging="720"/>
        <w:rPr>
          <w:rFonts w:ascii="Times New Roman" w:hAnsi="Times New Roman" w:cs="Times New Roman"/>
          <w:sz w:val="20"/>
          <w:szCs w:val="20"/>
        </w:rPr>
      </w:pPr>
      <w:r w:rsidRPr="003D02C9">
        <w:rPr>
          <w:rFonts w:ascii="Times New Roman" w:hAnsi="Times New Roman" w:cs="Times New Roman"/>
        </w:rPr>
        <w:fldChar w:fldCharType="end"/>
      </w:r>
    </w:p>
    <w:p w14:paraId="1CE2B56D" w14:textId="77777777" w:rsidR="00351CBD" w:rsidRPr="000B075C" w:rsidRDefault="00351CBD" w:rsidP="00351CBD">
      <w:pPr>
        <w:tabs>
          <w:tab w:val="left" w:pos="447"/>
        </w:tabs>
        <w:spacing w:after="0"/>
        <w:jc w:val="both"/>
        <w:rPr>
          <w:rFonts w:ascii="Times New Roman" w:hAnsi="Times New Roman" w:cs="Times New Roman"/>
        </w:rPr>
      </w:pPr>
      <w:r>
        <w:rPr>
          <w:rFonts w:ascii="Times New Roman" w:hAnsi="Times New Roman" w:cs="Times New Roman"/>
        </w:rPr>
        <w:tab/>
      </w:r>
    </w:p>
    <w:p w14:paraId="1171960B" w14:textId="77777777" w:rsidR="00EB4A2D" w:rsidRDefault="00EB4A2D"/>
    <w:sectPr w:rsidR="00EB4A2D" w:rsidSect="00351CBD">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CBD"/>
    <w:rsid w:val="001C37EB"/>
    <w:rsid w:val="001D3053"/>
    <w:rsid w:val="001E3A92"/>
    <w:rsid w:val="00217E67"/>
    <w:rsid w:val="002C7D54"/>
    <w:rsid w:val="0033371E"/>
    <w:rsid w:val="00351CBD"/>
    <w:rsid w:val="005C0D39"/>
    <w:rsid w:val="0070406C"/>
    <w:rsid w:val="00724754"/>
    <w:rsid w:val="007B36B1"/>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2DFD8"/>
  <w15:chartTrackingRefBased/>
  <w15:docId w15:val="{01B87C85-7A37-4A3C-A100-BE2233F7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1CBD"/>
    <w:rPr>
      <w:rFonts w:eastAsiaTheme="minorEastAsia"/>
      <w:kern w:val="0"/>
      <w:lang w:val="en-US" w:eastAsia="ja-JP"/>
      <w14:ligatures w14:val="none"/>
    </w:rPr>
  </w:style>
  <w:style w:type="paragraph" w:styleId="Heading1">
    <w:name w:val="heading 1"/>
    <w:basedOn w:val="Normal"/>
    <w:next w:val="Normal"/>
    <w:link w:val="Heading1Char"/>
    <w:uiPriority w:val="9"/>
    <w:qFormat/>
    <w:rsid w:val="00351CBD"/>
    <w:pPr>
      <w:keepNext/>
      <w:keepLines/>
      <w:spacing w:before="360" w:after="80"/>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351CBD"/>
    <w:pPr>
      <w:keepNext/>
      <w:keepLines/>
      <w:spacing w:before="160" w:after="80"/>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351CBD"/>
    <w:pPr>
      <w:keepNext/>
      <w:keepLines/>
      <w:spacing w:before="160" w:after="80"/>
      <w:outlineLvl w:val="2"/>
    </w:pPr>
    <w:rPr>
      <w:rFonts w:eastAsiaTheme="majorEastAsia"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351CBD"/>
    <w:pPr>
      <w:keepNext/>
      <w:keepLines/>
      <w:spacing w:before="80" w:after="40"/>
      <w:outlineLvl w:val="3"/>
    </w:pPr>
    <w:rPr>
      <w:rFonts w:eastAsiaTheme="majorEastAsia"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351CBD"/>
    <w:pPr>
      <w:keepNext/>
      <w:keepLines/>
      <w:spacing w:before="80" w:after="40"/>
      <w:outlineLvl w:val="4"/>
    </w:pPr>
    <w:rPr>
      <w:rFonts w:eastAsiaTheme="majorEastAsia"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351CBD"/>
    <w:pPr>
      <w:keepNext/>
      <w:keepLines/>
      <w:spacing w:before="40" w:after="0"/>
      <w:outlineLvl w:val="5"/>
    </w:pPr>
    <w:rPr>
      <w:rFonts w:eastAsiaTheme="majorEastAsia"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351CBD"/>
    <w:pPr>
      <w:keepNext/>
      <w:keepLines/>
      <w:spacing w:before="40" w:after="0"/>
      <w:outlineLvl w:val="6"/>
    </w:pPr>
    <w:rPr>
      <w:rFonts w:eastAsiaTheme="majorEastAsia"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351CBD"/>
    <w:pPr>
      <w:keepNext/>
      <w:keepLines/>
      <w:spacing w:after="0"/>
      <w:outlineLvl w:val="7"/>
    </w:pPr>
    <w:rPr>
      <w:rFonts w:eastAsiaTheme="majorEastAsia"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351CBD"/>
    <w:pPr>
      <w:keepNext/>
      <w:keepLines/>
      <w:spacing w:after="0"/>
      <w:outlineLvl w:val="8"/>
    </w:pPr>
    <w:rPr>
      <w:rFonts w:eastAsiaTheme="majorEastAsia"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1C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1C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1C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1C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1C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1C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1C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1C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1CBD"/>
    <w:rPr>
      <w:rFonts w:eastAsiaTheme="majorEastAsia" w:cstheme="majorBidi"/>
      <w:color w:val="272727" w:themeColor="text1" w:themeTint="D8"/>
    </w:rPr>
  </w:style>
  <w:style w:type="paragraph" w:styleId="Title">
    <w:name w:val="Title"/>
    <w:basedOn w:val="Normal"/>
    <w:next w:val="Normal"/>
    <w:link w:val="TitleChar"/>
    <w:uiPriority w:val="10"/>
    <w:qFormat/>
    <w:rsid w:val="00351CBD"/>
    <w:pPr>
      <w:spacing w:after="80" w:line="240" w:lineRule="auto"/>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351C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1CBD"/>
    <w:pPr>
      <w:numPr>
        <w:ilvl w:val="1"/>
      </w:numPr>
    </w:pPr>
    <w:rPr>
      <w:rFonts w:eastAsiaTheme="majorEastAsia"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351C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1CBD"/>
    <w:pPr>
      <w:spacing w:before="160"/>
      <w:jc w:val="center"/>
    </w:pPr>
    <w:rPr>
      <w:rFonts w:eastAsiaTheme="minorHAns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351CBD"/>
    <w:rPr>
      <w:i/>
      <w:iCs/>
      <w:color w:val="404040" w:themeColor="text1" w:themeTint="BF"/>
    </w:rPr>
  </w:style>
  <w:style w:type="paragraph" w:styleId="ListParagraph">
    <w:name w:val="List Paragraph"/>
    <w:basedOn w:val="Normal"/>
    <w:uiPriority w:val="34"/>
    <w:qFormat/>
    <w:rsid w:val="00351CBD"/>
    <w:pPr>
      <w:ind w:left="720"/>
      <w:contextualSpacing/>
    </w:pPr>
    <w:rPr>
      <w:rFonts w:eastAsiaTheme="minorHAnsi"/>
      <w:kern w:val="2"/>
      <w:lang w:val="en-IN" w:eastAsia="en-US"/>
      <w14:ligatures w14:val="standardContextual"/>
    </w:rPr>
  </w:style>
  <w:style w:type="character" w:styleId="IntenseEmphasis">
    <w:name w:val="Intense Emphasis"/>
    <w:basedOn w:val="DefaultParagraphFont"/>
    <w:uiPriority w:val="21"/>
    <w:qFormat/>
    <w:rsid w:val="00351CBD"/>
    <w:rPr>
      <w:i/>
      <w:iCs/>
      <w:color w:val="0F4761" w:themeColor="accent1" w:themeShade="BF"/>
    </w:rPr>
  </w:style>
  <w:style w:type="paragraph" w:styleId="IntenseQuote">
    <w:name w:val="Intense Quote"/>
    <w:basedOn w:val="Normal"/>
    <w:next w:val="Normal"/>
    <w:link w:val="IntenseQuoteChar"/>
    <w:uiPriority w:val="30"/>
    <w:qFormat/>
    <w:rsid w:val="00351CBD"/>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351CBD"/>
    <w:rPr>
      <w:i/>
      <w:iCs/>
      <w:color w:val="0F4761" w:themeColor="accent1" w:themeShade="BF"/>
    </w:rPr>
  </w:style>
  <w:style w:type="character" w:styleId="IntenseReference">
    <w:name w:val="Intense Reference"/>
    <w:basedOn w:val="DefaultParagraphFont"/>
    <w:uiPriority w:val="32"/>
    <w:qFormat/>
    <w:rsid w:val="00351CBD"/>
    <w:rPr>
      <w:b/>
      <w:bCs/>
      <w:smallCaps/>
      <w:color w:val="0F4761" w:themeColor="accent1" w:themeShade="BF"/>
      <w:spacing w:val="5"/>
    </w:rPr>
  </w:style>
  <w:style w:type="paragraph" w:styleId="Bibliography">
    <w:name w:val="Bibliography"/>
    <w:basedOn w:val="Normal"/>
    <w:next w:val="Normal"/>
    <w:uiPriority w:val="37"/>
    <w:semiHidden/>
    <w:unhideWhenUsed/>
    <w:rsid w:val="00351CBD"/>
  </w:style>
  <w:style w:type="character" w:styleId="LineNumber">
    <w:name w:val="line number"/>
    <w:basedOn w:val="DefaultParagraphFont"/>
    <w:uiPriority w:val="99"/>
    <w:semiHidden/>
    <w:unhideWhenUsed/>
    <w:rsid w:val="00351C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1567</Words>
  <Characters>8934</Characters>
  <Application>Microsoft Office Word</Application>
  <DocSecurity>0</DocSecurity>
  <Lines>74</Lines>
  <Paragraphs>20</Paragraphs>
  <ScaleCrop>false</ScaleCrop>
  <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2026-10-13T12:50:00Z</dcterms:created>
  <dcterms:modified xsi:type="dcterms:W3CDTF">2026-10-13T12:50:00Z</dcterms:modified>
</cp:coreProperties>
</file>